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53882" w:rsidRDefault="00B16FF7">
      <w:pPr>
        <w:spacing w:line="480" w:lineRule="auto"/>
        <w:jc w:val="center"/>
        <w:rPr>
          <w:rFonts w:cs="Times New Roman"/>
          <w:b/>
          <w:bCs/>
          <w:sz w:val="28"/>
          <w:szCs w:val="28"/>
        </w:rPr>
      </w:pPr>
      <w:bookmarkStart w:id="0" w:name="_Toc128438181"/>
      <w:r>
        <w:rPr>
          <w:rFonts w:cs="Times New Roman"/>
          <w:b/>
          <w:bCs/>
          <w:sz w:val="28"/>
          <w:szCs w:val="28"/>
        </w:rPr>
        <w:t>SIMON DIEDONG DOMBO UNIVERSITY OF BUSINESS AND INTEGRATED</w:t>
      </w:r>
    </w:p>
    <w:p w:rsidR="00E53882" w:rsidRDefault="00B16FF7">
      <w:pPr>
        <w:spacing w:line="480" w:lineRule="auto"/>
        <w:jc w:val="center"/>
        <w:rPr>
          <w:rFonts w:cs="Times New Roman"/>
          <w:b/>
          <w:bCs/>
          <w:sz w:val="28"/>
          <w:szCs w:val="28"/>
        </w:rPr>
      </w:pPr>
      <w:r>
        <w:rPr>
          <w:rFonts w:cs="Times New Roman"/>
          <w:b/>
          <w:bCs/>
          <w:sz w:val="28"/>
          <w:szCs w:val="28"/>
        </w:rPr>
        <w:t>DEVELOPMENT STUDIES</w:t>
      </w:r>
    </w:p>
    <w:p w:rsidR="00E53882" w:rsidRDefault="00E53882">
      <w:pPr>
        <w:spacing w:line="480" w:lineRule="auto"/>
        <w:jc w:val="center"/>
        <w:rPr>
          <w:rFonts w:cs="Times New Roman"/>
          <w:b/>
          <w:bCs/>
          <w:sz w:val="28"/>
          <w:szCs w:val="28"/>
        </w:rPr>
      </w:pPr>
    </w:p>
    <w:p w:rsidR="00E53882" w:rsidRDefault="00E53882">
      <w:pPr>
        <w:spacing w:line="480" w:lineRule="auto"/>
        <w:jc w:val="center"/>
        <w:rPr>
          <w:rFonts w:cs="Times New Roman"/>
          <w:b/>
          <w:bCs/>
          <w:sz w:val="28"/>
          <w:szCs w:val="28"/>
        </w:rPr>
      </w:pPr>
    </w:p>
    <w:p w:rsidR="00E53882" w:rsidRDefault="00E53882">
      <w:pPr>
        <w:spacing w:line="480" w:lineRule="auto"/>
        <w:rPr>
          <w:rFonts w:cs="Times New Roman"/>
          <w:b/>
          <w:bCs/>
          <w:sz w:val="28"/>
          <w:szCs w:val="28"/>
        </w:rPr>
      </w:pPr>
    </w:p>
    <w:p w:rsidR="00E53882" w:rsidRDefault="00E53882">
      <w:pPr>
        <w:spacing w:line="480" w:lineRule="auto"/>
        <w:jc w:val="center"/>
        <w:rPr>
          <w:rFonts w:cs="Times New Roman"/>
          <w:b/>
          <w:bCs/>
          <w:sz w:val="28"/>
          <w:szCs w:val="28"/>
        </w:rPr>
      </w:pPr>
    </w:p>
    <w:p w:rsidR="00E53882" w:rsidRDefault="00B16FF7">
      <w:pPr>
        <w:spacing w:line="480" w:lineRule="auto"/>
        <w:jc w:val="center"/>
        <w:rPr>
          <w:rFonts w:cs="Times New Roman"/>
          <w:b/>
          <w:bCs/>
          <w:sz w:val="28"/>
          <w:szCs w:val="28"/>
        </w:rPr>
      </w:pPr>
      <w:bookmarkStart w:id="1" w:name="_Hlk151632140"/>
      <w:bookmarkStart w:id="2" w:name="_Hlk151633832"/>
      <w:r>
        <w:rPr>
          <w:rFonts w:cs="Times New Roman"/>
          <w:b/>
          <w:bCs/>
          <w:sz w:val="28"/>
          <w:szCs w:val="28"/>
        </w:rPr>
        <w:t xml:space="preserve">CLIMATE CHANGE AND PASTORALIST MOBILITY </w:t>
      </w:r>
      <w:bookmarkEnd w:id="1"/>
      <w:r>
        <w:rPr>
          <w:rFonts w:cs="Times New Roman"/>
          <w:b/>
          <w:bCs/>
          <w:sz w:val="28"/>
          <w:szCs w:val="28"/>
        </w:rPr>
        <w:t>IN GUSHEIGU MUNICIPAL IN THE NORTHERN REGION OF GHANA</w:t>
      </w:r>
    </w:p>
    <w:bookmarkEnd w:id="2"/>
    <w:p w:rsidR="00E53882" w:rsidRDefault="00E53882">
      <w:pPr>
        <w:spacing w:line="480" w:lineRule="auto"/>
        <w:jc w:val="center"/>
        <w:rPr>
          <w:rFonts w:cs="Times New Roman"/>
          <w:b/>
          <w:bCs/>
          <w:sz w:val="28"/>
          <w:szCs w:val="28"/>
        </w:rPr>
      </w:pPr>
    </w:p>
    <w:p w:rsidR="00E53882" w:rsidRDefault="00E53882">
      <w:pPr>
        <w:spacing w:line="480" w:lineRule="auto"/>
        <w:jc w:val="left"/>
        <w:rPr>
          <w:rFonts w:cs="Times New Roman"/>
          <w:b/>
          <w:bCs/>
          <w:sz w:val="28"/>
          <w:szCs w:val="28"/>
        </w:rPr>
      </w:pPr>
    </w:p>
    <w:p w:rsidR="00E53882" w:rsidRDefault="00E53882">
      <w:pPr>
        <w:spacing w:line="480" w:lineRule="auto"/>
        <w:jc w:val="center"/>
        <w:rPr>
          <w:rFonts w:cs="Times New Roman"/>
          <w:b/>
          <w:bCs/>
          <w:sz w:val="28"/>
          <w:szCs w:val="28"/>
        </w:rPr>
      </w:pPr>
    </w:p>
    <w:p w:rsidR="00E53882" w:rsidRDefault="00B16FF7">
      <w:pPr>
        <w:spacing w:line="480" w:lineRule="auto"/>
        <w:jc w:val="center"/>
        <w:rPr>
          <w:rFonts w:cs="Times New Roman"/>
          <w:b/>
          <w:bCs/>
          <w:sz w:val="28"/>
          <w:szCs w:val="28"/>
        </w:rPr>
      </w:pPr>
      <w:bookmarkStart w:id="3" w:name="_Hlk151633869"/>
      <w:r>
        <w:rPr>
          <w:rFonts w:cs="Times New Roman"/>
          <w:b/>
          <w:bCs/>
          <w:sz w:val="28"/>
          <w:szCs w:val="28"/>
        </w:rPr>
        <w:t>ABDUL GANIYU ALHASSAN</w:t>
      </w:r>
    </w:p>
    <w:bookmarkEnd w:id="3"/>
    <w:p w:rsidR="00E53882" w:rsidRDefault="00E53882">
      <w:pPr>
        <w:spacing w:line="480" w:lineRule="auto"/>
        <w:rPr>
          <w:rFonts w:cs="Times New Roman"/>
          <w:b/>
          <w:bCs/>
          <w:sz w:val="28"/>
          <w:szCs w:val="28"/>
        </w:rPr>
      </w:pPr>
    </w:p>
    <w:p w:rsidR="00E53882" w:rsidRDefault="00B16FF7">
      <w:pPr>
        <w:spacing w:line="480" w:lineRule="auto"/>
        <w:jc w:val="center"/>
        <w:rPr>
          <w:rFonts w:cs="Times New Roman"/>
          <w:b/>
          <w:bCs/>
          <w:sz w:val="28"/>
          <w:szCs w:val="28"/>
        </w:rPr>
      </w:pPr>
      <w:r>
        <w:rPr>
          <w:rFonts w:cs="Times New Roman"/>
          <w:b/>
          <w:bCs/>
          <w:sz w:val="28"/>
          <w:szCs w:val="28"/>
        </w:rPr>
        <w:t>2024</w:t>
      </w:r>
    </w:p>
    <w:p w:rsidR="00E53882" w:rsidRDefault="00B16FF7">
      <w:pPr>
        <w:spacing w:line="480" w:lineRule="auto"/>
        <w:jc w:val="center"/>
        <w:rPr>
          <w:rFonts w:cs="Times New Roman"/>
          <w:b/>
          <w:bCs/>
          <w:sz w:val="28"/>
          <w:szCs w:val="28"/>
        </w:rPr>
      </w:pPr>
      <w:r>
        <w:rPr>
          <w:rFonts w:cs="Times New Roman"/>
          <w:b/>
          <w:bCs/>
          <w:sz w:val="28"/>
          <w:szCs w:val="28"/>
        </w:rPr>
        <w:lastRenderedPageBreak/>
        <w:t>CLIMATE CHANGE AND PASTORALIST MOBILITY IN GUSHEIGU MUNICIPAL IN THE NORTHERN REGION OF GHANA</w:t>
      </w:r>
    </w:p>
    <w:p w:rsidR="00E53882" w:rsidRDefault="00E53882">
      <w:pPr>
        <w:spacing w:line="480" w:lineRule="auto"/>
        <w:jc w:val="left"/>
        <w:rPr>
          <w:rFonts w:cs="Times New Roman"/>
          <w:szCs w:val="24"/>
        </w:rPr>
      </w:pPr>
    </w:p>
    <w:p w:rsidR="00E53882" w:rsidRDefault="00B16FF7">
      <w:pPr>
        <w:spacing w:line="480" w:lineRule="auto"/>
        <w:jc w:val="center"/>
        <w:rPr>
          <w:rFonts w:cs="Times New Roman"/>
          <w:b/>
          <w:bCs/>
          <w:szCs w:val="24"/>
        </w:rPr>
      </w:pPr>
      <w:r>
        <w:rPr>
          <w:rFonts w:cs="Times New Roman"/>
          <w:b/>
          <w:bCs/>
          <w:szCs w:val="24"/>
        </w:rPr>
        <w:t xml:space="preserve">By </w:t>
      </w:r>
    </w:p>
    <w:p w:rsidR="00E53882" w:rsidRDefault="00E53882">
      <w:pPr>
        <w:spacing w:line="480" w:lineRule="auto"/>
        <w:rPr>
          <w:rFonts w:cs="Times New Roman"/>
          <w:szCs w:val="24"/>
        </w:rPr>
      </w:pPr>
    </w:p>
    <w:p w:rsidR="00E53882" w:rsidRDefault="00B16FF7">
      <w:pPr>
        <w:spacing w:line="480" w:lineRule="auto"/>
        <w:jc w:val="center"/>
        <w:rPr>
          <w:rFonts w:cs="Times New Roman"/>
          <w:b/>
          <w:bCs/>
          <w:sz w:val="28"/>
          <w:szCs w:val="28"/>
        </w:rPr>
      </w:pPr>
      <w:r>
        <w:rPr>
          <w:rFonts w:cs="Times New Roman"/>
          <w:b/>
          <w:bCs/>
          <w:sz w:val="28"/>
          <w:szCs w:val="28"/>
        </w:rPr>
        <w:t>ABDUL GANIYU ALHASSAN</w:t>
      </w:r>
    </w:p>
    <w:p w:rsidR="00E53882" w:rsidRDefault="00E53882">
      <w:pPr>
        <w:spacing w:after="0" w:line="480" w:lineRule="auto"/>
        <w:rPr>
          <w:rFonts w:ascii="Calibri" w:eastAsia="Calibri" w:hAnsi="Calibri" w:cs="Times New Roman"/>
        </w:rPr>
      </w:pPr>
    </w:p>
    <w:p w:rsidR="00E53882" w:rsidRDefault="00B16FF7">
      <w:pPr>
        <w:spacing w:after="0" w:line="480" w:lineRule="auto"/>
        <w:jc w:val="center"/>
        <w:rPr>
          <w:rFonts w:eastAsia="Calibri" w:cs="Times New Roman"/>
          <w:b/>
          <w:bCs/>
          <w:szCs w:val="24"/>
        </w:rPr>
      </w:pPr>
      <w:r>
        <w:rPr>
          <w:rFonts w:eastAsia="Calibri" w:cs="Times New Roman"/>
          <w:b/>
          <w:bCs/>
          <w:szCs w:val="24"/>
        </w:rPr>
        <w:t xml:space="preserve">(PG0065621) </w:t>
      </w:r>
    </w:p>
    <w:p w:rsidR="00E53882" w:rsidRDefault="00B16FF7">
      <w:pPr>
        <w:spacing w:after="40" w:line="480" w:lineRule="auto"/>
        <w:jc w:val="center"/>
        <w:rPr>
          <w:rFonts w:eastAsia="Calibri" w:cs="Times New Roman"/>
          <w:b/>
          <w:bCs/>
          <w:sz w:val="28"/>
          <w:szCs w:val="24"/>
        </w:rPr>
      </w:pPr>
      <w:r>
        <w:rPr>
          <w:rFonts w:eastAsia="Calibri" w:cs="Times New Roman"/>
          <w:b/>
          <w:szCs w:val="24"/>
        </w:rPr>
        <w:t>SUBMITTED TO THE FACULTY OF PUBLIC POLICY AND GOVERNANCE, DEPARTMENT OF GOVERNANCE AND DEVELEOPMENT MANAGEMENT OF</w:t>
      </w:r>
      <w:r>
        <w:rPr>
          <w:rFonts w:eastAsia="Calibri" w:cs="Times New Roman"/>
          <w:b/>
          <w:bCs/>
          <w:szCs w:val="24"/>
        </w:rPr>
        <w:t xml:space="preserve"> SIMON DIEDONG DOMBO UNIVERSITY OF BUSINESS AND INTEGRATED DEVELOPMENT STUDIES</w:t>
      </w:r>
      <w:r>
        <w:rPr>
          <w:rFonts w:eastAsia="Calibri" w:cs="Times New Roman"/>
          <w:b/>
          <w:szCs w:val="24"/>
        </w:rPr>
        <w:t xml:space="preserve"> IN PARTIAL FULFILMENT OF THE REQUIREMENTS FOR THE AWARD OF MASTER OF PHILOSOPHY IN DEVELOPMENT MANAGEMENT </w:t>
      </w:r>
    </w:p>
    <w:p w:rsidR="00E53882" w:rsidRDefault="00E53882">
      <w:pPr>
        <w:spacing w:line="480" w:lineRule="auto"/>
        <w:jc w:val="center"/>
        <w:rPr>
          <w:rFonts w:cs="Times New Roman"/>
          <w:szCs w:val="24"/>
        </w:rPr>
      </w:pPr>
    </w:p>
    <w:p w:rsidR="00E53882" w:rsidRDefault="00E53882">
      <w:pPr>
        <w:spacing w:line="480" w:lineRule="auto"/>
        <w:jc w:val="center"/>
        <w:rPr>
          <w:rFonts w:cs="Times New Roman"/>
          <w:szCs w:val="24"/>
        </w:rPr>
      </w:pPr>
    </w:p>
    <w:p w:rsidR="00E53882" w:rsidRDefault="0019198B">
      <w:pPr>
        <w:jc w:val="center"/>
        <w:rPr>
          <w:rFonts w:cs="Times New Roman"/>
          <w:b/>
          <w:bCs/>
          <w:szCs w:val="24"/>
        </w:rPr>
      </w:pPr>
      <w:r>
        <w:rPr>
          <w:rFonts w:cs="Times New Roman"/>
          <w:b/>
          <w:bCs/>
          <w:szCs w:val="24"/>
        </w:rPr>
        <w:t>APRIL</w:t>
      </w:r>
      <w:proofErr w:type="gramStart"/>
      <w:r w:rsidR="00FB16F9">
        <w:rPr>
          <w:rFonts w:cs="Times New Roman"/>
          <w:b/>
          <w:bCs/>
          <w:szCs w:val="24"/>
        </w:rPr>
        <w:t>,2024</w:t>
      </w:r>
      <w:proofErr w:type="gramEnd"/>
    </w:p>
    <w:p w:rsidR="00086F51" w:rsidRDefault="00086F51">
      <w:pPr>
        <w:jc w:val="center"/>
        <w:rPr>
          <w:rFonts w:cs="Times New Roman"/>
          <w:szCs w:val="24"/>
        </w:rPr>
        <w:sectPr w:rsidR="00086F51" w:rsidSect="00086F51">
          <w:footerReference w:type="default" r:id="rId8"/>
          <w:pgSz w:w="12240" w:h="15840"/>
          <w:pgMar w:top="1440" w:right="1440" w:bottom="1440" w:left="1872" w:header="720" w:footer="720" w:gutter="0"/>
          <w:pgNumType w:start="0"/>
          <w:cols w:space="720"/>
          <w:titlePg/>
          <w:docGrid w:linePitch="360"/>
        </w:sectPr>
      </w:pPr>
    </w:p>
    <w:p w:rsidR="00086F51" w:rsidRDefault="00086F51">
      <w:pPr>
        <w:jc w:val="center"/>
        <w:rPr>
          <w:rFonts w:cs="Times New Roman"/>
          <w:szCs w:val="24"/>
        </w:rPr>
      </w:pPr>
    </w:p>
    <w:p w:rsidR="0019198B" w:rsidRPr="0019198B" w:rsidRDefault="0019198B" w:rsidP="0019198B">
      <w:pPr>
        <w:pStyle w:val="Heading1"/>
        <w:spacing w:line="480" w:lineRule="auto"/>
        <w:rPr>
          <w:lang w:val="en-US"/>
        </w:rPr>
      </w:pPr>
      <w:bookmarkStart w:id="4" w:name="_Toc164261652"/>
      <w:r w:rsidRPr="0019198B">
        <w:rPr>
          <w:lang w:val="en-US"/>
        </w:rPr>
        <w:lastRenderedPageBreak/>
        <w:t>DECLARATION</w:t>
      </w:r>
      <w:bookmarkEnd w:id="4"/>
    </w:p>
    <w:p w:rsidR="0019198B" w:rsidRPr="005715DD" w:rsidRDefault="0019198B" w:rsidP="0019198B">
      <w:pPr>
        <w:pStyle w:val="Heading1"/>
        <w:spacing w:line="480" w:lineRule="auto"/>
        <w:jc w:val="both"/>
        <w:rPr>
          <w:b w:val="0"/>
          <w:lang w:val="en-US"/>
        </w:rPr>
      </w:pPr>
      <w:bookmarkStart w:id="5" w:name="_Toc164261653"/>
      <w:r w:rsidRPr="005715DD">
        <w:rPr>
          <w:b w:val="0"/>
          <w:lang w:val="en-US"/>
        </w:rPr>
        <w:t>I hereby declare that this dissertation is the result of my own original work and that no part of it has been presented for another degree in this University or elsewhere:</w:t>
      </w:r>
      <w:bookmarkEnd w:id="5"/>
    </w:p>
    <w:p w:rsidR="0019198B" w:rsidRPr="005715DD" w:rsidRDefault="0019198B" w:rsidP="0019198B">
      <w:pPr>
        <w:pStyle w:val="Heading1"/>
        <w:spacing w:line="480" w:lineRule="auto"/>
        <w:jc w:val="both"/>
        <w:rPr>
          <w:b w:val="0"/>
          <w:lang w:val="en-US"/>
        </w:rPr>
      </w:pPr>
      <w:bookmarkStart w:id="6" w:name="_Toc164261654"/>
      <w:r w:rsidRPr="005715DD">
        <w:rPr>
          <w:b w:val="0"/>
          <w:lang w:val="en-US"/>
        </w:rPr>
        <w:t>Candidate’s Signature</w:t>
      </w:r>
      <w:proofErr w:type="gramStart"/>
      <w:r w:rsidRPr="005715DD">
        <w:rPr>
          <w:b w:val="0"/>
          <w:lang w:val="en-US"/>
        </w:rPr>
        <w:t>:………………………………</w:t>
      </w:r>
      <w:proofErr w:type="gramEnd"/>
      <w:r w:rsidRPr="005715DD">
        <w:rPr>
          <w:b w:val="0"/>
          <w:lang w:val="en-US"/>
        </w:rPr>
        <w:t xml:space="preserve"> Date</w:t>
      </w:r>
      <w:proofErr w:type="gramStart"/>
      <w:r w:rsidRPr="005715DD">
        <w:rPr>
          <w:b w:val="0"/>
          <w:lang w:val="en-US"/>
        </w:rPr>
        <w:t>:…………………………</w:t>
      </w:r>
      <w:bookmarkEnd w:id="6"/>
      <w:proofErr w:type="gramEnd"/>
    </w:p>
    <w:p w:rsidR="0019198B" w:rsidRPr="005715DD" w:rsidRDefault="0019198B" w:rsidP="0019198B">
      <w:pPr>
        <w:pStyle w:val="Heading1"/>
        <w:spacing w:line="480" w:lineRule="auto"/>
        <w:jc w:val="both"/>
        <w:rPr>
          <w:b w:val="0"/>
          <w:lang w:val="en-US"/>
        </w:rPr>
      </w:pPr>
      <w:bookmarkStart w:id="7" w:name="_Toc164261655"/>
      <w:r w:rsidRPr="005715DD">
        <w:rPr>
          <w:b w:val="0"/>
          <w:lang w:val="en-US"/>
        </w:rPr>
        <w:t>Name</w:t>
      </w:r>
      <w:proofErr w:type="gramStart"/>
      <w:r w:rsidRPr="005715DD">
        <w:rPr>
          <w:b w:val="0"/>
          <w:lang w:val="en-US"/>
        </w:rPr>
        <w:t>:…………………………………………………………………………………</w:t>
      </w:r>
      <w:bookmarkEnd w:id="7"/>
      <w:proofErr w:type="gramEnd"/>
    </w:p>
    <w:p w:rsidR="0019198B" w:rsidRPr="005715DD" w:rsidRDefault="0019198B" w:rsidP="0019198B">
      <w:pPr>
        <w:pStyle w:val="Heading1"/>
        <w:spacing w:line="480" w:lineRule="auto"/>
        <w:jc w:val="both"/>
        <w:rPr>
          <w:lang w:val="en-US"/>
        </w:rPr>
      </w:pPr>
      <w:bookmarkStart w:id="8" w:name="_Toc164261656"/>
      <w:r w:rsidRPr="005715DD">
        <w:rPr>
          <w:lang w:val="en-US"/>
        </w:rPr>
        <w:t>Supervisors</w:t>
      </w:r>
      <w:bookmarkEnd w:id="8"/>
    </w:p>
    <w:p w:rsidR="0019198B" w:rsidRPr="005715DD" w:rsidRDefault="0019198B" w:rsidP="0019198B">
      <w:pPr>
        <w:pStyle w:val="Heading1"/>
        <w:spacing w:line="480" w:lineRule="auto"/>
        <w:jc w:val="both"/>
        <w:rPr>
          <w:b w:val="0"/>
          <w:lang w:val="en-US"/>
        </w:rPr>
      </w:pPr>
      <w:bookmarkStart w:id="9" w:name="_Toc164261657"/>
      <w:r w:rsidRPr="005715DD">
        <w:rPr>
          <w:b w:val="0"/>
          <w:lang w:val="en-US"/>
        </w:rPr>
        <w:t>I hereby declare that the preparation and presentation of the dissertation/thesis was supervised in accordance with the guidelines on supervision of dissertation/thesis laid down by the SIMON DIEDONG DOMBO UNIVERSITY OF BUSINESS AND INTEGRATED DEVELOPMENT STUDIES</w:t>
      </w:r>
      <w:bookmarkEnd w:id="9"/>
    </w:p>
    <w:p w:rsidR="0019198B" w:rsidRPr="009F05A3" w:rsidRDefault="0019198B" w:rsidP="0019198B">
      <w:pPr>
        <w:pStyle w:val="Heading1"/>
        <w:spacing w:line="480" w:lineRule="auto"/>
        <w:jc w:val="both"/>
        <w:rPr>
          <w:lang w:val="en-US"/>
        </w:rPr>
      </w:pPr>
      <w:bookmarkStart w:id="10" w:name="_Toc164261658"/>
      <w:r w:rsidRPr="009F05A3">
        <w:rPr>
          <w:lang w:val="en-US"/>
        </w:rPr>
        <w:t>Principal Supervisor’s</w:t>
      </w:r>
      <w:bookmarkEnd w:id="10"/>
      <w:r w:rsidRPr="009F05A3">
        <w:rPr>
          <w:lang w:val="en-US"/>
        </w:rPr>
        <w:t xml:space="preserve"> </w:t>
      </w:r>
    </w:p>
    <w:p w:rsidR="0019198B" w:rsidRPr="005715DD" w:rsidRDefault="0019198B" w:rsidP="0019198B">
      <w:pPr>
        <w:pStyle w:val="Heading1"/>
        <w:spacing w:line="480" w:lineRule="auto"/>
        <w:jc w:val="both"/>
        <w:rPr>
          <w:b w:val="0"/>
          <w:lang w:val="en-US"/>
        </w:rPr>
      </w:pPr>
      <w:bookmarkStart w:id="11" w:name="_Toc164261659"/>
      <w:r w:rsidRPr="005715DD">
        <w:rPr>
          <w:b w:val="0"/>
          <w:lang w:val="en-US"/>
        </w:rPr>
        <w:t>Signature</w:t>
      </w:r>
      <w:proofErr w:type="gramStart"/>
      <w:r w:rsidRPr="005715DD">
        <w:rPr>
          <w:b w:val="0"/>
          <w:lang w:val="en-US"/>
        </w:rPr>
        <w:t>:……………………………….</w:t>
      </w:r>
      <w:proofErr w:type="gramEnd"/>
      <w:r w:rsidRPr="005715DD">
        <w:rPr>
          <w:b w:val="0"/>
          <w:lang w:val="en-US"/>
        </w:rPr>
        <w:t xml:space="preserve"> Date</w:t>
      </w:r>
      <w:proofErr w:type="gramStart"/>
      <w:r w:rsidRPr="005715DD">
        <w:rPr>
          <w:b w:val="0"/>
          <w:lang w:val="en-US"/>
        </w:rPr>
        <w:t>:…………………………..</w:t>
      </w:r>
      <w:bookmarkEnd w:id="11"/>
      <w:proofErr w:type="gramEnd"/>
    </w:p>
    <w:p w:rsidR="0019198B" w:rsidRPr="005715DD" w:rsidRDefault="0019198B" w:rsidP="0019198B">
      <w:pPr>
        <w:pStyle w:val="Heading1"/>
        <w:spacing w:line="480" w:lineRule="auto"/>
        <w:jc w:val="both"/>
        <w:rPr>
          <w:b w:val="0"/>
          <w:lang w:val="en-US"/>
        </w:rPr>
      </w:pPr>
      <w:bookmarkStart w:id="12" w:name="_Toc164261660"/>
      <w:r w:rsidRPr="005715DD">
        <w:rPr>
          <w:b w:val="0"/>
          <w:lang w:val="en-US"/>
        </w:rPr>
        <w:t>Name</w:t>
      </w:r>
      <w:proofErr w:type="gramStart"/>
      <w:r w:rsidRPr="005715DD">
        <w:rPr>
          <w:b w:val="0"/>
          <w:lang w:val="en-US"/>
        </w:rPr>
        <w:t>:………………………………………………………………………</w:t>
      </w:r>
      <w:bookmarkEnd w:id="12"/>
      <w:proofErr w:type="gramEnd"/>
    </w:p>
    <w:p w:rsidR="005715DD" w:rsidRDefault="005715DD" w:rsidP="0019198B">
      <w:pPr>
        <w:pStyle w:val="Heading1"/>
        <w:spacing w:line="480" w:lineRule="auto"/>
        <w:jc w:val="both"/>
        <w:rPr>
          <w:b w:val="0"/>
          <w:lang w:val="en-US"/>
        </w:rPr>
      </w:pPr>
    </w:p>
    <w:p w:rsidR="0019198B" w:rsidRPr="009F05A3" w:rsidRDefault="0019198B" w:rsidP="0019198B">
      <w:pPr>
        <w:pStyle w:val="Heading1"/>
        <w:spacing w:line="480" w:lineRule="auto"/>
        <w:jc w:val="both"/>
        <w:rPr>
          <w:lang w:val="en-US"/>
        </w:rPr>
      </w:pPr>
      <w:bookmarkStart w:id="13" w:name="_Toc164261661"/>
      <w:r w:rsidRPr="009F05A3">
        <w:rPr>
          <w:lang w:val="en-US"/>
        </w:rPr>
        <w:t>Co-Supervisor’s Signature (if any)…………………………..</w:t>
      </w:r>
      <w:bookmarkEnd w:id="13"/>
      <w:r w:rsidRPr="009F05A3">
        <w:rPr>
          <w:lang w:val="en-US"/>
        </w:rPr>
        <w:t xml:space="preserve"> </w:t>
      </w:r>
    </w:p>
    <w:p w:rsidR="0019198B" w:rsidRPr="005715DD" w:rsidRDefault="0019198B" w:rsidP="0019198B">
      <w:pPr>
        <w:pStyle w:val="Heading1"/>
        <w:spacing w:line="480" w:lineRule="auto"/>
        <w:jc w:val="both"/>
        <w:rPr>
          <w:b w:val="0"/>
          <w:lang w:val="en-US"/>
        </w:rPr>
      </w:pPr>
      <w:bookmarkStart w:id="14" w:name="_Toc164261662"/>
      <w:r w:rsidRPr="005715DD">
        <w:rPr>
          <w:b w:val="0"/>
          <w:lang w:val="en-US"/>
        </w:rPr>
        <w:t>Date</w:t>
      </w:r>
      <w:proofErr w:type="gramStart"/>
      <w:r w:rsidRPr="005715DD">
        <w:rPr>
          <w:b w:val="0"/>
          <w:lang w:val="en-US"/>
        </w:rPr>
        <w:t>:……………………………</w:t>
      </w:r>
      <w:bookmarkEnd w:id="14"/>
      <w:proofErr w:type="gramEnd"/>
    </w:p>
    <w:p w:rsidR="0019198B" w:rsidRPr="005715DD" w:rsidRDefault="0019198B" w:rsidP="0019198B">
      <w:pPr>
        <w:pStyle w:val="Heading1"/>
        <w:spacing w:line="480" w:lineRule="auto"/>
        <w:jc w:val="both"/>
        <w:rPr>
          <w:b w:val="0"/>
          <w:lang w:val="en-US"/>
        </w:rPr>
      </w:pPr>
      <w:bookmarkStart w:id="15" w:name="_Toc164261663"/>
      <w:r w:rsidRPr="005715DD">
        <w:rPr>
          <w:b w:val="0"/>
          <w:lang w:val="en-US"/>
        </w:rPr>
        <w:t>Name</w:t>
      </w:r>
      <w:proofErr w:type="gramStart"/>
      <w:r w:rsidRPr="005715DD">
        <w:rPr>
          <w:b w:val="0"/>
          <w:lang w:val="en-US"/>
        </w:rPr>
        <w:t>:……………………………………………………………………………</w:t>
      </w:r>
      <w:bookmarkEnd w:id="15"/>
      <w:proofErr w:type="gramEnd"/>
    </w:p>
    <w:p w:rsidR="0019198B" w:rsidRPr="005715DD" w:rsidRDefault="0019198B" w:rsidP="0019198B"/>
    <w:p w:rsidR="00E53882" w:rsidRDefault="00B16FF7">
      <w:pPr>
        <w:pStyle w:val="Heading1"/>
        <w:spacing w:line="480" w:lineRule="auto"/>
      </w:pPr>
      <w:bookmarkStart w:id="16" w:name="_Toc164261664"/>
      <w:r>
        <w:lastRenderedPageBreak/>
        <w:t>DEDICATION</w:t>
      </w:r>
      <w:bookmarkEnd w:id="16"/>
      <w:r>
        <w:t xml:space="preserve"> </w:t>
      </w:r>
    </w:p>
    <w:p w:rsidR="00E53882" w:rsidRDefault="00B16FF7">
      <w:pPr>
        <w:spacing w:line="480" w:lineRule="auto"/>
        <w:rPr>
          <w:rFonts w:cs="Times New Roman"/>
          <w:szCs w:val="24"/>
        </w:rPr>
      </w:pPr>
      <w:r>
        <w:rPr>
          <w:rFonts w:cs="Times New Roman"/>
          <w:szCs w:val="24"/>
        </w:rPr>
        <w:t xml:space="preserve">I dedicate this work to Allah, whose divine guidance has illuminated my path throughout this journey. To my beloved mother, </w:t>
      </w:r>
      <w:proofErr w:type="spellStart"/>
      <w:r>
        <w:rPr>
          <w:rFonts w:cs="Times New Roman"/>
          <w:szCs w:val="24"/>
        </w:rPr>
        <w:t>Abdulai</w:t>
      </w:r>
      <w:proofErr w:type="spellEnd"/>
      <w:r>
        <w:rPr>
          <w:rFonts w:cs="Times New Roman"/>
          <w:szCs w:val="24"/>
        </w:rPr>
        <w:t xml:space="preserve"> </w:t>
      </w:r>
      <w:proofErr w:type="spellStart"/>
      <w:r>
        <w:rPr>
          <w:rFonts w:cs="Times New Roman"/>
          <w:szCs w:val="24"/>
        </w:rPr>
        <w:t>Mariama</w:t>
      </w:r>
      <w:proofErr w:type="spellEnd"/>
      <w:r>
        <w:rPr>
          <w:rFonts w:cs="Times New Roman"/>
          <w:szCs w:val="24"/>
        </w:rPr>
        <w:t xml:space="preserve">, and my cherished father, </w:t>
      </w:r>
      <w:proofErr w:type="spellStart"/>
      <w:r>
        <w:rPr>
          <w:rFonts w:cs="Times New Roman"/>
          <w:szCs w:val="24"/>
        </w:rPr>
        <w:t>Abdulai</w:t>
      </w:r>
      <w:proofErr w:type="spellEnd"/>
      <w:r>
        <w:rPr>
          <w:rFonts w:cs="Times New Roman"/>
          <w:szCs w:val="24"/>
        </w:rPr>
        <w:t xml:space="preserve"> Alhassan, your unwavering love, encouragement, and sacrifices have been my constant source of inspiration. And to my precious children, your presence in my life gives purpose and meaning to all that I do. This achievement is dedicated to each of you with heartfelt gratitude and love.</w:t>
      </w:r>
    </w:p>
    <w:p w:rsidR="00E53882" w:rsidRDefault="00E53882">
      <w:pPr>
        <w:pStyle w:val="Heading1"/>
        <w:spacing w:line="480" w:lineRule="auto"/>
        <w:jc w:val="left"/>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B16FF7">
      <w:pPr>
        <w:pStyle w:val="Heading1"/>
        <w:spacing w:line="480" w:lineRule="auto"/>
        <w:rPr>
          <w:rFonts w:eastAsia="Calibri"/>
        </w:rPr>
      </w:pPr>
      <w:bookmarkStart w:id="17" w:name="_Toc164261665"/>
      <w:r>
        <w:lastRenderedPageBreak/>
        <w:t>ACKNOWLEDGE</w:t>
      </w:r>
      <w:bookmarkEnd w:id="17"/>
      <w:r>
        <w:rPr>
          <w:rFonts w:eastAsia="Calibri"/>
        </w:rPr>
        <w:t xml:space="preserve"> </w:t>
      </w:r>
    </w:p>
    <w:p w:rsidR="00E53882" w:rsidRDefault="00B16FF7">
      <w:pPr>
        <w:spacing w:line="480" w:lineRule="auto"/>
        <w:rPr>
          <w:rFonts w:cs="Times New Roman"/>
          <w:szCs w:val="24"/>
        </w:rPr>
      </w:pPr>
      <w:r>
        <w:rPr>
          <w:rFonts w:cs="Times New Roman"/>
          <w:szCs w:val="24"/>
        </w:rPr>
        <w:t xml:space="preserve">I would like to extend my heartfelt gratitude to several individuals and organizations whose support and contributions have been instrumental in the successful completion of my master's program. First and foremost, I am deeply thankful to my supervisor, </w:t>
      </w:r>
      <w:proofErr w:type="spellStart"/>
      <w:r>
        <w:rPr>
          <w:rFonts w:cs="Times New Roman"/>
          <w:szCs w:val="24"/>
        </w:rPr>
        <w:t>Dr.</w:t>
      </w:r>
      <w:proofErr w:type="spellEnd"/>
      <w:r>
        <w:rPr>
          <w:rFonts w:cs="Times New Roman"/>
          <w:szCs w:val="24"/>
        </w:rPr>
        <w:t xml:space="preserve"> Francis Xavier </w:t>
      </w:r>
      <w:proofErr w:type="spellStart"/>
      <w:r>
        <w:rPr>
          <w:rFonts w:cs="Times New Roman"/>
          <w:szCs w:val="24"/>
        </w:rPr>
        <w:t>Jarawura</w:t>
      </w:r>
      <w:proofErr w:type="spellEnd"/>
      <w:r>
        <w:rPr>
          <w:rFonts w:cs="Times New Roman"/>
          <w:szCs w:val="24"/>
        </w:rPr>
        <w:t>, whose unwavering guidance, insightful feedback, and scholarly mentorship have been invaluable throughout my research journey. Your expertise and dedication have shaped my work and academic growth profoundly.</w:t>
      </w:r>
    </w:p>
    <w:p w:rsidR="00E53882" w:rsidRDefault="00B16FF7">
      <w:pPr>
        <w:spacing w:line="480" w:lineRule="auto"/>
        <w:rPr>
          <w:rFonts w:cs="Times New Roman"/>
          <w:szCs w:val="24"/>
        </w:rPr>
      </w:pPr>
      <w:r>
        <w:rPr>
          <w:rFonts w:cs="Times New Roman"/>
          <w:szCs w:val="24"/>
        </w:rPr>
        <w:t xml:space="preserve">I am also indebted to the pastoralists in </w:t>
      </w:r>
      <w:proofErr w:type="spellStart"/>
      <w:r>
        <w:rPr>
          <w:rFonts w:cs="Times New Roman"/>
          <w:szCs w:val="24"/>
        </w:rPr>
        <w:t>Gusheigu</w:t>
      </w:r>
      <w:proofErr w:type="spellEnd"/>
      <w:r>
        <w:rPr>
          <w:rFonts w:cs="Times New Roman"/>
          <w:szCs w:val="24"/>
        </w:rPr>
        <w:t xml:space="preserve"> Municipal, particularly </w:t>
      </w:r>
      <w:proofErr w:type="spellStart"/>
      <w:r>
        <w:rPr>
          <w:rFonts w:cs="Times New Roman"/>
          <w:szCs w:val="24"/>
        </w:rPr>
        <w:t>Fulbe</w:t>
      </w:r>
      <w:proofErr w:type="spellEnd"/>
      <w:r>
        <w:rPr>
          <w:rFonts w:cs="Times New Roman"/>
          <w:szCs w:val="24"/>
        </w:rPr>
        <w:t xml:space="preserve"> Chief  and all the respondents who generously shared their time, knowledge, and experiences with me. Your willingness to participate in this study was essential, and I am profoundly grateful for your cooperation. I extend my appreciation to the Ghana National Petroleum Corporation (GNPC) Foundation for sponsoring my master's program. Your financial support played a pivotal role in enabling me to pursue higher education and research in my chosen field.</w:t>
      </w:r>
    </w:p>
    <w:p w:rsidR="00E53882" w:rsidRDefault="00B16FF7">
      <w:pPr>
        <w:spacing w:line="480" w:lineRule="auto"/>
      </w:pPr>
      <w:r>
        <w:rPr>
          <w:rFonts w:cs="Times New Roman"/>
          <w:szCs w:val="24"/>
        </w:rPr>
        <w:t>To my course mates and colleagues, your camaraderie, intellectual discussions, and mutual support have made this academic journey both enriching and enjoyable. I cherish the friendships formed during this period and the collaborative spirit we shared. Last but not least, I want to express my deepest gratitude to my family for their unwavering love, encouragement, and understanding throughout this endeavour. Your support has been my pillar of strength, and I am profoundly thankful for your sacrifices and belief in me</w:t>
      </w:r>
      <w:r>
        <w:t xml:space="preserve">. </w:t>
      </w:r>
    </w:p>
    <w:p w:rsidR="00E53882" w:rsidRDefault="00B16FF7">
      <w:pPr>
        <w:spacing w:line="480" w:lineRule="auto"/>
      </w:pPr>
      <w:r>
        <w:t>To everyone who has contributed to my academic and personal growth, your assistance has been invaluable, and I am truly appreciative. Thank you for being a part of this significant milestone in my life.</w:t>
      </w:r>
    </w:p>
    <w:p w:rsidR="00E53882" w:rsidRDefault="00B16FF7">
      <w:pPr>
        <w:pStyle w:val="Heading1"/>
        <w:spacing w:line="480" w:lineRule="auto"/>
      </w:pPr>
      <w:bookmarkStart w:id="18" w:name="_Toc164261666"/>
      <w:r>
        <w:lastRenderedPageBreak/>
        <w:t>ABSTRACT</w:t>
      </w:r>
      <w:bookmarkEnd w:id="18"/>
    </w:p>
    <w:p w:rsidR="00E53882" w:rsidRDefault="00B16FF7">
      <w:pPr>
        <w:spacing w:line="480" w:lineRule="auto"/>
        <w:rPr>
          <w:rFonts w:eastAsia="Calibri" w:cs="Times New Roman"/>
          <w:szCs w:val="24"/>
        </w:rPr>
      </w:pPr>
      <w:r>
        <w:rPr>
          <w:rFonts w:eastAsia="Calibri" w:cs="Times New Roman"/>
          <w:szCs w:val="24"/>
        </w:rPr>
        <w:t xml:space="preserve">Climate change, recognized as a global phenomenon with far-reaching consequences, has been particularly impactful in </w:t>
      </w:r>
      <w:proofErr w:type="spellStart"/>
      <w:r>
        <w:rPr>
          <w:rFonts w:eastAsia="Calibri" w:cs="Times New Roman"/>
          <w:szCs w:val="24"/>
        </w:rPr>
        <w:t>dryland</w:t>
      </w:r>
      <w:proofErr w:type="spellEnd"/>
      <w:r>
        <w:rPr>
          <w:rFonts w:eastAsia="Calibri" w:cs="Times New Roman"/>
          <w:szCs w:val="24"/>
        </w:rPr>
        <w:t xml:space="preserve"> regions. Previous scholarships on climate change, and pastoralist mobility have focus on the adaptation strategies with no evidence on the characteristics of pastoralists and their perception on climate change.   Therefore, to fill this gap, the study adopted a qualitative approach to investigate the relationship between climate change and pastoralist mobility and how their internal movement patterns have evolved using interview and focus group guide. </w:t>
      </w:r>
      <w:r w:rsidR="0019198B">
        <w:rPr>
          <w:rFonts w:eastAsia="Calibri" w:cs="Times New Roman"/>
          <w:szCs w:val="24"/>
        </w:rPr>
        <w:t xml:space="preserve">The theories that was adopted include Push and Pull theory, Maximalist School of thought and Migration System and Network theory. </w:t>
      </w:r>
      <w:r>
        <w:rPr>
          <w:rFonts w:eastAsia="Calibri" w:cs="Times New Roman"/>
          <w:szCs w:val="24"/>
        </w:rPr>
        <w:t xml:space="preserve">The findings revealed five different ethnic groups involved in pastoralism in the study area which include </w:t>
      </w:r>
      <w:proofErr w:type="spellStart"/>
      <w:r>
        <w:rPr>
          <w:rFonts w:eastAsia="Calibri" w:cs="Times New Roman"/>
          <w:szCs w:val="24"/>
        </w:rPr>
        <w:t>Fulbe</w:t>
      </w:r>
      <w:proofErr w:type="spellEnd"/>
      <w:r>
        <w:rPr>
          <w:rFonts w:eastAsia="Calibri" w:cs="Times New Roman"/>
          <w:szCs w:val="24"/>
        </w:rPr>
        <w:t xml:space="preserve">, </w:t>
      </w:r>
      <w:proofErr w:type="spellStart"/>
      <w:r>
        <w:rPr>
          <w:rFonts w:eastAsia="Calibri" w:cs="Times New Roman"/>
          <w:szCs w:val="24"/>
        </w:rPr>
        <w:t>Jerigonji</w:t>
      </w:r>
      <w:proofErr w:type="spellEnd"/>
      <w:r>
        <w:rPr>
          <w:rFonts w:eastAsia="Calibri" w:cs="Times New Roman"/>
          <w:szCs w:val="24"/>
        </w:rPr>
        <w:t xml:space="preserve">, Moshi, </w:t>
      </w:r>
      <w:proofErr w:type="spellStart"/>
      <w:r>
        <w:rPr>
          <w:rFonts w:eastAsia="Calibri" w:cs="Times New Roman"/>
          <w:szCs w:val="24"/>
        </w:rPr>
        <w:t>Busansi</w:t>
      </w:r>
      <w:proofErr w:type="spellEnd"/>
      <w:r>
        <w:rPr>
          <w:rFonts w:eastAsia="Calibri" w:cs="Times New Roman"/>
          <w:szCs w:val="24"/>
        </w:rPr>
        <w:t xml:space="preserve">, and </w:t>
      </w:r>
      <w:proofErr w:type="spellStart"/>
      <w:r>
        <w:rPr>
          <w:rFonts w:eastAsia="Calibri" w:cs="Times New Roman"/>
          <w:szCs w:val="24"/>
        </w:rPr>
        <w:t>Gruma</w:t>
      </w:r>
      <w:proofErr w:type="spellEnd"/>
      <w:r>
        <w:rPr>
          <w:rFonts w:eastAsia="Calibri" w:cs="Times New Roman"/>
          <w:szCs w:val="24"/>
        </w:rPr>
        <w:t xml:space="preserve">. This ethnic group maintains a unique identity making it difficult for the people in the study area to distinguish them and therefore consider all of them as </w:t>
      </w:r>
      <w:proofErr w:type="spellStart"/>
      <w:r>
        <w:rPr>
          <w:rFonts w:eastAsia="Calibri" w:cs="Times New Roman"/>
          <w:szCs w:val="24"/>
        </w:rPr>
        <w:t>fulbe</w:t>
      </w:r>
      <w:proofErr w:type="spellEnd"/>
      <w:r>
        <w:rPr>
          <w:rFonts w:eastAsia="Calibri" w:cs="Times New Roman"/>
          <w:szCs w:val="24"/>
        </w:rPr>
        <w:t xml:space="preserve">. Results also shows that pastoralists have been experiencing high temperatures, unreliable rainfall patterns, and high wind in the study area. They attribute these changes to bush burning, and deforestation. The study also found a significant relationship between climate change and pastoralist mobility. Suggesting that the scarcity of essential resources such as grass and water is a predominant factor influencing mobility among pastoralists. In addition, the study revealed that pastoralists’ internal movement patterns have changed for the past two decades. They attribute these changes to large-scale farming, lack of forage, farmer-herder conflicts, and other socioeconomic factors. The study recommends further research into sustainable resource management practices that can help pastoralist communities ensure the availability of these critical resources for their livestock. </w:t>
      </w:r>
    </w:p>
    <w:p w:rsidR="00E53882" w:rsidRDefault="00E53882">
      <w:pPr>
        <w:spacing w:line="480" w:lineRule="auto"/>
        <w:rPr>
          <w:rFonts w:eastAsia="Calibri" w:cs="Times New Roman"/>
          <w:szCs w:val="24"/>
        </w:rPr>
      </w:pPr>
    </w:p>
    <w:sdt>
      <w:sdtPr>
        <w:rPr>
          <w:rFonts w:ascii="Times New Roman" w:eastAsiaTheme="minorHAnsi" w:hAnsi="Times New Roman" w:cstheme="minorBidi"/>
          <w:b/>
          <w:color w:val="auto"/>
          <w:sz w:val="24"/>
          <w:szCs w:val="22"/>
          <w:lang w:val="en-GB"/>
        </w:rPr>
        <w:id w:val="-159468051"/>
        <w:docPartObj>
          <w:docPartGallery w:val="Table of Contents"/>
          <w:docPartUnique/>
        </w:docPartObj>
      </w:sdtPr>
      <w:sdtEndPr>
        <w:rPr>
          <w:rFonts w:cs="Times New Roman"/>
          <w:bCs/>
          <w:szCs w:val="24"/>
        </w:rPr>
      </w:sdtEndPr>
      <w:sdtContent>
        <w:p w:rsidR="00E53882" w:rsidRDefault="00B16FF7">
          <w:pPr>
            <w:pStyle w:val="TOCHeading1"/>
            <w:spacing w:line="480" w:lineRule="auto"/>
            <w:jc w:val="center"/>
            <w:rPr>
              <w:rFonts w:ascii="Times New Roman" w:hAnsi="Times New Roman" w:cs="Times New Roman"/>
              <w:b/>
              <w:color w:val="auto"/>
              <w:sz w:val="24"/>
              <w:szCs w:val="24"/>
            </w:rPr>
          </w:pPr>
          <w:r>
            <w:rPr>
              <w:rFonts w:ascii="Times New Roman" w:hAnsi="Times New Roman" w:cs="Times New Roman"/>
              <w:b/>
              <w:color w:val="auto"/>
              <w:sz w:val="24"/>
              <w:szCs w:val="24"/>
            </w:rPr>
            <w:t>TABLE OF CONTENTS</w:t>
          </w:r>
        </w:p>
        <w:p w:rsidR="00EC50F4" w:rsidRDefault="00B16FF7">
          <w:pPr>
            <w:pStyle w:val="TOC1"/>
            <w:tabs>
              <w:tab w:val="right" w:leader="dot" w:pos="8918"/>
            </w:tabs>
            <w:rPr>
              <w:rFonts w:asciiTheme="minorHAnsi" w:eastAsiaTheme="minorEastAsia" w:hAnsiTheme="minorHAnsi"/>
              <w:noProof/>
              <w:sz w:val="22"/>
              <w:lang w:val="en-US"/>
            </w:rPr>
          </w:pPr>
          <w:r>
            <w:rPr>
              <w:rFonts w:cs="Times New Roman"/>
              <w:szCs w:val="24"/>
            </w:rPr>
            <w:fldChar w:fldCharType="begin"/>
          </w:r>
          <w:r>
            <w:rPr>
              <w:rFonts w:cs="Times New Roman"/>
              <w:szCs w:val="24"/>
            </w:rPr>
            <w:instrText xml:space="preserve"> TOC \o "1-3" \h \z \u </w:instrText>
          </w:r>
          <w:r>
            <w:rPr>
              <w:rFonts w:cs="Times New Roman"/>
              <w:szCs w:val="24"/>
            </w:rPr>
            <w:fldChar w:fldCharType="separate"/>
          </w:r>
          <w:hyperlink w:anchor="_Toc164261652" w:history="1">
            <w:r w:rsidR="00EC50F4" w:rsidRPr="006458AE">
              <w:rPr>
                <w:rStyle w:val="Hyperlink"/>
                <w:noProof/>
                <w:lang w:val="en-US"/>
              </w:rPr>
              <w:t>DECLARATION</w:t>
            </w:r>
            <w:r w:rsidR="00EC50F4">
              <w:rPr>
                <w:noProof/>
                <w:webHidden/>
              </w:rPr>
              <w:tab/>
            </w:r>
            <w:r w:rsidR="00EC50F4">
              <w:rPr>
                <w:noProof/>
                <w:webHidden/>
              </w:rPr>
              <w:fldChar w:fldCharType="begin"/>
            </w:r>
            <w:r w:rsidR="00EC50F4">
              <w:rPr>
                <w:noProof/>
                <w:webHidden/>
              </w:rPr>
              <w:instrText xml:space="preserve"> PAGEREF _Toc164261652 \h </w:instrText>
            </w:r>
            <w:r w:rsidR="00EC50F4">
              <w:rPr>
                <w:noProof/>
                <w:webHidden/>
              </w:rPr>
            </w:r>
            <w:r w:rsidR="00EC50F4">
              <w:rPr>
                <w:noProof/>
                <w:webHidden/>
              </w:rPr>
              <w:fldChar w:fldCharType="separate"/>
            </w:r>
            <w:r w:rsidR="00EC50F4">
              <w:rPr>
                <w:noProof/>
                <w:webHidden/>
              </w:rPr>
              <w:t>ii</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4" w:history="1">
            <w:r w:rsidR="00EC50F4" w:rsidRPr="006458AE">
              <w:rPr>
                <w:rStyle w:val="Hyperlink"/>
                <w:noProof/>
              </w:rPr>
              <w:t>DEDICATION</w:t>
            </w:r>
            <w:r w:rsidR="00EC50F4">
              <w:rPr>
                <w:noProof/>
                <w:webHidden/>
              </w:rPr>
              <w:tab/>
            </w:r>
            <w:r w:rsidR="00EC50F4">
              <w:rPr>
                <w:noProof/>
                <w:webHidden/>
              </w:rPr>
              <w:fldChar w:fldCharType="begin"/>
            </w:r>
            <w:r w:rsidR="00EC50F4">
              <w:rPr>
                <w:noProof/>
                <w:webHidden/>
              </w:rPr>
              <w:instrText xml:space="preserve"> PAGEREF _Toc164261664 \h </w:instrText>
            </w:r>
            <w:r w:rsidR="00EC50F4">
              <w:rPr>
                <w:noProof/>
                <w:webHidden/>
              </w:rPr>
            </w:r>
            <w:r w:rsidR="00EC50F4">
              <w:rPr>
                <w:noProof/>
                <w:webHidden/>
              </w:rPr>
              <w:fldChar w:fldCharType="separate"/>
            </w:r>
            <w:r w:rsidR="00EC50F4">
              <w:rPr>
                <w:noProof/>
                <w:webHidden/>
              </w:rPr>
              <w:t>iii</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5" w:history="1">
            <w:r w:rsidR="00EC50F4" w:rsidRPr="006458AE">
              <w:rPr>
                <w:rStyle w:val="Hyperlink"/>
                <w:noProof/>
              </w:rPr>
              <w:t>ACKNOWLEDGE</w:t>
            </w:r>
            <w:r w:rsidR="00EC50F4">
              <w:rPr>
                <w:noProof/>
                <w:webHidden/>
              </w:rPr>
              <w:tab/>
            </w:r>
            <w:r w:rsidR="00EC50F4">
              <w:rPr>
                <w:noProof/>
                <w:webHidden/>
              </w:rPr>
              <w:fldChar w:fldCharType="begin"/>
            </w:r>
            <w:r w:rsidR="00EC50F4">
              <w:rPr>
                <w:noProof/>
                <w:webHidden/>
              </w:rPr>
              <w:instrText xml:space="preserve"> PAGEREF _Toc164261665 \h </w:instrText>
            </w:r>
            <w:r w:rsidR="00EC50F4">
              <w:rPr>
                <w:noProof/>
                <w:webHidden/>
              </w:rPr>
            </w:r>
            <w:r w:rsidR="00EC50F4">
              <w:rPr>
                <w:noProof/>
                <w:webHidden/>
              </w:rPr>
              <w:fldChar w:fldCharType="separate"/>
            </w:r>
            <w:r w:rsidR="00EC50F4">
              <w:rPr>
                <w:noProof/>
                <w:webHidden/>
              </w:rPr>
              <w:t>iv</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6" w:history="1">
            <w:r w:rsidR="00EC50F4" w:rsidRPr="006458AE">
              <w:rPr>
                <w:rStyle w:val="Hyperlink"/>
                <w:noProof/>
              </w:rPr>
              <w:t>ABSTRACT</w:t>
            </w:r>
            <w:r w:rsidR="00EC50F4">
              <w:rPr>
                <w:noProof/>
                <w:webHidden/>
              </w:rPr>
              <w:tab/>
            </w:r>
            <w:r w:rsidR="00EC50F4">
              <w:rPr>
                <w:noProof/>
                <w:webHidden/>
              </w:rPr>
              <w:fldChar w:fldCharType="begin"/>
            </w:r>
            <w:r w:rsidR="00EC50F4">
              <w:rPr>
                <w:noProof/>
                <w:webHidden/>
              </w:rPr>
              <w:instrText xml:space="preserve"> PAGEREF _Toc164261666 \h </w:instrText>
            </w:r>
            <w:r w:rsidR="00EC50F4">
              <w:rPr>
                <w:noProof/>
                <w:webHidden/>
              </w:rPr>
            </w:r>
            <w:r w:rsidR="00EC50F4">
              <w:rPr>
                <w:noProof/>
                <w:webHidden/>
              </w:rPr>
              <w:fldChar w:fldCharType="separate"/>
            </w:r>
            <w:r w:rsidR="00EC50F4">
              <w:rPr>
                <w:noProof/>
                <w:webHidden/>
              </w:rPr>
              <w:t>v</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7" w:history="1">
            <w:r w:rsidR="00EC50F4" w:rsidRPr="006458AE">
              <w:rPr>
                <w:rStyle w:val="Hyperlink"/>
                <w:rFonts w:eastAsia="Calibri"/>
                <w:noProof/>
              </w:rPr>
              <w:t>LIST OF TABLES</w:t>
            </w:r>
            <w:r w:rsidR="00EC50F4">
              <w:rPr>
                <w:noProof/>
                <w:webHidden/>
              </w:rPr>
              <w:tab/>
            </w:r>
            <w:r w:rsidR="00EC50F4">
              <w:rPr>
                <w:noProof/>
                <w:webHidden/>
              </w:rPr>
              <w:fldChar w:fldCharType="begin"/>
            </w:r>
            <w:r w:rsidR="00EC50F4">
              <w:rPr>
                <w:noProof/>
                <w:webHidden/>
              </w:rPr>
              <w:instrText xml:space="preserve"> PAGEREF _Toc164261667 \h </w:instrText>
            </w:r>
            <w:r w:rsidR="00EC50F4">
              <w:rPr>
                <w:noProof/>
                <w:webHidden/>
              </w:rPr>
            </w:r>
            <w:r w:rsidR="00EC50F4">
              <w:rPr>
                <w:noProof/>
                <w:webHidden/>
              </w:rPr>
              <w:fldChar w:fldCharType="separate"/>
            </w:r>
            <w:r w:rsidR="00EC50F4">
              <w:rPr>
                <w:noProof/>
                <w:webHidden/>
              </w:rPr>
              <w:t>ix</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8" w:history="1">
            <w:r w:rsidR="00EC50F4" w:rsidRPr="006458AE">
              <w:rPr>
                <w:rStyle w:val="Hyperlink"/>
                <w:rFonts w:eastAsia="Calibri"/>
                <w:noProof/>
              </w:rPr>
              <w:t>LIST OF FIGURES</w:t>
            </w:r>
            <w:r w:rsidR="00EC50F4">
              <w:rPr>
                <w:noProof/>
                <w:webHidden/>
              </w:rPr>
              <w:tab/>
            </w:r>
            <w:r w:rsidR="00EC50F4">
              <w:rPr>
                <w:noProof/>
                <w:webHidden/>
              </w:rPr>
              <w:fldChar w:fldCharType="begin"/>
            </w:r>
            <w:r w:rsidR="00EC50F4">
              <w:rPr>
                <w:noProof/>
                <w:webHidden/>
              </w:rPr>
              <w:instrText xml:space="preserve"> PAGEREF _Toc164261668 \h </w:instrText>
            </w:r>
            <w:r w:rsidR="00EC50F4">
              <w:rPr>
                <w:noProof/>
                <w:webHidden/>
              </w:rPr>
            </w:r>
            <w:r w:rsidR="00EC50F4">
              <w:rPr>
                <w:noProof/>
                <w:webHidden/>
              </w:rPr>
              <w:fldChar w:fldCharType="separate"/>
            </w:r>
            <w:r w:rsidR="00EC50F4">
              <w:rPr>
                <w:noProof/>
                <w:webHidden/>
              </w:rPr>
              <w:t>x</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69" w:history="1">
            <w:r w:rsidR="00EC50F4" w:rsidRPr="006458AE">
              <w:rPr>
                <w:rStyle w:val="Hyperlink"/>
                <w:noProof/>
              </w:rPr>
              <w:t>LIST OF PLATES</w:t>
            </w:r>
            <w:r w:rsidR="00EC50F4">
              <w:rPr>
                <w:noProof/>
                <w:webHidden/>
              </w:rPr>
              <w:tab/>
            </w:r>
            <w:r w:rsidR="00EC50F4">
              <w:rPr>
                <w:noProof/>
                <w:webHidden/>
              </w:rPr>
              <w:fldChar w:fldCharType="begin"/>
            </w:r>
            <w:r w:rsidR="00EC50F4">
              <w:rPr>
                <w:noProof/>
                <w:webHidden/>
              </w:rPr>
              <w:instrText xml:space="preserve"> PAGEREF _Toc164261669 \h </w:instrText>
            </w:r>
            <w:r w:rsidR="00EC50F4">
              <w:rPr>
                <w:noProof/>
                <w:webHidden/>
              </w:rPr>
            </w:r>
            <w:r w:rsidR="00EC50F4">
              <w:rPr>
                <w:noProof/>
                <w:webHidden/>
              </w:rPr>
              <w:fldChar w:fldCharType="separate"/>
            </w:r>
            <w:r w:rsidR="00EC50F4">
              <w:rPr>
                <w:noProof/>
                <w:webHidden/>
              </w:rPr>
              <w:t>xi</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70" w:history="1">
            <w:r w:rsidR="00EC50F4" w:rsidRPr="006458AE">
              <w:rPr>
                <w:rStyle w:val="Hyperlink"/>
                <w:noProof/>
              </w:rPr>
              <w:t>LIST OF BOXES</w:t>
            </w:r>
            <w:r w:rsidR="00EC50F4">
              <w:rPr>
                <w:noProof/>
                <w:webHidden/>
              </w:rPr>
              <w:tab/>
            </w:r>
            <w:r w:rsidR="00EC50F4">
              <w:rPr>
                <w:noProof/>
                <w:webHidden/>
              </w:rPr>
              <w:fldChar w:fldCharType="begin"/>
            </w:r>
            <w:r w:rsidR="00EC50F4">
              <w:rPr>
                <w:noProof/>
                <w:webHidden/>
              </w:rPr>
              <w:instrText xml:space="preserve"> PAGEREF _Toc164261670 \h </w:instrText>
            </w:r>
            <w:r w:rsidR="00EC50F4">
              <w:rPr>
                <w:noProof/>
                <w:webHidden/>
              </w:rPr>
            </w:r>
            <w:r w:rsidR="00EC50F4">
              <w:rPr>
                <w:noProof/>
                <w:webHidden/>
              </w:rPr>
              <w:fldChar w:fldCharType="separate"/>
            </w:r>
            <w:r w:rsidR="00EC50F4">
              <w:rPr>
                <w:noProof/>
                <w:webHidden/>
              </w:rPr>
              <w:t>xii</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71" w:history="1">
            <w:r w:rsidR="00EC50F4" w:rsidRPr="006458AE">
              <w:rPr>
                <w:rStyle w:val="Hyperlink"/>
                <w:noProof/>
              </w:rPr>
              <w:t>LIST OF ABBREVIATIONS</w:t>
            </w:r>
            <w:r w:rsidR="00EC50F4">
              <w:rPr>
                <w:noProof/>
                <w:webHidden/>
              </w:rPr>
              <w:tab/>
            </w:r>
            <w:r w:rsidR="00EC50F4">
              <w:rPr>
                <w:noProof/>
                <w:webHidden/>
              </w:rPr>
              <w:fldChar w:fldCharType="begin"/>
            </w:r>
            <w:r w:rsidR="00EC50F4">
              <w:rPr>
                <w:noProof/>
                <w:webHidden/>
              </w:rPr>
              <w:instrText xml:space="preserve"> PAGEREF _Toc164261671 \h </w:instrText>
            </w:r>
            <w:r w:rsidR="00EC50F4">
              <w:rPr>
                <w:noProof/>
                <w:webHidden/>
              </w:rPr>
            </w:r>
            <w:r w:rsidR="00EC50F4">
              <w:rPr>
                <w:noProof/>
                <w:webHidden/>
              </w:rPr>
              <w:fldChar w:fldCharType="separate"/>
            </w:r>
            <w:r w:rsidR="00EC50F4">
              <w:rPr>
                <w:noProof/>
                <w:webHidden/>
              </w:rPr>
              <w:t>xiii</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72" w:history="1">
            <w:r w:rsidR="00EC50F4" w:rsidRPr="006458AE">
              <w:rPr>
                <w:rStyle w:val="Hyperlink"/>
                <w:rFonts w:eastAsia="Calibri"/>
                <w:noProof/>
              </w:rPr>
              <w:t>CHAPTER ONE</w:t>
            </w:r>
            <w:r w:rsidR="00EC50F4">
              <w:rPr>
                <w:noProof/>
                <w:webHidden/>
              </w:rPr>
              <w:tab/>
            </w:r>
            <w:r w:rsidR="00EC50F4">
              <w:rPr>
                <w:noProof/>
                <w:webHidden/>
              </w:rPr>
              <w:fldChar w:fldCharType="begin"/>
            </w:r>
            <w:r w:rsidR="00EC50F4">
              <w:rPr>
                <w:noProof/>
                <w:webHidden/>
              </w:rPr>
              <w:instrText xml:space="preserve"> PAGEREF _Toc164261672 \h </w:instrText>
            </w:r>
            <w:r w:rsidR="00EC50F4">
              <w:rPr>
                <w:noProof/>
                <w:webHidden/>
              </w:rPr>
            </w:r>
            <w:r w:rsidR="00EC50F4">
              <w:rPr>
                <w:noProof/>
                <w:webHidden/>
              </w:rPr>
              <w:fldChar w:fldCharType="separate"/>
            </w:r>
            <w:r w:rsidR="00EC50F4">
              <w:rPr>
                <w:noProof/>
                <w:webHidden/>
              </w:rPr>
              <w:t>1</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73" w:history="1">
            <w:r w:rsidR="00EC50F4" w:rsidRPr="006458AE">
              <w:rPr>
                <w:rStyle w:val="Hyperlink"/>
                <w:rFonts w:eastAsia="Calibri"/>
                <w:noProof/>
              </w:rPr>
              <w:t>GENERAL INTRODUCTION</w:t>
            </w:r>
            <w:r w:rsidR="00EC50F4">
              <w:rPr>
                <w:noProof/>
                <w:webHidden/>
              </w:rPr>
              <w:tab/>
            </w:r>
            <w:r w:rsidR="00EC50F4">
              <w:rPr>
                <w:noProof/>
                <w:webHidden/>
              </w:rPr>
              <w:fldChar w:fldCharType="begin"/>
            </w:r>
            <w:r w:rsidR="00EC50F4">
              <w:rPr>
                <w:noProof/>
                <w:webHidden/>
              </w:rPr>
              <w:instrText xml:space="preserve"> PAGEREF _Toc164261673 \h </w:instrText>
            </w:r>
            <w:r w:rsidR="00EC50F4">
              <w:rPr>
                <w:noProof/>
                <w:webHidden/>
              </w:rPr>
            </w:r>
            <w:r w:rsidR="00EC50F4">
              <w:rPr>
                <w:noProof/>
                <w:webHidden/>
              </w:rPr>
              <w:fldChar w:fldCharType="separate"/>
            </w:r>
            <w:r w:rsidR="00EC50F4">
              <w:rPr>
                <w:noProof/>
                <w:webHidden/>
              </w:rPr>
              <w:t>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74" w:history="1">
            <w:r w:rsidR="00EC50F4" w:rsidRPr="006458AE">
              <w:rPr>
                <w:rStyle w:val="Hyperlink"/>
                <w:noProof/>
              </w:rPr>
              <w:t>1.0 Background of the Study</w:t>
            </w:r>
            <w:r w:rsidR="00EC50F4">
              <w:rPr>
                <w:noProof/>
                <w:webHidden/>
              </w:rPr>
              <w:tab/>
            </w:r>
            <w:r w:rsidR="00EC50F4">
              <w:rPr>
                <w:noProof/>
                <w:webHidden/>
              </w:rPr>
              <w:fldChar w:fldCharType="begin"/>
            </w:r>
            <w:r w:rsidR="00EC50F4">
              <w:rPr>
                <w:noProof/>
                <w:webHidden/>
              </w:rPr>
              <w:instrText xml:space="preserve"> PAGEREF _Toc164261674 \h </w:instrText>
            </w:r>
            <w:r w:rsidR="00EC50F4">
              <w:rPr>
                <w:noProof/>
                <w:webHidden/>
              </w:rPr>
            </w:r>
            <w:r w:rsidR="00EC50F4">
              <w:rPr>
                <w:noProof/>
                <w:webHidden/>
              </w:rPr>
              <w:fldChar w:fldCharType="separate"/>
            </w:r>
            <w:r w:rsidR="00EC50F4">
              <w:rPr>
                <w:noProof/>
                <w:webHidden/>
              </w:rPr>
              <w:t>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75" w:history="1">
            <w:r w:rsidR="00EC50F4" w:rsidRPr="006458AE">
              <w:rPr>
                <w:rStyle w:val="Hyperlink"/>
                <w:noProof/>
              </w:rPr>
              <w:t>1.1 Statement of the Problem</w:t>
            </w:r>
            <w:r w:rsidR="00EC50F4">
              <w:rPr>
                <w:noProof/>
                <w:webHidden/>
              </w:rPr>
              <w:tab/>
            </w:r>
            <w:r w:rsidR="00EC50F4">
              <w:rPr>
                <w:noProof/>
                <w:webHidden/>
              </w:rPr>
              <w:fldChar w:fldCharType="begin"/>
            </w:r>
            <w:r w:rsidR="00EC50F4">
              <w:rPr>
                <w:noProof/>
                <w:webHidden/>
              </w:rPr>
              <w:instrText xml:space="preserve"> PAGEREF _Toc164261675 \h </w:instrText>
            </w:r>
            <w:r w:rsidR="00EC50F4">
              <w:rPr>
                <w:noProof/>
                <w:webHidden/>
              </w:rPr>
            </w:r>
            <w:r w:rsidR="00EC50F4">
              <w:rPr>
                <w:noProof/>
                <w:webHidden/>
              </w:rPr>
              <w:fldChar w:fldCharType="separate"/>
            </w:r>
            <w:r w:rsidR="00EC50F4">
              <w:rPr>
                <w:noProof/>
                <w:webHidden/>
              </w:rPr>
              <w:t>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0" w:history="1">
            <w:r w:rsidR="00EC50F4" w:rsidRPr="006458AE">
              <w:rPr>
                <w:rStyle w:val="Hyperlink"/>
                <w:noProof/>
              </w:rPr>
              <w:t>1.3 Research Objectives</w:t>
            </w:r>
            <w:r w:rsidR="00EC50F4">
              <w:rPr>
                <w:noProof/>
                <w:webHidden/>
              </w:rPr>
              <w:tab/>
            </w:r>
            <w:r w:rsidR="00EC50F4">
              <w:rPr>
                <w:noProof/>
                <w:webHidden/>
              </w:rPr>
              <w:fldChar w:fldCharType="begin"/>
            </w:r>
            <w:r w:rsidR="00EC50F4">
              <w:rPr>
                <w:noProof/>
                <w:webHidden/>
              </w:rPr>
              <w:instrText xml:space="preserve"> PAGEREF _Toc164261680 \h </w:instrText>
            </w:r>
            <w:r w:rsidR="00EC50F4">
              <w:rPr>
                <w:noProof/>
                <w:webHidden/>
              </w:rPr>
            </w:r>
            <w:r w:rsidR="00EC50F4">
              <w:rPr>
                <w:noProof/>
                <w:webHidden/>
              </w:rPr>
              <w:fldChar w:fldCharType="separate"/>
            </w:r>
            <w:r w:rsidR="00EC50F4">
              <w:rPr>
                <w:noProof/>
                <w:webHidden/>
              </w:rPr>
              <w:t>5</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1" w:history="1">
            <w:r w:rsidR="00EC50F4" w:rsidRPr="006458AE">
              <w:rPr>
                <w:rStyle w:val="Hyperlink"/>
                <w:noProof/>
              </w:rPr>
              <w:t>1.4 Significance of the Study</w:t>
            </w:r>
            <w:r w:rsidR="00EC50F4">
              <w:rPr>
                <w:noProof/>
                <w:webHidden/>
              </w:rPr>
              <w:tab/>
            </w:r>
            <w:r w:rsidR="00EC50F4">
              <w:rPr>
                <w:noProof/>
                <w:webHidden/>
              </w:rPr>
              <w:fldChar w:fldCharType="begin"/>
            </w:r>
            <w:r w:rsidR="00EC50F4">
              <w:rPr>
                <w:noProof/>
                <w:webHidden/>
              </w:rPr>
              <w:instrText xml:space="preserve"> PAGEREF _Toc164261681 \h </w:instrText>
            </w:r>
            <w:r w:rsidR="00EC50F4">
              <w:rPr>
                <w:noProof/>
                <w:webHidden/>
              </w:rPr>
            </w:r>
            <w:r w:rsidR="00EC50F4">
              <w:rPr>
                <w:noProof/>
                <w:webHidden/>
              </w:rPr>
              <w:fldChar w:fldCharType="separate"/>
            </w:r>
            <w:r w:rsidR="00EC50F4">
              <w:rPr>
                <w:noProof/>
                <w:webHidden/>
              </w:rPr>
              <w:t>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2" w:history="1">
            <w:r w:rsidR="00EC50F4" w:rsidRPr="006458AE">
              <w:rPr>
                <w:rStyle w:val="Hyperlink"/>
                <w:noProof/>
                <w:lang w:eastAsia="en-GB"/>
              </w:rPr>
              <w:t>1.5 Outline of the Dissertation</w:t>
            </w:r>
            <w:r w:rsidR="00EC50F4">
              <w:rPr>
                <w:noProof/>
                <w:webHidden/>
              </w:rPr>
              <w:tab/>
            </w:r>
            <w:r w:rsidR="00EC50F4">
              <w:rPr>
                <w:noProof/>
                <w:webHidden/>
              </w:rPr>
              <w:fldChar w:fldCharType="begin"/>
            </w:r>
            <w:r w:rsidR="00EC50F4">
              <w:rPr>
                <w:noProof/>
                <w:webHidden/>
              </w:rPr>
              <w:instrText xml:space="preserve"> PAGEREF _Toc164261682 \h </w:instrText>
            </w:r>
            <w:r w:rsidR="00EC50F4">
              <w:rPr>
                <w:noProof/>
                <w:webHidden/>
              </w:rPr>
            </w:r>
            <w:r w:rsidR="00EC50F4">
              <w:rPr>
                <w:noProof/>
                <w:webHidden/>
              </w:rPr>
              <w:fldChar w:fldCharType="separate"/>
            </w:r>
            <w:r w:rsidR="00EC50F4">
              <w:rPr>
                <w:noProof/>
                <w:webHidden/>
              </w:rPr>
              <w:t>6</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83" w:history="1">
            <w:r w:rsidR="00EC50F4" w:rsidRPr="006458AE">
              <w:rPr>
                <w:rStyle w:val="Hyperlink"/>
                <w:rFonts w:eastAsia="Calibri"/>
                <w:noProof/>
              </w:rPr>
              <w:t>CHAPTER TWO</w:t>
            </w:r>
            <w:r w:rsidR="00EC50F4">
              <w:rPr>
                <w:noProof/>
                <w:webHidden/>
              </w:rPr>
              <w:tab/>
            </w:r>
            <w:r w:rsidR="00EC50F4">
              <w:rPr>
                <w:noProof/>
                <w:webHidden/>
              </w:rPr>
              <w:fldChar w:fldCharType="begin"/>
            </w:r>
            <w:r w:rsidR="00EC50F4">
              <w:rPr>
                <w:noProof/>
                <w:webHidden/>
              </w:rPr>
              <w:instrText xml:space="preserve"> PAGEREF _Toc164261683 \h </w:instrText>
            </w:r>
            <w:r w:rsidR="00EC50F4">
              <w:rPr>
                <w:noProof/>
                <w:webHidden/>
              </w:rPr>
            </w:r>
            <w:r w:rsidR="00EC50F4">
              <w:rPr>
                <w:noProof/>
                <w:webHidden/>
              </w:rPr>
              <w:fldChar w:fldCharType="separate"/>
            </w:r>
            <w:r w:rsidR="00EC50F4">
              <w:rPr>
                <w:noProof/>
                <w:webHidden/>
              </w:rPr>
              <w:t>8</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84" w:history="1">
            <w:r w:rsidR="00EC50F4" w:rsidRPr="006458AE">
              <w:rPr>
                <w:rStyle w:val="Hyperlink"/>
                <w:rFonts w:eastAsia="Calibri"/>
                <w:noProof/>
              </w:rPr>
              <w:t>LITERATURE REVIEW</w:t>
            </w:r>
            <w:r w:rsidR="00EC50F4">
              <w:rPr>
                <w:noProof/>
                <w:webHidden/>
              </w:rPr>
              <w:tab/>
            </w:r>
            <w:r w:rsidR="00EC50F4">
              <w:rPr>
                <w:noProof/>
                <w:webHidden/>
              </w:rPr>
              <w:fldChar w:fldCharType="begin"/>
            </w:r>
            <w:r w:rsidR="00EC50F4">
              <w:rPr>
                <w:noProof/>
                <w:webHidden/>
              </w:rPr>
              <w:instrText xml:space="preserve"> PAGEREF _Toc164261684 \h </w:instrText>
            </w:r>
            <w:r w:rsidR="00EC50F4">
              <w:rPr>
                <w:noProof/>
                <w:webHidden/>
              </w:rPr>
            </w:r>
            <w:r w:rsidR="00EC50F4">
              <w:rPr>
                <w:noProof/>
                <w:webHidden/>
              </w:rPr>
              <w:fldChar w:fldCharType="separate"/>
            </w:r>
            <w:r w:rsidR="00EC50F4">
              <w:rPr>
                <w:noProof/>
                <w:webHidden/>
              </w:rPr>
              <w:t>8</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5" w:history="1">
            <w:r w:rsidR="00EC50F4" w:rsidRPr="006458AE">
              <w:rPr>
                <w:rStyle w:val="Hyperlink"/>
                <w:rFonts w:eastAsia="Calibri"/>
                <w:noProof/>
              </w:rPr>
              <w:t>2.0 Introduction</w:t>
            </w:r>
            <w:r w:rsidR="00EC50F4">
              <w:rPr>
                <w:noProof/>
                <w:webHidden/>
              </w:rPr>
              <w:tab/>
            </w:r>
            <w:r w:rsidR="00EC50F4">
              <w:rPr>
                <w:noProof/>
                <w:webHidden/>
              </w:rPr>
              <w:fldChar w:fldCharType="begin"/>
            </w:r>
            <w:r w:rsidR="00EC50F4">
              <w:rPr>
                <w:noProof/>
                <w:webHidden/>
              </w:rPr>
              <w:instrText xml:space="preserve"> PAGEREF _Toc164261685 \h </w:instrText>
            </w:r>
            <w:r w:rsidR="00EC50F4">
              <w:rPr>
                <w:noProof/>
                <w:webHidden/>
              </w:rPr>
            </w:r>
            <w:r w:rsidR="00EC50F4">
              <w:rPr>
                <w:noProof/>
                <w:webHidden/>
              </w:rPr>
              <w:fldChar w:fldCharType="separate"/>
            </w:r>
            <w:r w:rsidR="00EC50F4">
              <w:rPr>
                <w:noProof/>
                <w:webHidden/>
              </w:rPr>
              <w:t>8</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6" w:history="1">
            <w:r w:rsidR="00EC50F4" w:rsidRPr="006458AE">
              <w:rPr>
                <w:rStyle w:val="Hyperlink"/>
                <w:rFonts w:eastAsia="Calibri"/>
                <w:noProof/>
              </w:rPr>
              <w:t>2.1. Theoretical Review</w:t>
            </w:r>
            <w:r w:rsidR="00EC50F4">
              <w:rPr>
                <w:noProof/>
                <w:webHidden/>
              </w:rPr>
              <w:tab/>
            </w:r>
            <w:r w:rsidR="00EC50F4">
              <w:rPr>
                <w:noProof/>
                <w:webHidden/>
              </w:rPr>
              <w:fldChar w:fldCharType="begin"/>
            </w:r>
            <w:r w:rsidR="00EC50F4">
              <w:rPr>
                <w:noProof/>
                <w:webHidden/>
              </w:rPr>
              <w:instrText xml:space="preserve"> PAGEREF _Toc164261686 \h </w:instrText>
            </w:r>
            <w:r w:rsidR="00EC50F4">
              <w:rPr>
                <w:noProof/>
                <w:webHidden/>
              </w:rPr>
            </w:r>
            <w:r w:rsidR="00EC50F4">
              <w:rPr>
                <w:noProof/>
                <w:webHidden/>
              </w:rPr>
              <w:fldChar w:fldCharType="separate"/>
            </w:r>
            <w:r w:rsidR="00EC50F4">
              <w:rPr>
                <w:noProof/>
                <w:webHidden/>
              </w:rPr>
              <w:t>9</w:t>
            </w:r>
            <w:r w:rsidR="00EC50F4">
              <w:rPr>
                <w:noProof/>
                <w:webHidden/>
              </w:rPr>
              <w:fldChar w:fldCharType="end"/>
            </w:r>
          </w:hyperlink>
        </w:p>
        <w:p w:rsidR="00EC50F4" w:rsidRDefault="00204C37">
          <w:pPr>
            <w:pStyle w:val="TOC3"/>
            <w:tabs>
              <w:tab w:val="right" w:leader="dot" w:pos="8918"/>
            </w:tabs>
            <w:rPr>
              <w:rFonts w:asciiTheme="minorHAnsi" w:eastAsiaTheme="minorEastAsia" w:hAnsiTheme="minorHAnsi"/>
              <w:noProof/>
              <w:sz w:val="22"/>
              <w:lang w:val="en-US"/>
            </w:rPr>
          </w:pPr>
          <w:hyperlink w:anchor="_Toc164261687" w:history="1">
            <w:r w:rsidR="00EC50F4" w:rsidRPr="006458AE">
              <w:rPr>
                <w:rStyle w:val="Hyperlink"/>
                <w:noProof/>
                <w:lang w:bidi="en-US"/>
              </w:rPr>
              <w:t>2.1.1 Migration Theory of Push and Pull</w:t>
            </w:r>
            <w:r w:rsidR="00EC50F4">
              <w:rPr>
                <w:noProof/>
                <w:webHidden/>
              </w:rPr>
              <w:tab/>
            </w:r>
            <w:r w:rsidR="00EC50F4">
              <w:rPr>
                <w:noProof/>
                <w:webHidden/>
              </w:rPr>
              <w:fldChar w:fldCharType="begin"/>
            </w:r>
            <w:r w:rsidR="00EC50F4">
              <w:rPr>
                <w:noProof/>
                <w:webHidden/>
              </w:rPr>
              <w:instrText xml:space="preserve"> PAGEREF _Toc164261687 \h </w:instrText>
            </w:r>
            <w:r w:rsidR="00EC50F4">
              <w:rPr>
                <w:noProof/>
                <w:webHidden/>
              </w:rPr>
            </w:r>
            <w:r w:rsidR="00EC50F4">
              <w:rPr>
                <w:noProof/>
                <w:webHidden/>
              </w:rPr>
              <w:fldChar w:fldCharType="separate"/>
            </w:r>
            <w:r w:rsidR="00EC50F4">
              <w:rPr>
                <w:noProof/>
                <w:webHidden/>
              </w:rPr>
              <w:t>9</w:t>
            </w:r>
            <w:r w:rsidR="00EC50F4">
              <w:rPr>
                <w:noProof/>
                <w:webHidden/>
              </w:rPr>
              <w:fldChar w:fldCharType="end"/>
            </w:r>
          </w:hyperlink>
        </w:p>
        <w:p w:rsidR="00EC50F4" w:rsidRDefault="00204C37">
          <w:pPr>
            <w:pStyle w:val="TOC3"/>
            <w:tabs>
              <w:tab w:val="right" w:leader="dot" w:pos="8918"/>
            </w:tabs>
            <w:rPr>
              <w:rFonts w:asciiTheme="minorHAnsi" w:eastAsiaTheme="minorEastAsia" w:hAnsiTheme="minorHAnsi"/>
              <w:noProof/>
              <w:sz w:val="22"/>
              <w:lang w:val="en-US"/>
            </w:rPr>
          </w:pPr>
          <w:hyperlink w:anchor="_Toc164261688" w:history="1">
            <w:r w:rsidR="00EC50F4" w:rsidRPr="006458AE">
              <w:rPr>
                <w:rStyle w:val="Hyperlink"/>
                <w:noProof/>
                <w:lang w:bidi="en-US"/>
              </w:rPr>
              <w:t>2.1.3 The Migration Systems and Network Theories</w:t>
            </w:r>
            <w:r w:rsidR="00EC50F4">
              <w:rPr>
                <w:noProof/>
                <w:webHidden/>
              </w:rPr>
              <w:tab/>
            </w:r>
            <w:r w:rsidR="00EC50F4">
              <w:rPr>
                <w:noProof/>
                <w:webHidden/>
              </w:rPr>
              <w:fldChar w:fldCharType="begin"/>
            </w:r>
            <w:r w:rsidR="00EC50F4">
              <w:rPr>
                <w:noProof/>
                <w:webHidden/>
              </w:rPr>
              <w:instrText xml:space="preserve"> PAGEREF _Toc164261688 \h </w:instrText>
            </w:r>
            <w:r w:rsidR="00EC50F4">
              <w:rPr>
                <w:noProof/>
                <w:webHidden/>
              </w:rPr>
            </w:r>
            <w:r w:rsidR="00EC50F4">
              <w:rPr>
                <w:noProof/>
                <w:webHidden/>
              </w:rPr>
              <w:fldChar w:fldCharType="separate"/>
            </w:r>
            <w:r w:rsidR="00EC50F4">
              <w:rPr>
                <w:noProof/>
                <w:webHidden/>
              </w:rPr>
              <w:t>16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89" w:history="1">
            <w:r w:rsidR="00EC50F4" w:rsidRPr="006458AE">
              <w:rPr>
                <w:rStyle w:val="Hyperlink"/>
                <w:rFonts w:eastAsia="Calibri"/>
                <w:noProof/>
              </w:rPr>
              <w:t>2.2.2 Pastoralism</w:t>
            </w:r>
            <w:r w:rsidR="00EC50F4">
              <w:rPr>
                <w:noProof/>
                <w:webHidden/>
              </w:rPr>
              <w:tab/>
            </w:r>
            <w:r w:rsidR="00EC50F4">
              <w:rPr>
                <w:noProof/>
                <w:webHidden/>
              </w:rPr>
              <w:fldChar w:fldCharType="begin"/>
            </w:r>
            <w:r w:rsidR="00EC50F4">
              <w:rPr>
                <w:noProof/>
                <w:webHidden/>
              </w:rPr>
              <w:instrText xml:space="preserve"> PAGEREF _Toc164261689 \h </w:instrText>
            </w:r>
            <w:r w:rsidR="00EC50F4">
              <w:rPr>
                <w:noProof/>
                <w:webHidden/>
              </w:rPr>
            </w:r>
            <w:r w:rsidR="00EC50F4">
              <w:rPr>
                <w:noProof/>
                <w:webHidden/>
              </w:rPr>
              <w:fldChar w:fldCharType="separate"/>
            </w:r>
            <w:r w:rsidR="00EC50F4">
              <w:rPr>
                <w:noProof/>
                <w:webHidden/>
              </w:rPr>
              <w:t>24</w:t>
            </w:r>
            <w:r w:rsidR="00EC50F4">
              <w:rPr>
                <w:noProof/>
                <w:webHidden/>
              </w:rPr>
              <w:fldChar w:fldCharType="end"/>
            </w:r>
          </w:hyperlink>
        </w:p>
        <w:p w:rsidR="00EC50F4" w:rsidRDefault="00204C37">
          <w:pPr>
            <w:pStyle w:val="TOC3"/>
            <w:tabs>
              <w:tab w:val="right" w:leader="dot" w:pos="8918"/>
            </w:tabs>
            <w:rPr>
              <w:rFonts w:asciiTheme="minorHAnsi" w:eastAsiaTheme="minorEastAsia" w:hAnsiTheme="minorHAnsi"/>
              <w:noProof/>
              <w:sz w:val="22"/>
              <w:lang w:val="en-US"/>
            </w:rPr>
          </w:pPr>
          <w:hyperlink w:anchor="_Toc164261690" w:history="1">
            <w:r w:rsidR="00EC50F4" w:rsidRPr="006458AE">
              <w:rPr>
                <w:rStyle w:val="Hyperlink"/>
                <w:noProof/>
                <w:lang w:bidi="en-US"/>
              </w:rPr>
              <w:t>2.2.3 Climate Change and Pastoralists Mobility</w:t>
            </w:r>
            <w:r w:rsidR="00EC50F4">
              <w:rPr>
                <w:noProof/>
                <w:webHidden/>
              </w:rPr>
              <w:tab/>
            </w:r>
            <w:r w:rsidR="00EC50F4">
              <w:rPr>
                <w:noProof/>
                <w:webHidden/>
              </w:rPr>
              <w:fldChar w:fldCharType="begin"/>
            </w:r>
            <w:r w:rsidR="00EC50F4">
              <w:rPr>
                <w:noProof/>
                <w:webHidden/>
              </w:rPr>
              <w:instrText xml:space="preserve"> PAGEREF _Toc164261690 \h </w:instrText>
            </w:r>
            <w:r w:rsidR="00EC50F4">
              <w:rPr>
                <w:noProof/>
                <w:webHidden/>
              </w:rPr>
            </w:r>
            <w:r w:rsidR="00EC50F4">
              <w:rPr>
                <w:noProof/>
                <w:webHidden/>
              </w:rPr>
              <w:fldChar w:fldCharType="separate"/>
            </w:r>
            <w:r w:rsidR="00EC50F4">
              <w:rPr>
                <w:noProof/>
                <w:webHidden/>
              </w:rPr>
              <w:t>28</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1" w:history="1">
            <w:r w:rsidR="00EC50F4" w:rsidRPr="006458AE">
              <w:rPr>
                <w:rStyle w:val="Hyperlink"/>
                <w:rFonts w:eastAsia="Calibri"/>
                <w:noProof/>
              </w:rPr>
              <w:t>2.3 Empirical Review</w:t>
            </w:r>
            <w:r w:rsidR="00EC50F4">
              <w:rPr>
                <w:noProof/>
                <w:webHidden/>
              </w:rPr>
              <w:tab/>
            </w:r>
            <w:r w:rsidR="00EC50F4">
              <w:rPr>
                <w:noProof/>
                <w:webHidden/>
              </w:rPr>
              <w:fldChar w:fldCharType="begin"/>
            </w:r>
            <w:r w:rsidR="00EC50F4">
              <w:rPr>
                <w:noProof/>
                <w:webHidden/>
              </w:rPr>
              <w:instrText xml:space="preserve"> PAGEREF _Toc164261691 \h </w:instrText>
            </w:r>
            <w:r w:rsidR="00EC50F4">
              <w:rPr>
                <w:noProof/>
                <w:webHidden/>
              </w:rPr>
            </w:r>
            <w:r w:rsidR="00EC50F4">
              <w:rPr>
                <w:noProof/>
                <w:webHidden/>
              </w:rPr>
              <w:fldChar w:fldCharType="separate"/>
            </w:r>
            <w:r w:rsidR="00EC50F4">
              <w:rPr>
                <w:noProof/>
                <w:webHidden/>
              </w:rPr>
              <w:t>33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2" w:history="1">
            <w:r w:rsidR="00EC50F4" w:rsidRPr="006458AE">
              <w:rPr>
                <w:rStyle w:val="Hyperlink"/>
                <w:noProof/>
              </w:rPr>
              <w:t>2.4 Lessons Learnt from the Empirical Review</w:t>
            </w:r>
            <w:r w:rsidR="00EC50F4">
              <w:rPr>
                <w:noProof/>
                <w:webHidden/>
              </w:rPr>
              <w:tab/>
            </w:r>
            <w:r w:rsidR="00EC50F4">
              <w:rPr>
                <w:noProof/>
                <w:webHidden/>
              </w:rPr>
              <w:fldChar w:fldCharType="begin"/>
            </w:r>
            <w:r w:rsidR="00EC50F4">
              <w:rPr>
                <w:noProof/>
                <w:webHidden/>
              </w:rPr>
              <w:instrText xml:space="preserve"> PAGEREF _Toc164261692 \h </w:instrText>
            </w:r>
            <w:r w:rsidR="00EC50F4">
              <w:rPr>
                <w:noProof/>
                <w:webHidden/>
              </w:rPr>
            </w:r>
            <w:r w:rsidR="00EC50F4">
              <w:rPr>
                <w:noProof/>
                <w:webHidden/>
              </w:rPr>
              <w:fldChar w:fldCharType="separate"/>
            </w:r>
            <w:r w:rsidR="00EC50F4">
              <w:rPr>
                <w:noProof/>
                <w:webHidden/>
              </w:rPr>
              <w:t>42</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3" w:history="1">
            <w:r w:rsidR="00EC50F4" w:rsidRPr="006458AE">
              <w:rPr>
                <w:rStyle w:val="Hyperlink"/>
                <w:noProof/>
              </w:rPr>
              <w:t>2.5. Conceptual Framework</w:t>
            </w:r>
            <w:r w:rsidR="00EC50F4">
              <w:rPr>
                <w:noProof/>
                <w:webHidden/>
              </w:rPr>
              <w:tab/>
            </w:r>
            <w:r w:rsidR="00EC50F4">
              <w:rPr>
                <w:noProof/>
                <w:webHidden/>
              </w:rPr>
              <w:fldChar w:fldCharType="begin"/>
            </w:r>
            <w:r w:rsidR="00EC50F4">
              <w:rPr>
                <w:noProof/>
                <w:webHidden/>
              </w:rPr>
              <w:instrText xml:space="preserve"> PAGEREF _Toc164261693 \h </w:instrText>
            </w:r>
            <w:r w:rsidR="00EC50F4">
              <w:rPr>
                <w:noProof/>
                <w:webHidden/>
              </w:rPr>
            </w:r>
            <w:r w:rsidR="00EC50F4">
              <w:rPr>
                <w:noProof/>
                <w:webHidden/>
              </w:rPr>
              <w:fldChar w:fldCharType="separate"/>
            </w:r>
            <w:r w:rsidR="00EC50F4">
              <w:rPr>
                <w:noProof/>
                <w:webHidden/>
              </w:rPr>
              <w:t>44</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94" w:history="1">
            <w:r w:rsidR="00EC50F4" w:rsidRPr="006458AE">
              <w:rPr>
                <w:rStyle w:val="Hyperlink"/>
                <w:rFonts w:eastAsia="Calibri"/>
                <w:noProof/>
                <w:shd w:val="clear" w:color="auto" w:fill="FFFFFF"/>
                <w:lang w:bidi="en-US"/>
              </w:rPr>
              <w:t>CHAPTER THREE</w:t>
            </w:r>
            <w:r w:rsidR="00EC50F4">
              <w:rPr>
                <w:noProof/>
                <w:webHidden/>
              </w:rPr>
              <w:tab/>
            </w:r>
            <w:r w:rsidR="00EC50F4">
              <w:rPr>
                <w:noProof/>
                <w:webHidden/>
              </w:rPr>
              <w:fldChar w:fldCharType="begin"/>
            </w:r>
            <w:r w:rsidR="00EC50F4">
              <w:rPr>
                <w:noProof/>
                <w:webHidden/>
              </w:rPr>
              <w:instrText xml:space="preserve"> PAGEREF _Toc164261694 \h </w:instrText>
            </w:r>
            <w:r w:rsidR="00EC50F4">
              <w:rPr>
                <w:noProof/>
                <w:webHidden/>
              </w:rPr>
            </w:r>
            <w:r w:rsidR="00EC50F4">
              <w:rPr>
                <w:noProof/>
                <w:webHidden/>
              </w:rPr>
              <w:fldChar w:fldCharType="separate"/>
            </w:r>
            <w:r w:rsidR="00EC50F4">
              <w:rPr>
                <w:noProof/>
                <w:webHidden/>
              </w:rPr>
              <w:t>46</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695" w:history="1">
            <w:r w:rsidR="00EC50F4" w:rsidRPr="006458AE">
              <w:rPr>
                <w:rStyle w:val="Hyperlink"/>
                <w:rFonts w:eastAsia="Calibri"/>
                <w:noProof/>
                <w:shd w:val="clear" w:color="auto" w:fill="FFFFFF"/>
                <w:lang w:bidi="en-US"/>
              </w:rPr>
              <w:t>METHODOLOGY</w:t>
            </w:r>
            <w:r w:rsidR="00EC50F4">
              <w:rPr>
                <w:noProof/>
                <w:webHidden/>
              </w:rPr>
              <w:tab/>
            </w:r>
            <w:r w:rsidR="00EC50F4">
              <w:rPr>
                <w:noProof/>
                <w:webHidden/>
              </w:rPr>
              <w:fldChar w:fldCharType="begin"/>
            </w:r>
            <w:r w:rsidR="00EC50F4">
              <w:rPr>
                <w:noProof/>
                <w:webHidden/>
              </w:rPr>
              <w:instrText xml:space="preserve"> PAGEREF _Toc164261695 \h </w:instrText>
            </w:r>
            <w:r w:rsidR="00EC50F4">
              <w:rPr>
                <w:noProof/>
                <w:webHidden/>
              </w:rPr>
            </w:r>
            <w:r w:rsidR="00EC50F4">
              <w:rPr>
                <w:noProof/>
                <w:webHidden/>
              </w:rPr>
              <w:fldChar w:fldCharType="separate"/>
            </w:r>
            <w:r w:rsidR="00EC50F4">
              <w:rPr>
                <w:noProof/>
                <w:webHidden/>
              </w:rPr>
              <w:t>46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6" w:history="1">
            <w:r w:rsidR="00EC50F4" w:rsidRPr="006458AE">
              <w:rPr>
                <w:rStyle w:val="Hyperlink"/>
                <w:rFonts w:eastAsia="Calibri"/>
                <w:noProof/>
              </w:rPr>
              <w:t>3.1 Profile of the Study Area</w:t>
            </w:r>
            <w:r w:rsidR="00EC50F4">
              <w:rPr>
                <w:noProof/>
                <w:webHidden/>
              </w:rPr>
              <w:tab/>
            </w:r>
            <w:r w:rsidR="00EC50F4">
              <w:rPr>
                <w:noProof/>
                <w:webHidden/>
              </w:rPr>
              <w:fldChar w:fldCharType="begin"/>
            </w:r>
            <w:r w:rsidR="00EC50F4">
              <w:rPr>
                <w:noProof/>
                <w:webHidden/>
              </w:rPr>
              <w:instrText xml:space="preserve"> PAGEREF _Toc164261696 \h </w:instrText>
            </w:r>
            <w:r w:rsidR="00EC50F4">
              <w:rPr>
                <w:noProof/>
                <w:webHidden/>
              </w:rPr>
            </w:r>
            <w:r w:rsidR="00EC50F4">
              <w:rPr>
                <w:noProof/>
                <w:webHidden/>
              </w:rPr>
              <w:fldChar w:fldCharType="separate"/>
            </w:r>
            <w:r w:rsidR="00EC50F4">
              <w:rPr>
                <w:noProof/>
                <w:webHidden/>
              </w:rPr>
              <w:t>47</w:t>
            </w:r>
            <w:r w:rsidR="00EC50F4">
              <w:rPr>
                <w:noProof/>
                <w:webHidden/>
              </w:rPr>
              <w:fldChar w:fldCharType="end"/>
            </w:r>
          </w:hyperlink>
        </w:p>
        <w:p w:rsidR="00EC50F4" w:rsidRDefault="00204C37">
          <w:pPr>
            <w:pStyle w:val="TOC3"/>
            <w:tabs>
              <w:tab w:val="right" w:leader="dot" w:pos="8918"/>
            </w:tabs>
            <w:rPr>
              <w:rFonts w:asciiTheme="minorHAnsi" w:eastAsiaTheme="minorEastAsia" w:hAnsiTheme="minorHAnsi"/>
              <w:noProof/>
              <w:sz w:val="22"/>
              <w:lang w:val="en-US"/>
            </w:rPr>
          </w:pPr>
          <w:hyperlink w:anchor="_Toc164261697" w:history="1">
            <w:r w:rsidR="00EC50F4" w:rsidRPr="006458AE">
              <w:rPr>
                <w:rStyle w:val="Hyperlink"/>
                <w:noProof/>
                <w:lang w:bidi="en-US"/>
              </w:rPr>
              <w:t>3.2.1 Research Paradigm</w:t>
            </w:r>
            <w:r w:rsidR="00EC50F4">
              <w:rPr>
                <w:noProof/>
                <w:webHidden/>
              </w:rPr>
              <w:tab/>
            </w:r>
            <w:r w:rsidR="00EC50F4">
              <w:rPr>
                <w:noProof/>
                <w:webHidden/>
              </w:rPr>
              <w:fldChar w:fldCharType="begin"/>
            </w:r>
            <w:r w:rsidR="00EC50F4">
              <w:rPr>
                <w:noProof/>
                <w:webHidden/>
              </w:rPr>
              <w:instrText xml:space="preserve"> PAGEREF _Toc164261697 \h </w:instrText>
            </w:r>
            <w:r w:rsidR="00EC50F4">
              <w:rPr>
                <w:noProof/>
                <w:webHidden/>
              </w:rPr>
            </w:r>
            <w:r w:rsidR="00EC50F4">
              <w:rPr>
                <w:noProof/>
                <w:webHidden/>
              </w:rPr>
              <w:fldChar w:fldCharType="separate"/>
            </w:r>
            <w:r w:rsidR="00EC50F4">
              <w:rPr>
                <w:noProof/>
                <w:webHidden/>
              </w:rPr>
              <w:t>50</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8" w:history="1">
            <w:r w:rsidR="00EC50F4" w:rsidRPr="006458AE">
              <w:rPr>
                <w:rStyle w:val="Hyperlink"/>
                <w:rFonts w:eastAsia="Calibri"/>
                <w:noProof/>
              </w:rPr>
              <w:t>3.2.2 Research Approach</w:t>
            </w:r>
            <w:r w:rsidR="00EC50F4">
              <w:rPr>
                <w:noProof/>
                <w:webHidden/>
              </w:rPr>
              <w:tab/>
            </w:r>
            <w:r w:rsidR="00EC50F4">
              <w:rPr>
                <w:noProof/>
                <w:webHidden/>
              </w:rPr>
              <w:fldChar w:fldCharType="begin"/>
            </w:r>
            <w:r w:rsidR="00EC50F4">
              <w:rPr>
                <w:noProof/>
                <w:webHidden/>
              </w:rPr>
              <w:instrText xml:space="preserve"> PAGEREF _Toc164261698 \h </w:instrText>
            </w:r>
            <w:r w:rsidR="00EC50F4">
              <w:rPr>
                <w:noProof/>
                <w:webHidden/>
              </w:rPr>
            </w:r>
            <w:r w:rsidR="00EC50F4">
              <w:rPr>
                <w:noProof/>
                <w:webHidden/>
              </w:rPr>
              <w:fldChar w:fldCharType="separate"/>
            </w:r>
            <w:r w:rsidR="00EC50F4">
              <w:rPr>
                <w:noProof/>
                <w:webHidden/>
              </w:rPr>
              <w:t>51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699" w:history="1">
            <w:r w:rsidR="00EC50F4" w:rsidRPr="006458AE">
              <w:rPr>
                <w:rStyle w:val="Hyperlink"/>
                <w:rFonts w:eastAsia="Calibri"/>
                <w:noProof/>
              </w:rPr>
              <w:t>3.2.3 Research Design</w:t>
            </w:r>
            <w:r w:rsidR="00EC50F4">
              <w:rPr>
                <w:noProof/>
                <w:webHidden/>
              </w:rPr>
              <w:tab/>
            </w:r>
            <w:r w:rsidR="00EC50F4">
              <w:rPr>
                <w:noProof/>
                <w:webHidden/>
              </w:rPr>
              <w:fldChar w:fldCharType="begin"/>
            </w:r>
            <w:r w:rsidR="00EC50F4">
              <w:rPr>
                <w:noProof/>
                <w:webHidden/>
              </w:rPr>
              <w:instrText xml:space="preserve"> PAGEREF _Toc164261699 \h </w:instrText>
            </w:r>
            <w:r w:rsidR="00EC50F4">
              <w:rPr>
                <w:noProof/>
                <w:webHidden/>
              </w:rPr>
            </w:r>
            <w:r w:rsidR="00EC50F4">
              <w:rPr>
                <w:noProof/>
                <w:webHidden/>
              </w:rPr>
              <w:fldChar w:fldCharType="separate"/>
            </w:r>
            <w:r w:rsidR="00EC50F4">
              <w:rPr>
                <w:noProof/>
                <w:webHidden/>
              </w:rPr>
              <w:t>52</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0" w:history="1">
            <w:r w:rsidR="00EC50F4" w:rsidRPr="006458AE">
              <w:rPr>
                <w:rStyle w:val="Hyperlink"/>
                <w:rFonts w:eastAsia="Calibri"/>
                <w:noProof/>
              </w:rPr>
              <w:t>3.2.4 Study Population, Sampling Techniques and Sample Size</w:t>
            </w:r>
            <w:r w:rsidR="00EC50F4">
              <w:rPr>
                <w:noProof/>
                <w:webHidden/>
              </w:rPr>
              <w:tab/>
            </w:r>
            <w:r w:rsidR="00EC50F4">
              <w:rPr>
                <w:noProof/>
                <w:webHidden/>
              </w:rPr>
              <w:fldChar w:fldCharType="begin"/>
            </w:r>
            <w:r w:rsidR="00EC50F4">
              <w:rPr>
                <w:noProof/>
                <w:webHidden/>
              </w:rPr>
              <w:instrText xml:space="preserve"> PAGEREF _Toc164261700 \h </w:instrText>
            </w:r>
            <w:r w:rsidR="00EC50F4">
              <w:rPr>
                <w:noProof/>
                <w:webHidden/>
              </w:rPr>
            </w:r>
            <w:r w:rsidR="00EC50F4">
              <w:rPr>
                <w:noProof/>
                <w:webHidden/>
              </w:rPr>
              <w:fldChar w:fldCharType="separate"/>
            </w:r>
            <w:r w:rsidR="00EC50F4">
              <w:rPr>
                <w:noProof/>
                <w:webHidden/>
              </w:rPr>
              <w:t>53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1" w:history="1">
            <w:r w:rsidR="00EC50F4" w:rsidRPr="006458AE">
              <w:rPr>
                <w:rStyle w:val="Hyperlink"/>
                <w:rFonts w:eastAsia="Calibri"/>
                <w:noProof/>
              </w:rPr>
              <w:t>3.2.5 Data Collection and Instruments</w:t>
            </w:r>
            <w:r w:rsidR="00EC50F4">
              <w:rPr>
                <w:noProof/>
                <w:webHidden/>
              </w:rPr>
              <w:tab/>
            </w:r>
            <w:r w:rsidR="00EC50F4">
              <w:rPr>
                <w:noProof/>
                <w:webHidden/>
              </w:rPr>
              <w:fldChar w:fldCharType="begin"/>
            </w:r>
            <w:r w:rsidR="00EC50F4">
              <w:rPr>
                <w:noProof/>
                <w:webHidden/>
              </w:rPr>
              <w:instrText xml:space="preserve"> PAGEREF _Toc164261701 \h </w:instrText>
            </w:r>
            <w:r w:rsidR="00EC50F4">
              <w:rPr>
                <w:noProof/>
                <w:webHidden/>
              </w:rPr>
            </w:r>
            <w:r w:rsidR="00EC50F4">
              <w:rPr>
                <w:noProof/>
                <w:webHidden/>
              </w:rPr>
              <w:fldChar w:fldCharType="separate"/>
            </w:r>
            <w:r w:rsidR="00EC50F4">
              <w:rPr>
                <w:noProof/>
                <w:webHidden/>
              </w:rPr>
              <w:t>54</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2" w:history="1">
            <w:r w:rsidR="00EC50F4" w:rsidRPr="006458AE">
              <w:rPr>
                <w:rStyle w:val="Hyperlink"/>
                <w:noProof/>
              </w:rPr>
              <w:t>Participatory Tools</w:t>
            </w:r>
            <w:r w:rsidR="00EC50F4">
              <w:rPr>
                <w:noProof/>
                <w:webHidden/>
              </w:rPr>
              <w:tab/>
            </w:r>
            <w:r w:rsidR="00EC50F4">
              <w:rPr>
                <w:noProof/>
                <w:webHidden/>
              </w:rPr>
              <w:fldChar w:fldCharType="begin"/>
            </w:r>
            <w:r w:rsidR="00EC50F4">
              <w:rPr>
                <w:noProof/>
                <w:webHidden/>
              </w:rPr>
              <w:instrText xml:space="preserve"> PAGEREF _Toc164261702 \h </w:instrText>
            </w:r>
            <w:r w:rsidR="00EC50F4">
              <w:rPr>
                <w:noProof/>
                <w:webHidden/>
              </w:rPr>
            </w:r>
            <w:r w:rsidR="00EC50F4">
              <w:rPr>
                <w:noProof/>
                <w:webHidden/>
              </w:rPr>
              <w:fldChar w:fldCharType="separate"/>
            </w:r>
            <w:r w:rsidR="00EC50F4">
              <w:rPr>
                <w:noProof/>
                <w:webHidden/>
              </w:rPr>
              <w:t>57</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3" w:history="1">
            <w:r w:rsidR="00EC50F4" w:rsidRPr="006458AE">
              <w:rPr>
                <w:rStyle w:val="Hyperlink"/>
                <w:noProof/>
              </w:rPr>
              <w:t>Participatory mapping</w:t>
            </w:r>
            <w:r w:rsidR="00EC50F4">
              <w:rPr>
                <w:noProof/>
                <w:webHidden/>
              </w:rPr>
              <w:tab/>
            </w:r>
            <w:r w:rsidR="00EC50F4">
              <w:rPr>
                <w:noProof/>
                <w:webHidden/>
              </w:rPr>
              <w:fldChar w:fldCharType="begin"/>
            </w:r>
            <w:r w:rsidR="00EC50F4">
              <w:rPr>
                <w:noProof/>
                <w:webHidden/>
              </w:rPr>
              <w:instrText xml:space="preserve"> PAGEREF _Toc164261703 \h </w:instrText>
            </w:r>
            <w:r w:rsidR="00EC50F4">
              <w:rPr>
                <w:noProof/>
                <w:webHidden/>
              </w:rPr>
            </w:r>
            <w:r w:rsidR="00EC50F4">
              <w:rPr>
                <w:noProof/>
                <w:webHidden/>
              </w:rPr>
              <w:fldChar w:fldCharType="separate"/>
            </w:r>
            <w:r w:rsidR="00EC50F4">
              <w:rPr>
                <w:noProof/>
                <w:webHidden/>
              </w:rPr>
              <w:t>57</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4" w:history="1">
            <w:r w:rsidR="00EC50F4" w:rsidRPr="006458AE">
              <w:rPr>
                <w:rStyle w:val="Hyperlink"/>
                <w:noProof/>
                <w:lang w:bidi="en-US"/>
              </w:rPr>
              <w:t>Seasonal Mobility Calendar</w:t>
            </w:r>
            <w:r w:rsidR="00EC50F4">
              <w:rPr>
                <w:noProof/>
                <w:webHidden/>
              </w:rPr>
              <w:tab/>
            </w:r>
            <w:r w:rsidR="00EC50F4">
              <w:rPr>
                <w:noProof/>
                <w:webHidden/>
              </w:rPr>
              <w:fldChar w:fldCharType="begin"/>
            </w:r>
            <w:r w:rsidR="00EC50F4">
              <w:rPr>
                <w:noProof/>
                <w:webHidden/>
              </w:rPr>
              <w:instrText xml:space="preserve"> PAGEREF _Toc164261704 \h </w:instrText>
            </w:r>
            <w:r w:rsidR="00EC50F4">
              <w:rPr>
                <w:noProof/>
                <w:webHidden/>
              </w:rPr>
            </w:r>
            <w:r w:rsidR="00EC50F4">
              <w:rPr>
                <w:noProof/>
                <w:webHidden/>
              </w:rPr>
              <w:fldChar w:fldCharType="separate"/>
            </w:r>
            <w:r w:rsidR="00EC50F4">
              <w:rPr>
                <w:noProof/>
                <w:webHidden/>
              </w:rPr>
              <w:t>58</w:t>
            </w:r>
            <w:r w:rsidR="00EC50F4">
              <w:rPr>
                <w:noProof/>
                <w:webHidden/>
              </w:rPr>
              <w:fldChar w:fldCharType="end"/>
            </w:r>
          </w:hyperlink>
        </w:p>
        <w:p w:rsidR="00EC50F4" w:rsidRDefault="00204C37">
          <w:pPr>
            <w:pStyle w:val="TOC3"/>
            <w:tabs>
              <w:tab w:val="right" w:leader="dot" w:pos="8918"/>
            </w:tabs>
            <w:rPr>
              <w:rFonts w:asciiTheme="minorHAnsi" w:eastAsiaTheme="minorEastAsia" w:hAnsiTheme="minorHAnsi"/>
              <w:noProof/>
              <w:sz w:val="22"/>
              <w:lang w:val="en-US"/>
            </w:rPr>
          </w:pPr>
          <w:hyperlink w:anchor="_Toc164261705" w:history="1">
            <w:r w:rsidR="00EC50F4" w:rsidRPr="006458AE">
              <w:rPr>
                <w:rStyle w:val="Hyperlink"/>
                <w:noProof/>
                <w:lang w:bidi="en-US"/>
              </w:rPr>
              <w:t>3.3 Data Analysis and Presentation</w:t>
            </w:r>
            <w:r w:rsidR="00EC50F4">
              <w:rPr>
                <w:noProof/>
                <w:webHidden/>
              </w:rPr>
              <w:tab/>
            </w:r>
            <w:r w:rsidR="00EC50F4">
              <w:rPr>
                <w:noProof/>
                <w:webHidden/>
              </w:rPr>
              <w:fldChar w:fldCharType="begin"/>
            </w:r>
            <w:r w:rsidR="00EC50F4">
              <w:rPr>
                <w:noProof/>
                <w:webHidden/>
              </w:rPr>
              <w:instrText xml:space="preserve"> PAGEREF _Toc164261705 \h </w:instrText>
            </w:r>
            <w:r w:rsidR="00EC50F4">
              <w:rPr>
                <w:noProof/>
                <w:webHidden/>
              </w:rPr>
            </w:r>
            <w:r w:rsidR="00EC50F4">
              <w:rPr>
                <w:noProof/>
                <w:webHidden/>
              </w:rPr>
              <w:fldChar w:fldCharType="separate"/>
            </w:r>
            <w:r w:rsidR="00EC50F4">
              <w:rPr>
                <w:noProof/>
                <w:webHidden/>
              </w:rPr>
              <w:t>58</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6" w:history="1">
            <w:r w:rsidR="00EC50F4" w:rsidRPr="006458AE">
              <w:rPr>
                <w:rStyle w:val="Hyperlink"/>
                <w:noProof/>
              </w:rPr>
              <w:t>3.4 Ethical Considerations</w:t>
            </w:r>
            <w:r w:rsidR="00EC50F4">
              <w:rPr>
                <w:noProof/>
                <w:webHidden/>
              </w:rPr>
              <w:tab/>
            </w:r>
            <w:r w:rsidR="00EC50F4">
              <w:rPr>
                <w:noProof/>
                <w:webHidden/>
              </w:rPr>
              <w:fldChar w:fldCharType="begin"/>
            </w:r>
            <w:r w:rsidR="00EC50F4">
              <w:rPr>
                <w:noProof/>
                <w:webHidden/>
              </w:rPr>
              <w:instrText xml:space="preserve"> PAGEREF _Toc164261706 \h </w:instrText>
            </w:r>
            <w:r w:rsidR="00EC50F4">
              <w:rPr>
                <w:noProof/>
                <w:webHidden/>
              </w:rPr>
            </w:r>
            <w:r w:rsidR="00EC50F4">
              <w:rPr>
                <w:noProof/>
                <w:webHidden/>
              </w:rPr>
              <w:fldChar w:fldCharType="separate"/>
            </w:r>
            <w:r w:rsidR="00EC50F4">
              <w:rPr>
                <w:noProof/>
                <w:webHidden/>
              </w:rPr>
              <w:t>59</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7" w:history="1">
            <w:r w:rsidR="00EC50F4" w:rsidRPr="006458AE">
              <w:rPr>
                <w:rStyle w:val="Hyperlink"/>
                <w:noProof/>
              </w:rPr>
              <w:t>3.5. Limitations of the research</w:t>
            </w:r>
            <w:r w:rsidR="00EC50F4">
              <w:rPr>
                <w:noProof/>
                <w:webHidden/>
              </w:rPr>
              <w:tab/>
            </w:r>
            <w:r w:rsidR="00EC50F4">
              <w:rPr>
                <w:noProof/>
                <w:webHidden/>
              </w:rPr>
              <w:fldChar w:fldCharType="begin"/>
            </w:r>
            <w:r w:rsidR="00EC50F4">
              <w:rPr>
                <w:noProof/>
                <w:webHidden/>
              </w:rPr>
              <w:instrText xml:space="preserve"> PAGEREF _Toc164261707 \h </w:instrText>
            </w:r>
            <w:r w:rsidR="00EC50F4">
              <w:rPr>
                <w:noProof/>
                <w:webHidden/>
              </w:rPr>
            </w:r>
            <w:r w:rsidR="00EC50F4">
              <w:rPr>
                <w:noProof/>
                <w:webHidden/>
              </w:rPr>
              <w:fldChar w:fldCharType="separate"/>
            </w:r>
            <w:r w:rsidR="00EC50F4">
              <w:rPr>
                <w:noProof/>
                <w:webHidden/>
              </w:rPr>
              <w:t>61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08" w:history="1">
            <w:r w:rsidR="00EC50F4" w:rsidRPr="006458AE">
              <w:rPr>
                <w:rStyle w:val="Hyperlink"/>
                <w:noProof/>
              </w:rPr>
              <w:t>3.6 Researcher Positionality</w:t>
            </w:r>
            <w:r w:rsidR="00EC50F4">
              <w:rPr>
                <w:noProof/>
                <w:webHidden/>
              </w:rPr>
              <w:tab/>
            </w:r>
            <w:r w:rsidR="00EC50F4">
              <w:rPr>
                <w:noProof/>
                <w:webHidden/>
              </w:rPr>
              <w:fldChar w:fldCharType="begin"/>
            </w:r>
            <w:r w:rsidR="00EC50F4">
              <w:rPr>
                <w:noProof/>
                <w:webHidden/>
              </w:rPr>
              <w:instrText xml:space="preserve"> PAGEREF _Toc164261708 \h </w:instrText>
            </w:r>
            <w:r w:rsidR="00EC50F4">
              <w:rPr>
                <w:noProof/>
                <w:webHidden/>
              </w:rPr>
            </w:r>
            <w:r w:rsidR="00EC50F4">
              <w:rPr>
                <w:noProof/>
                <w:webHidden/>
              </w:rPr>
              <w:fldChar w:fldCharType="separate"/>
            </w:r>
            <w:r w:rsidR="00EC50F4">
              <w:rPr>
                <w:noProof/>
                <w:webHidden/>
              </w:rPr>
              <w:t>62</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09" w:history="1">
            <w:r w:rsidR="00EC50F4" w:rsidRPr="006458AE">
              <w:rPr>
                <w:rStyle w:val="Hyperlink"/>
                <w:noProof/>
              </w:rPr>
              <w:t>CHAPTER FOUR</w:t>
            </w:r>
            <w:r w:rsidR="00EC50F4">
              <w:rPr>
                <w:noProof/>
                <w:webHidden/>
              </w:rPr>
              <w:tab/>
            </w:r>
            <w:r w:rsidR="00EC50F4">
              <w:rPr>
                <w:noProof/>
                <w:webHidden/>
              </w:rPr>
              <w:fldChar w:fldCharType="begin"/>
            </w:r>
            <w:r w:rsidR="00EC50F4">
              <w:rPr>
                <w:noProof/>
                <w:webHidden/>
              </w:rPr>
              <w:instrText xml:space="preserve"> PAGEREF _Toc164261709 \h </w:instrText>
            </w:r>
            <w:r w:rsidR="00EC50F4">
              <w:rPr>
                <w:noProof/>
                <w:webHidden/>
              </w:rPr>
            </w:r>
            <w:r w:rsidR="00EC50F4">
              <w:rPr>
                <w:noProof/>
                <w:webHidden/>
              </w:rPr>
              <w:fldChar w:fldCharType="separate"/>
            </w:r>
            <w:r w:rsidR="00EC50F4">
              <w:rPr>
                <w:noProof/>
                <w:webHidden/>
              </w:rPr>
              <w:t>64</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10" w:history="1">
            <w:r w:rsidR="00EC50F4" w:rsidRPr="006458AE">
              <w:rPr>
                <w:rStyle w:val="Hyperlink"/>
                <w:noProof/>
              </w:rPr>
              <w:t>CHARACTERISTICS OF PASTORALISTS</w:t>
            </w:r>
            <w:r w:rsidR="00EC50F4">
              <w:rPr>
                <w:noProof/>
                <w:webHidden/>
              </w:rPr>
              <w:tab/>
            </w:r>
            <w:r w:rsidR="00EC50F4">
              <w:rPr>
                <w:noProof/>
                <w:webHidden/>
              </w:rPr>
              <w:fldChar w:fldCharType="begin"/>
            </w:r>
            <w:r w:rsidR="00EC50F4">
              <w:rPr>
                <w:noProof/>
                <w:webHidden/>
              </w:rPr>
              <w:instrText xml:space="preserve"> PAGEREF _Toc164261710 \h </w:instrText>
            </w:r>
            <w:r w:rsidR="00EC50F4">
              <w:rPr>
                <w:noProof/>
                <w:webHidden/>
              </w:rPr>
            </w:r>
            <w:r w:rsidR="00EC50F4">
              <w:rPr>
                <w:noProof/>
                <w:webHidden/>
              </w:rPr>
              <w:fldChar w:fldCharType="separate"/>
            </w:r>
            <w:r w:rsidR="00EC50F4">
              <w:rPr>
                <w:noProof/>
                <w:webHidden/>
              </w:rPr>
              <w:t>64</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1" w:history="1">
            <w:r w:rsidR="00EC50F4" w:rsidRPr="006458AE">
              <w:rPr>
                <w:rStyle w:val="Hyperlink"/>
                <w:noProof/>
              </w:rPr>
              <w:t>4.0 Introduction</w:t>
            </w:r>
            <w:r w:rsidR="00EC50F4">
              <w:rPr>
                <w:noProof/>
                <w:webHidden/>
              </w:rPr>
              <w:tab/>
            </w:r>
            <w:r w:rsidR="00EC50F4">
              <w:rPr>
                <w:noProof/>
                <w:webHidden/>
              </w:rPr>
              <w:fldChar w:fldCharType="begin"/>
            </w:r>
            <w:r w:rsidR="00EC50F4">
              <w:rPr>
                <w:noProof/>
                <w:webHidden/>
              </w:rPr>
              <w:instrText xml:space="preserve"> PAGEREF _Toc164261711 \h </w:instrText>
            </w:r>
            <w:r w:rsidR="00EC50F4">
              <w:rPr>
                <w:noProof/>
                <w:webHidden/>
              </w:rPr>
            </w:r>
            <w:r w:rsidR="00EC50F4">
              <w:rPr>
                <w:noProof/>
                <w:webHidden/>
              </w:rPr>
              <w:fldChar w:fldCharType="separate"/>
            </w:r>
            <w:r w:rsidR="00EC50F4">
              <w:rPr>
                <w:noProof/>
                <w:webHidden/>
              </w:rPr>
              <w:t>64</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2" w:history="1">
            <w:r w:rsidR="00EC50F4" w:rsidRPr="006458AE">
              <w:rPr>
                <w:rStyle w:val="Hyperlink"/>
                <w:noProof/>
              </w:rPr>
              <w:t>4.1. Ethnic Groups involves in Pastoralism</w:t>
            </w:r>
            <w:r w:rsidR="00EC50F4">
              <w:rPr>
                <w:noProof/>
                <w:webHidden/>
              </w:rPr>
              <w:tab/>
            </w:r>
            <w:r w:rsidR="00EC50F4">
              <w:rPr>
                <w:noProof/>
                <w:webHidden/>
              </w:rPr>
              <w:fldChar w:fldCharType="begin"/>
            </w:r>
            <w:r w:rsidR="00EC50F4">
              <w:rPr>
                <w:noProof/>
                <w:webHidden/>
              </w:rPr>
              <w:instrText xml:space="preserve"> PAGEREF _Toc164261712 \h </w:instrText>
            </w:r>
            <w:r w:rsidR="00EC50F4">
              <w:rPr>
                <w:noProof/>
                <w:webHidden/>
              </w:rPr>
            </w:r>
            <w:r w:rsidR="00EC50F4">
              <w:rPr>
                <w:noProof/>
                <w:webHidden/>
              </w:rPr>
              <w:fldChar w:fldCharType="separate"/>
            </w:r>
            <w:r w:rsidR="00EC50F4">
              <w:rPr>
                <w:noProof/>
                <w:webHidden/>
              </w:rPr>
              <w:t>64</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3" w:history="1">
            <w:r w:rsidR="00EC50F4" w:rsidRPr="006458AE">
              <w:rPr>
                <w:rStyle w:val="Hyperlink"/>
                <w:noProof/>
              </w:rPr>
              <w:t>4.2 Pastoralists Symbolic Belief on livestock’s</w:t>
            </w:r>
            <w:r w:rsidR="00EC50F4">
              <w:rPr>
                <w:noProof/>
                <w:webHidden/>
              </w:rPr>
              <w:tab/>
            </w:r>
            <w:r w:rsidR="00EC50F4">
              <w:rPr>
                <w:noProof/>
                <w:webHidden/>
              </w:rPr>
              <w:fldChar w:fldCharType="begin"/>
            </w:r>
            <w:r w:rsidR="00EC50F4">
              <w:rPr>
                <w:noProof/>
                <w:webHidden/>
              </w:rPr>
              <w:instrText xml:space="preserve"> PAGEREF _Toc164261713 \h </w:instrText>
            </w:r>
            <w:r w:rsidR="00EC50F4">
              <w:rPr>
                <w:noProof/>
                <w:webHidden/>
              </w:rPr>
            </w:r>
            <w:r w:rsidR="00EC50F4">
              <w:rPr>
                <w:noProof/>
                <w:webHidden/>
              </w:rPr>
              <w:fldChar w:fldCharType="separate"/>
            </w:r>
            <w:r w:rsidR="00EC50F4">
              <w:rPr>
                <w:noProof/>
                <w:webHidden/>
              </w:rPr>
              <w:t>70</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4" w:history="1">
            <w:r w:rsidR="00EC50F4" w:rsidRPr="006458AE">
              <w:rPr>
                <w:rStyle w:val="Hyperlink"/>
                <w:noProof/>
              </w:rPr>
              <w:t>4.3. Marriage among Fulbe pastoralists</w:t>
            </w:r>
            <w:r w:rsidR="00EC50F4">
              <w:rPr>
                <w:noProof/>
                <w:webHidden/>
              </w:rPr>
              <w:tab/>
            </w:r>
            <w:r w:rsidR="00EC50F4">
              <w:rPr>
                <w:noProof/>
                <w:webHidden/>
              </w:rPr>
              <w:fldChar w:fldCharType="begin"/>
            </w:r>
            <w:r w:rsidR="00EC50F4">
              <w:rPr>
                <w:noProof/>
                <w:webHidden/>
              </w:rPr>
              <w:instrText xml:space="preserve"> PAGEREF _Toc164261714 \h </w:instrText>
            </w:r>
            <w:r w:rsidR="00EC50F4">
              <w:rPr>
                <w:noProof/>
                <w:webHidden/>
              </w:rPr>
            </w:r>
            <w:r w:rsidR="00EC50F4">
              <w:rPr>
                <w:noProof/>
                <w:webHidden/>
              </w:rPr>
              <w:fldChar w:fldCharType="separate"/>
            </w:r>
            <w:r w:rsidR="00EC50F4">
              <w:rPr>
                <w:noProof/>
                <w:webHidden/>
              </w:rPr>
              <w:t>73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5" w:history="1">
            <w:r w:rsidR="00EC50F4" w:rsidRPr="006458AE">
              <w:rPr>
                <w:rStyle w:val="Hyperlink"/>
                <w:noProof/>
              </w:rPr>
              <w:t>4.4. Brief History of Fulbe</w:t>
            </w:r>
            <w:r w:rsidR="00EC50F4">
              <w:rPr>
                <w:noProof/>
                <w:webHidden/>
              </w:rPr>
              <w:tab/>
            </w:r>
            <w:r w:rsidR="00EC50F4">
              <w:rPr>
                <w:noProof/>
                <w:webHidden/>
              </w:rPr>
              <w:fldChar w:fldCharType="begin"/>
            </w:r>
            <w:r w:rsidR="00EC50F4">
              <w:rPr>
                <w:noProof/>
                <w:webHidden/>
              </w:rPr>
              <w:instrText xml:space="preserve"> PAGEREF _Toc164261715 \h </w:instrText>
            </w:r>
            <w:r w:rsidR="00EC50F4">
              <w:rPr>
                <w:noProof/>
                <w:webHidden/>
              </w:rPr>
            </w:r>
            <w:r w:rsidR="00EC50F4">
              <w:rPr>
                <w:noProof/>
                <w:webHidden/>
              </w:rPr>
              <w:fldChar w:fldCharType="separate"/>
            </w:r>
            <w:r w:rsidR="00EC50F4">
              <w:rPr>
                <w:noProof/>
                <w:webHidden/>
              </w:rPr>
              <w:t>76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6" w:history="1">
            <w:r w:rsidR="00EC50F4" w:rsidRPr="006458AE">
              <w:rPr>
                <w:rStyle w:val="Hyperlink"/>
                <w:noProof/>
              </w:rPr>
              <w:t>4.4.1 Historical Background of Pastoralist Mobility</w:t>
            </w:r>
            <w:r w:rsidR="00EC50F4">
              <w:rPr>
                <w:noProof/>
                <w:webHidden/>
              </w:rPr>
              <w:tab/>
            </w:r>
            <w:r w:rsidR="00EC50F4">
              <w:rPr>
                <w:noProof/>
                <w:webHidden/>
              </w:rPr>
              <w:fldChar w:fldCharType="begin"/>
            </w:r>
            <w:r w:rsidR="00EC50F4">
              <w:rPr>
                <w:noProof/>
                <w:webHidden/>
              </w:rPr>
              <w:instrText xml:space="preserve"> PAGEREF _Toc164261716 \h </w:instrText>
            </w:r>
            <w:r w:rsidR="00EC50F4">
              <w:rPr>
                <w:noProof/>
                <w:webHidden/>
              </w:rPr>
            </w:r>
            <w:r w:rsidR="00EC50F4">
              <w:rPr>
                <w:noProof/>
                <w:webHidden/>
              </w:rPr>
              <w:fldChar w:fldCharType="separate"/>
            </w:r>
            <w:r w:rsidR="00EC50F4">
              <w:rPr>
                <w:noProof/>
                <w:webHidden/>
              </w:rPr>
              <w:t>78</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17" w:history="1">
            <w:r w:rsidR="00EC50F4" w:rsidRPr="006458AE">
              <w:rPr>
                <w:rStyle w:val="Hyperlink"/>
                <w:noProof/>
              </w:rPr>
              <w:t>4.5. The Chieftaincy of Fulbe Pastoralists</w:t>
            </w:r>
            <w:r w:rsidR="00EC50F4">
              <w:rPr>
                <w:noProof/>
                <w:webHidden/>
              </w:rPr>
              <w:tab/>
            </w:r>
            <w:r w:rsidR="00EC50F4">
              <w:rPr>
                <w:noProof/>
                <w:webHidden/>
              </w:rPr>
              <w:fldChar w:fldCharType="begin"/>
            </w:r>
            <w:r w:rsidR="00EC50F4">
              <w:rPr>
                <w:noProof/>
                <w:webHidden/>
              </w:rPr>
              <w:instrText xml:space="preserve"> PAGEREF _Toc164261717 \h </w:instrText>
            </w:r>
            <w:r w:rsidR="00EC50F4">
              <w:rPr>
                <w:noProof/>
                <w:webHidden/>
              </w:rPr>
            </w:r>
            <w:r w:rsidR="00EC50F4">
              <w:rPr>
                <w:noProof/>
                <w:webHidden/>
              </w:rPr>
              <w:fldChar w:fldCharType="separate"/>
            </w:r>
            <w:r w:rsidR="00EC50F4">
              <w:rPr>
                <w:noProof/>
                <w:webHidden/>
              </w:rPr>
              <w:t>80</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18" w:history="1">
            <w:r w:rsidR="00EC50F4" w:rsidRPr="006458AE">
              <w:rPr>
                <w:rStyle w:val="Hyperlink"/>
                <w:noProof/>
              </w:rPr>
              <w:t>CHAPTER FIVE</w:t>
            </w:r>
            <w:r w:rsidR="00EC50F4">
              <w:rPr>
                <w:noProof/>
                <w:webHidden/>
              </w:rPr>
              <w:tab/>
            </w:r>
            <w:r w:rsidR="00EC50F4">
              <w:rPr>
                <w:noProof/>
                <w:webHidden/>
              </w:rPr>
              <w:fldChar w:fldCharType="begin"/>
            </w:r>
            <w:r w:rsidR="00EC50F4">
              <w:rPr>
                <w:noProof/>
                <w:webHidden/>
              </w:rPr>
              <w:instrText xml:space="preserve"> PAGEREF _Toc164261718 \h </w:instrText>
            </w:r>
            <w:r w:rsidR="00EC50F4">
              <w:rPr>
                <w:noProof/>
                <w:webHidden/>
              </w:rPr>
            </w:r>
            <w:r w:rsidR="00EC50F4">
              <w:rPr>
                <w:noProof/>
                <w:webHidden/>
              </w:rPr>
              <w:fldChar w:fldCharType="separate"/>
            </w:r>
            <w:r w:rsidR="00EC50F4">
              <w:rPr>
                <w:noProof/>
                <w:webHidden/>
              </w:rPr>
              <w:t>83</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19" w:history="1">
            <w:r w:rsidR="00EC50F4" w:rsidRPr="006458AE">
              <w:rPr>
                <w:rStyle w:val="Hyperlink"/>
                <w:noProof/>
              </w:rPr>
              <w:t>PERCEPTIONS, EXPERIENCES, AND ADAPTATION TO CLIMATE CHANGE</w:t>
            </w:r>
            <w:r w:rsidR="00EC50F4">
              <w:rPr>
                <w:noProof/>
                <w:webHidden/>
              </w:rPr>
              <w:tab/>
            </w:r>
            <w:r w:rsidR="00EC50F4">
              <w:rPr>
                <w:noProof/>
                <w:webHidden/>
              </w:rPr>
              <w:fldChar w:fldCharType="begin"/>
            </w:r>
            <w:r w:rsidR="00EC50F4">
              <w:rPr>
                <w:noProof/>
                <w:webHidden/>
              </w:rPr>
              <w:instrText xml:space="preserve"> PAGEREF _Toc164261719 \h </w:instrText>
            </w:r>
            <w:r w:rsidR="00EC50F4">
              <w:rPr>
                <w:noProof/>
                <w:webHidden/>
              </w:rPr>
            </w:r>
            <w:r w:rsidR="00EC50F4">
              <w:rPr>
                <w:noProof/>
                <w:webHidden/>
              </w:rPr>
              <w:fldChar w:fldCharType="separate"/>
            </w:r>
            <w:r w:rsidR="00EC50F4">
              <w:rPr>
                <w:noProof/>
                <w:webHidden/>
              </w:rPr>
              <w:t>83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0" w:history="1">
            <w:r w:rsidR="00EC50F4" w:rsidRPr="006458AE">
              <w:rPr>
                <w:rStyle w:val="Hyperlink"/>
                <w:noProof/>
              </w:rPr>
              <w:t>5.0 Introduction</w:t>
            </w:r>
            <w:r w:rsidR="00EC50F4">
              <w:rPr>
                <w:noProof/>
                <w:webHidden/>
              </w:rPr>
              <w:tab/>
            </w:r>
            <w:r w:rsidR="00EC50F4">
              <w:rPr>
                <w:noProof/>
                <w:webHidden/>
              </w:rPr>
              <w:fldChar w:fldCharType="begin"/>
            </w:r>
            <w:r w:rsidR="00EC50F4">
              <w:rPr>
                <w:noProof/>
                <w:webHidden/>
              </w:rPr>
              <w:instrText xml:space="preserve"> PAGEREF _Toc164261720 \h </w:instrText>
            </w:r>
            <w:r w:rsidR="00EC50F4">
              <w:rPr>
                <w:noProof/>
                <w:webHidden/>
              </w:rPr>
            </w:r>
            <w:r w:rsidR="00EC50F4">
              <w:rPr>
                <w:noProof/>
                <w:webHidden/>
              </w:rPr>
              <w:fldChar w:fldCharType="separate"/>
            </w:r>
            <w:r w:rsidR="00EC50F4">
              <w:rPr>
                <w:noProof/>
                <w:webHidden/>
              </w:rPr>
              <w:t>83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1" w:history="1">
            <w:r w:rsidR="00EC50F4" w:rsidRPr="006458AE">
              <w:rPr>
                <w:rStyle w:val="Hyperlink"/>
                <w:noProof/>
              </w:rPr>
              <w:t>5.1 Pastoralists Understanding of Climate Change</w:t>
            </w:r>
            <w:r w:rsidR="00EC50F4">
              <w:rPr>
                <w:noProof/>
                <w:webHidden/>
              </w:rPr>
              <w:tab/>
            </w:r>
            <w:r w:rsidR="00EC50F4">
              <w:rPr>
                <w:noProof/>
                <w:webHidden/>
              </w:rPr>
              <w:fldChar w:fldCharType="begin"/>
            </w:r>
            <w:r w:rsidR="00EC50F4">
              <w:rPr>
                <w:noProof/>
                <w:webHidden/>
              </w:rPr>
              <w:instrText xml:space="preserve"> PAGEREF _Toc164261721 \h </w:instrText>
            </w:r>
            <w:r w:rsidR="00EC50F4">
              <w:rPr>
                <w:noProof/>
                <w:webHidden/>
              </w:rPr>
            </w:r>
            <w:r w:rsidR="00EC50F4">
              <w:rPr>
                <w:noProof/>
                <w:webHidden/>
              </w:rPr>
              <w:fldChar w:fldCharType="separate"/>
            </w:r>
            <w:r w:rsidR="00EC50F4">
              <w:rPr>
                <w:noProof/>
                <w:webHidden/>
              </w:rPr>
              <w:t>83</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2" w:history="1">
            <w:r w:rsidR="00EC50F4" w:rsidRPr="006458AE">
              <w:rPr>
                <w:rStyle w:val="Hyperlink"/>
                <w:noProof/>
              </w:rPr>
              <w:t>5.2 Perception of Pastoralists on Climate Change over the last 20 year</w:t>
            </w:r>
            <w:r w:rsidR="00EC50F4">
              <w:rPr>
                <w:noProof/>
                <w:webHidden/>
              </w:rPr>
              <w:tab/>
            </w:r>
            <w:r w:rsidR="00EC50F4">
              <w:rPr>
                <w:noProof/>
                <w:webHidden/>
              </w:rPr>
              <w:fldChar w:fldCharType="begin"/>
            </w:r>
            <w:r w:rsidR="00EC50F4">
              <w:rPr>
                <w:noProof/>
                <w:webHidden/>
              </w:rPr>
              <w:instrText xml:space="preserve"> PAGEREF _Toc164261722 \h </w:instrText>
            </w:r>
            <w:r w:rsidR="00EC50F4">
              <w:rPr>
                <w:noProof/>
                <w:webHidden/>
              </w:rPr>
            </w:r>
            <w:r w:rsidR="00EC50F4">
              <w:rPr>
                <w:noProof/>
                <w:webHidden/>
              </w:rPr>
              <w:fldChar w:fldCharType="separate"/>
            </w:r>
            <w:r w:rsidR="00EC50F4">
              <w:rPr>
                <w:noProof/>
                <w:webHidden/>
              </w:rPr>
              <w:t>86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3" w:history="1">
            <w:r w:rsidR="00EC50F4" w:rsidRPr="006458AE">
              <w:rPr>
                <w:rStyle w:val="Hyperlink"/>
                <w:noProof/>
              </w:rPr>
              <w:t>5.3 Pastoralists Perceived Causes of Changes of the Climate Change Parameters</w:t>
            </w:r>
            <w:r w:rsidR="00EC50F4">
              <w:rPr>
                <w:noProof/>
                <w:webHidden/>
              </w:rPr>
              <w:tab/>
            </w:r>
            <w:r w:rsidR="00EC50F4">
              <w:rPr>
                <w:noProof/>
                <w:webHidden/>
              </w:rPr>
              <w:fldChar w:fldCharType="begin"/>
            </w:r>
            <w:r w:rsidR="00EC50F4">
              <w:rPr>
                <w:noProof/>
                <w:webHidden/>
              </w:rPr>
              <w:instrText xml:space="preserve"> PAGEREF _Toc164261723 \h </w:instrText>
            </w:r>
            <w:r w:rsidR="00EC50F4">
              <w:rPr>
                <w:noProof/>
                <w:webHidden/>
              </w:rPr>
            </w:r>
            <w:r w:rsidR="00EC50F4">
              <w:rPr>
                <w:noProof/>
                <w:webHidden/>
              </w:rPr>
              <w:fldChar w:fldCharType="separate"/>
            </w:r>
            <w:r w:rsidR="00EC50F4">
              <w:rPr>
                <w:noProof/>
                <w:webHidden/>
              </w:rPr>
              <w:t>91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4" w:history="1">
            <w:r w:rsidR="00EC50F4" w:rsidRPr="006458AE">
              <w:rPr>
                <w:rStyle w:val="Hyperlink"/>
                <w:noProof/>
              </w:rPr>
              <w:t>5.4 Effects of Climate Change on Pastoralists Livelihood</w:t>
            </w:r>
            <w:r w:rsidR="00EC50F4">
              <w:rPr>
                <w:noProof/>
                <w:webHidden/>
              </w:rPr>
              <w:tab/>
            </w:r>
            <w:r w:rsidR="00EC50F4">
              <w:rPr>
                <w:noProof/>
                <w:webHidden/>
              </w:rPr>
              <w:fldChar w:fldCharType="begin"/>
            </w:r>
            <w:r w:rsidR="00EC50F4">
              <w:rPr>
                <w:noProof/>
                <w:webHidden/>
              </w:rPr>
              <w:instrText xml:space="preserve"> PAGEREF _Toc164261724 \h </w:instrText>
            </w:r>
            <w:r w:rsidR="00EC50F4">
              <w:rPr>
                <w:noProof/>
                <w:webHidden/>
              </w:rPr>
            </w:r>
            <w:r w:rsidR="00EC50F4">
              <w:rPr>
                <w:noProof/>
                <w:webHidden/>
              </w:rPr>
              <w:fldChar w:fldCharType="separate"/>
            </w:r>
            <w:r w:rsidR="00EC50F4">
              <w:rPr>
                <w:noProof/>
                <w:webHidden/>
              </w:rPr>
              <w:t>95</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5" w:history="1">
            <w:r w:rsidR="00EC50F4" w:rsidRPr="006458AE">
              <w:rPr>
                <w:rStyle w:val="Hyperlink"/>
                <w:rFonts w:eastAsia="Times New Roman"/>
                <w:noProof/>
              </w:rPr>
              <w:t>5.5 Effects of Climate Change on Cattle</w:t>
            </w:r>
            <w:r w:rsidR="00EC50F4">
              <w:rPr>
                <w:noProof/>
                <w:webHidden/>
              </w:rPr>
              <w:tab/>
            </w:r>
            <w:r w:rsidR="00EC50F4">
              <w:rPr>
                <w:noProof/>
                <w:webHidden/>
              </w:rPr>
              <w:fldChar w:fldCharType="begin"/>
            </w:r>
            <w:r w:rsidR="00EC50F4">
              <w:rPr>
                <w:noProof/>
                <w:webHidden/>
              </w:rPr>
              <w:instrText xml:space="preserve"> PAGEREF _Toc164261725 \h </w:instrText>
            </w:r>
            <w:r w:rsidR="00EC50F4">
              <w:rPr>
                <w:noProof/>
                <w:webHidden/>
              </w:rPr>
            </w:r>
            <w:r w:rsidR="00EC50F4">
              <w:rPr>
                <w:noProof/>
                <w:webHidden/>
              </w:rPr>
              <w:fldChar w:fldCharType="separate"/>
            </w:r>
            <w:r w:rsidR="00EC50F4">
              <w:rPr>
                <w:noProof/>
                <w:webHidden/>
              </w:rPr>
              <w:t>99</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6" w:history="1">
            <w:r w:rsidR="00EC50F4" w:rsidRPr="006458AE">
              <w:rPr>
                <w:rStyle w:val="Hyperlink"/>
                <w:noProof/>
              </w:rPr>
              <w:t>5.7 Pastoralists Adaptation Strategies</w:t>
            </w:r>
            <w:r w:rsidR="00EC50F4">
              <w:rPr>
                <w:noProof/>
                <w:webHidden/>
              </w:rPr>
              <w:tab/>
            </w:r>
            <w:r w:rsidR="00EC50F4">
              <w:rPr>
                <w:noProof/>
                <w:webHidden/>
              </w:rPr>
              <w:fldChar w:fldCharType="begin"/>
            </w:r>
            <w:r w:rsidR="00EC50F4">
              <w:rPr>
                <w:noProof/>
                <w:webHidden/>
              </w:rPr>
              <w:instrText xml:space="preserve"> PAGEREF _Toc164261726 \h </w:instrText>
            </w:r>
            <w:r w:rsidR="00EC50F4">
              <w:rPr>
                <w:noProof/>
                <w:webHidden/>
              </w:rPr>
            </w:r>
            <w:r w:rsidR="00EC50F4">
              <w:rPr>
                <w:noProof/>
                <w:webHidden/>
              </w:rPr>
              <w:fldChar w:fldCharType="separate"/>
            </w:r>
            <w:r w:rsidR="00EC50F4">
              <w:rPr>
                <w:noProof/>
                <w:webHidden/>
              </w:rPr>
              <w:t>105</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27" w:history="1">
            <w:r w:rsidR="00EC50F4" w:rsidRPr="006458AE">
              <w:rPr>
                <w:rStyle w:val="Hyperlink"/>
                <w:noProof/>
              </w:rPr>
              <w:t>CHAPTER SIX</w:t>
            </w:r>
            <w:r w:rsidR="00EC50F4">
              <w:rPr>
                <w:noProof/>
                <w:webHidden/>
              </w:rPr>
              <w:tab/>
            </w:r>
            <w:r w:rsidR="00EC50F4">
              <w:rPr>
                <w:noProof/>
                <w:webHidden/>
              </w:rPr>
              <w:fldChar w:fldCharType="begin"/>
            </w:r>
            <w:r w:rsidR="00EC50F4">
              <w:rPr>
                <w:noProof/>
                <w:webHidden/>
              </w:rPr>
              <w:instrText xml:space="preserve"> PAGEREF _Toc164261727 \h </w:instrText>
            </w:r>
            <w:r w:rsidR="00EC50F4">
              <w:rPr>
                <w:noProof/>
                <w:webHidden/>
              </w:rPr>
            </w:r>
            <w:r w:rsidR="00EC50F4">
              <w:rPr>
                <w:noProof/>
                <w:webHidden/>
              </w:rPr>
              <w:fldChar w:fldCharType="separate"/>
            </w:r>
            <w:r w:rsidR="00EC50F4">
              <w:rPr>
                <w:noProof/>
                <w:webHidden/>
              </w:rPr>
              <w:t>112</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28" w:history="1">
            <w:r w:rsidR="00EC50F4" w:rsidRPr="006458AE">
              <w:rPr>
                <w:rStyle w:val="Hyperlink"/>
                <w:noProof/>
              </w:rPr>
              <w:t>MOBILITY OF PASTORALISTS AND ITS ASSOCIATION WITH CLIMATE CHANGE</w:t>
            </w:r>
            <w:r w:rsidR="00EC50F4">
              <w:rPr>
                <w:noProof/>
                <w:webHidden/>
              </w:rPr>
              <w:tab/>
            </w:r>
            <w:r w:rsidR="00EC50F4">
              <w:rPr>
                <w:noProof/>
                <w:webHidden/>
              </w:rPr>
              <w:fldChar w:fldCharType="begin"/>
            </w:r>
            <w:r w:rsidR="00EC50F4">
              <w:rPr>
                <w:noProof/>
                <w:webHidden/>
              </w:rPr>
              <w:instrText xml:space="preserve"> PAGEREF _Toc164261728 \h </w:instrText>
            </w:r>
            <w:r w:rsidR="00EC50F4">
              <w:rPr>
                <w:noProof/>
                <w:webHidden/>
              </w:rPr>
            </w:r>
            <w:r w:rsidR="00EC50F4">
              <w:rPr>
                <w:noProof/>
                <w:webHidden/>
              </w:rPr>
              <w:fldChar w:fldCharType="separate"/>
            </w:r>
            <w:r w:rsidR="00EC50F4">
              <w:rPr>
                <w:noProof/>
                <w:webHidden/>
              </w:rPr>
              <w:t>112</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29" w:history="1">
            <w:r w:rsidR="00EC50F4" w:rsidRPr="006458AE">
              <w:rPr>
                <w:rStyle w:val="Hyperlink"/>
                <w:noProof/>
              </w:rPr>
              <w:t>6.0 Introduction</w:t>
            </w:r>
            <w:r w:rsidR="00EC50F4">
              <w:rPr>
                <w:noProof/>
                <w:webHidden/>
              </w:rPr>
              <w:tab/>
            </w:r>
            <w:r w:rsidR="00EC50F4">
              <w:rPr>
                <w:noProof/>
                <w:webHidden/>
              </w:rPr>
              <w:fldChar w:fldCharType="begin"/>
            </w:r>
            <w:r w:rsidR="00EC50F4">
              <w:rPr>
                <w:noProof/>
                <w:webHidden/>
              </w:rPr>
              <w:instrText xml:space="preserve"> PAGEREF _Toc164261729 \h </w:instrText>
            </w:r>
            <w:r w:rsidR="00EC50F4">
              <w:rPr>
                <w:noProof/>
                <w:webHidden/>
              </w:rPr>
            </w:r>
            <w:r w:rsidR="00EC50F4">
              <w:rPr>
                <w:noProof/>
                <w:webHidden/>
              </w:rPr>
              <w:fldChar w:fldCharType="separate"/>
            </w:r>
            <w:r w:rsidR="00EC50F4">
              <w:rPr>
                <w:noProof/>
                <w:webHidden/>
              </w:rPr>
              <w:t>112</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0" w:history="1">
            <w:r w:rsidR="00EC50F4" w:rsidRPr="006458AE">
              <w:rPr>
                <w:rStyle w:val="Hyperlink"/>
                <w:noProof/>
              </w:rPr>
              <w:t>6.1 Patterns of Pastoralists Mobility</w:t>
            </w:r>
            <w:r w:rsidR="00EC50F4">
              <w:rPr>
                <w:noProof/>
                <w:webHidden/>
              </w:rPr>
              <w:tab/>
            </w:r>
            <w:r w:rsidR="00EC50F4">
              <w:rPr>
                <w:noProof/>
                <w:webHidden/>
              </w:rPr>
              <w:fldChar w:fldCharType="begin"/>
            </w:r>
            <w:r w:rsidR="00EC50F4">
              <w:rPr>
                <w:noProof/>
                <w:webHidden/>
              </w:rPr>
              <w:instrText xml:space="preserve"> PAGEREF _Toc164261730 \h </w:instrText>
            </w:r>
            <w:r w:rsidR="00EC50F4">
              <w:rPr>
                <w:noProof/>
                <w:webHidden/>
              </w:rPr>
            </w:r>
            <w:r w:rsidR="00EC50F4">
              <w:rPr>
                <w:noProof/>
                <w:webHidden/>
              </w:rPr>
              <w:fldChar w:fldCharType="separate"/>
            </w:r>
            <w:r w:rsidR="00EC50F4">
              <w:rPr>
                <w:noProof/>
                <w:webHidden/>
              </w:rPr>
              <w:t>112</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1" w:history="1">
            <w:r w:rsidR="00EC50F4" w:rsidRPr="006458AE">
              <w:rPr>
                <w:rStyle w:val="Hyperlink"/>
                <w:rFonts w:eastAsia="Calibri"/>
                <w:noProof/>
                <w:lang w:val="en"/>
              </w:rPr>
              <w:t>6.2 Annual mobility calendar for Pastoralists in Gusheigu Municipal and Cross-border Pastoralists</w:t>
            </w:r>
            <w:r w:rsidR="00EC50F4">
              <w:rPr>
                <w:noProof/>
                <w:webHidden/>
              </w:rPr>
              <w:tab/>
            </w:r>
            <w:r w:rsidR="00EC50F4">
              <w:rPr>
                <w:noProof/>
                <w:webHidden/>
              </w:rPr>
              <w:fldChar w:fldCharType="begin"/>
            </w:r>
            <w:r w:rsidR="00EC50F4">
              <w:rPr>
                <w:noProof/>
                <w:webHidden/>
              </w:rPr>
              <w:instrText xml:space="preserve"> PAGEREF _Toc164261731 \h </w:instrText>
            </w:r>
            <w:r w:rsidR="00EC50F4">
              <w:rPr>
                <w:noProof/>
                <w:webHidden/>
              </w:rPr>
            </w:r>
            <w:r w:rsidR="00EC50F4">
              <w:rPr>
                <w:noProof/>
                <w:webHidden/>
              </w:rPr>
              <w:fldChar w:fldCharType="separate"/>
            </w:r>
            <w:r w:rsidR="00EC50F4">
              <w:rPr>
                <w:noProof/>
                <w:webHidden/>
              </w:rPr>
              <w:t>116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2" w:history="1">
            <w:r w:rsidR="00EC50F4" w:rsidRPr="006458AE">
              <w:rPr>
                <w:rStyle w:val="Hyperlink"/>
                <w:noProof/>
              </w:rPr>
              <w:t>6.3 Observations of Pastoralist Mobility</w:t>
            </w:r>
            <w:r w:rsidR="00EC50F4">
              <w:rPr>
                <w:noProof/>
                <w:webHidden/>
              </w:rPr>
              <w:tab/>
            </w:r>
            <w:r w:rsidR="00EC50F4">
              <w:rPr>
                <w:noProof/>
                <w:webHidden/>
              </w:rPr>
              <w:fldChar w:fldCharType="begin"/>
            </w:r>
            <w:r w:rsidR="00EC50F4">
              <w:rPr>
                <w:noProof/>
                <w:webHidden/>
              </w:rPr>
              <w:instrText xml:space="preserve"> PAGEREF _Toc164261732 \h </w:instrText>
            </w:r>
            <w:r w:rsidR="00EC50F4">
              <w:rPr>
                <w:noProof/>
                <w:webHidden/>
              </w:rPr>
            </w:r>
            <w:r w:rsidR="00EC50F4">
              <w:rPr>
                <w:noProof/>
                <w:webHidden/>
              </w:rPr>
              <w:fldChar w:fldCharType="separate"/>
            </w:r>
            <w:r w:rsidR="00EC50F4">
              <w:rPr>
                <w:noProof/>
                <w:webHidden/>
              </w:rPr>
              <w:t>119</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3" w:history="1">
            <w:r w:rsidR="00EC50F4" w:rsidRPr="006458AE">
              <w:rPr>
                <w:rStyle w:val="Hyperlink"/>
                <w:noProof/>
                <w:lang w:val="en"/>
              </w:rPr>
              <w:t xml:space="preserve">6.5 Reasons for </w:t>
            </w:r>
            <w:r w:rsidR="00EC50F4" w:rsidRPr="006458AE">
              <w:rPr>
                <w:rStyle w:val="Hyperlink"/>
                <w:noProof/>
                <w:lang w:val="en-US"/>
              </w:rPr>
              <w:t>P</w:t>
            </w:r>
            <w:r w:rsidR="00EC50F4" w:rsidRPr="006458AE">
              <w:rPr>
                <w:rStyle w:val="Hyperlink"/>
                <w:noProof/>
                <w:lang w:val="en"/>
              </w:rPr>
              <w:t>astoralists Mobility into the Study Area</w:t>
            </w:r>
            <w:r w:rsidR="00EC50F4">
              <w:rPr>
                <w:noProof/>
                <w:webHidden/>
              </w:rPr>
              <w:tab/>
            </w:r>
            <w:r w:rsidR="00EC50F4">
              <w:rPr>
                <w:noProof/>
                <w:webHidden/>
              </w:rPr>
              <w:fldChar w:fldCharType="begin"/>
            </w:r>
            <w:r w:rsidR="00EC50F4">
              <w:rPr>
                <w:noProof/>
                <w:webHidden/>
              </w:rPr>
              <w:instrText xml:space="preserve"> PAGEREF _Toc164261733 \h </w:instrText>
            </w:r>
            <w:r w:rsidR="00EC50F4">
              <w:rPr>
                <w:noProof/>
                <w:webHidden/>
              </w:rPr>
            </w:r>
            <w:r w:rsidR="00EC50F4">
              <w:rPr>
                <w:noProof/>
                <w:webHidden/>
              </w:rPr>
              <w:fldChar w:fldCharType="separate"/>
            </w:r>
            <w:r w:rsidR="00EC50F4">
              <w:rPr>
                <w:noProof/>
                <w:webHidden/>
              </w:rPr>
              <w:t>121</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4" w:history="1">
            <w:r w:rsidR="00EC50F4" w:rsidRPr="006458AE">
              <w:rPr>
                <w:rStyle w:val="Hyperlink"/>
                <w:noProof/>
                <w:lang w:val="en"/>
              </w:rPr>
              <w:t xml:space="preserve">6.7 </w:t>
            </w:r>
            <w:r w:rsidR="00EC50F4" w:rsidRPr="006458AE">
              <w:rPr>
                <w:rStyle w:val="Hyperlink"/>
                <w:rFonts w:cs="Times New Roman"/>
                <w:noProof/>
              </w:rPr>
              <w:t>Relationship between Climate Change and Pastoralist Mobility</w:t>
            </w:r>
            <w:r w:rsidR="00EC50F4">
              <w:rPr>
                <w:noProof/>
                <w:webHidden/>
              </w:rPr>
              <w:tab/>
            </w:r>
            <w:r w:rsidR="00EC50F4">
              <w:rPr>
                <w:noProof/>
                <w:webHidden/>
              </w:rPr>
              <w:fldChar w:fldCharType="begin"/>
            </w:r>
            <w:r w:rsidR="00EC50F4">
              <w:rPr>
                <w:noProof/>
                <w:webHidden/>
              </w:rPr>
              <w:instrText xml:space="preserve"> PAGEREF _Toc164261734 \h </w:instrText>
            </w:r>
            <w:r w:rsidR="00EC50F4">
              <w:rPr>
                <w:noProof/>
                <w:webHidden/>
              </w:rPr>
            </w:r>
            <w:r w:rsidR="00EC50F4">
              <w:rPr>
                <w:noProof/>
                <w:webHidden/>
              </w:rPr>
              <w:fldChar w:fldCharType="separate"/>
            </w:r>
            <w:r w:rsidR="00EC50F4">
              <w:rPr>
                <w:noProof/>
                <w:webHidden/>
              </w:rPr>
              <w:t>126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5" w:history="1">
            <w:r w:rsidR="00EC50F4" w:rsidRPr="006458AE">
              <w:rPr>
                <w:rStyle w:val="Hyperlink"/>
                <w:noProof/>
              </w:rPr>
              <w:t>6.8 Historical Evolution of Pastoralist Internal Mobility</w:t>
            </w:r>
            <w:r w:rsidR="00EC50F4">
              <w:rPr>
                <w:noProof/>
                <w:webHidden/>
              </w:rPr>
              <w:tab/>
            </w:r>
            <w:r w:rsidR="00EC50F4">
              <w:rPr>
                <w:noProof/>
                <w:webHidden/>
              </w:rPr>
              <w:fldChar w:fldCharType="begin"/>
            </w:r>
            <w:r w:rsidR="00EC50F4">
              <w:rPr>
                <w:noProof/>
                <w:webHidden/>
              </w:rPr>
              <w:instrText xml:space="preserve"> PAGEREF _Toc164261735 \h </w:instrText>
            </w:r>
            <w:r w:rsidR="00EC50F4">
              <w:rPr>
                <w:noProof/>
                <w:webHidden/>
              </w:rPr>
            </w:r>
            <w:r w:rsidR="00EC50F4">
              <w:rPr>
                <w:noProof/>
                <w:webHidden/>
              </w:rPr>
              <w:fldChar w:fldCharType="separate"/>
            </w:r>
            <w:r w:rsidR="00EC50F4">
              <w:rPr>
                <w:noProof/>
                <w:webHidden/>
              </w:rPr>
              <w:t>128</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36" w:history="1">
            <w:r w:rsidR="00EC50F4" w:rsidRPr="006458AE">
              <w:rPr>
                <w:rStyle w:val="Hyperlink"/>
                <w:noProof/>
              </w:rPr>
              <w:t>CHAPTER SEVEN</w:t>
            </w:r>
            <w:r w:rsidR="00EC50F4">
              <w:rPr>
                <w:noProof/>
                <w:webHidden/>
              </w:rPr>
              <w:tab/>
            </w:r>
            <w:r w:rsidR="00EC50F4">
              <w:rPr>
                <w:noProof/>
                <w:webHidden/>
              </w:rPr>
              <w:fldChar w:fldCharType="begin"/>
            </w:r>
            <w:r w:rsidR="00EC50F4">
              <w:rPr>
                <w:noProof/>
                <w:webHidden/>
              </w:rPr>
              <w:instrText xml:space="preserve"> PAGEREF _Toc164261736 \h </w:instrText>
            </w:r>
            <w:r w:rsidR="00EC50F4">
              <w:rPr>
                <w:noProof/>
                <w:webHidden/>
              </w:rPr>
            </w:r>
            <w:r w:rsidR="00EC50F4">
              <w:rPr>
                <w:noProof/>
                <w:webHidden/>
              </w:rPr>
              <w:fldChar w:fldCharType="separate"/>
            </w:r>
            <w:r w:rsidR="00EC50F4">
              <w:rPr>
                <w:noProof/>
                <w:webHidden/>
              </w:rPr>
              <w:t>137</w:t>
            </w:r>
            <w:r w:rsidR="00EC50F4">
              <w:rPr>
                <w:noProof/>
                <w:webHidden/>
              </w:rPr>
              <w:fldChar w:fldCharType="end"/>
            </w:r>
          </w:hyperlink>
        </w:p>
        <w:p w:rsidR="00EC50F4" w:rsidRDefault="00204C37">
          <w:pPr>
            <w:pStyle w:val="TOC1"/>
            <w:tabs>
              <w:tab w:val="right" w:leader="dot" w:pos="8918"/>
            </w:tabs>
            <w:rPr>
              <w:rFonts w:asciiTheme="minorHAnsi" w:eastAsiaTheme="minorEastAsia" w:hAnsiTheme="minorHAnsi"/>
              <w:noProof/>
              <w:sz w:val="22"/>
              <w:lang w:val="en-US"/>
            </w:rPr>
          </w:pPr>
          <w:hyperlink w:anchor="_Toc164261737" w:history="1">
            <w:r w:rsidR="00EC50F4" w:rsidRPr="006458AE">
              <w:rPr>
                <w:rStyle w:val="Hyperlink"/>
                <w:noProof/>
              </w:rPr>
              <w:t>CONCLUSION AND RECOMMENDATION</w:t>
            </w:r>
            <w:r w:rsidR="00EC50F4">
              <w:rPr>
                <w:noProof/>
                <w:webHidden/>
              </w:rPr>
              <w:tab/>
            </w:r>
            <w:r w:rsidR="00EC50F4">
              <w:rPr>
                <w:noProof/>
                <w:webHidden/>
              </w:rPr>
              <w:fldChar w:fldCharType="begin"/>
            </w:r>
            <w:r w:rsidR="00EC50F4">
              <w:rPr>
                <w:noProof/>
                <w:webHidden/>
              </w:rPr>
              <w:instrText xml:space="preserve"> PAGEREF _Toc164261737 \h </w:instrText>
            </w:r>
            <w:r w:rsidR="00EC50F4">
              <w:rPr>
                <w:noProof/>
                <w:webHidden/>
              </w:rPr>
            </w:r>
            <w:r w:rsidR="00EC50F4">
              <w:rPr>
                <w:noProof/>
                <w:webHidden/>
              </w:rPr>
              <w:fldChar w:fldCharType="separate"/>
            </w:r>
            <w:r w:rsidR="00EC50F4">
              <w:rPr>
                <w:noProof/>
                <w:webHidden/>
              </w:rPr>
              <w:t>137</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8" w:history="1">
            <w:r w:rsidR="00EC50F4" w:rsidRPr="006458AE">
              <w:rPr>
                <w:rStyle w:val="Hyperlink"/>
                <w:noProof/>
              </w:rPr>
              <w:t>8.0: Introduction</w:t>
            </w:r>
            <w:r w:rsidR="00EC50F4">
              <w:rPr>
                <w:noProof/>
                <w:webHidden/>
              </w:rPr>
              <w:tab/>
            </w:r>
            <w:r w:rsidR="00EC50F4">
              <w:rPr>
                <w:noProof/>
                <w:webHidden/>
              </w:rPr>
              <w:fldChar w:fldCharType="begin"/>
            </w:r>
            <w:r w:rsidR="00EC50F4">
              <w:rPr>
                <w:noProof/>
                <w:webHidden/>
              </w:rPr>
              <w:instrText xml:space="preserve"> PAGEREF _Toc164261738 \h </w:instrText>
            </w:r>
            <w:r w:rsidR="00EC50F4">
              <w:rPr>
                <w:noProof/>
                <w:webHidden/>
              </w:rPr>
            </w:r>
            <w:r w:rsidR="00EC50F4">
              <w:rPr>
                <w:noProof/>
                <w:webHidden/>
              </w:rPr>
              <w:fldChar w:fldCharType="separate"/>
            </w:r>
            <w:r w:rsidR="00EC50F4">
              <w:rPr>
                <w:noProof/>
                <w:webHidden/>
              </w:rPr>
              <w:t>137</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39" w:history="1">
            <w:r w:rsidR="00EC50F4" w:rsidRPr="006458AE">
              <w:rPr>
                <w:rStyle w:val="Hyperlink"/>
                <w:noProof/>
              </w:rPr>
              <w:t>8.1 Summary of Findings</w:t>
            </w:r>
            <w:r w:rsidR="00EC50F4">
              <w:rPr>
                <w:noProof/>
                <w:webHidden/>
              </w:rPr>
              <w:tab/>
            </w:r>
            <w:r w:rsidR="00EC50F4">
              <w:rPr>
                <w:noProof/>
                <w:webHidden/>
              </w:rPr>
              <w:fldChar w:fldCharType="begin"/>
            </w:r>
            <w:r w:rsidR="00EC50F4">
              <w:rPr>
                <w:noProof/>
                <w:webHidden/>
              </w:rPr>
              <w:instrText xml:space="preserve"> PAGEREF _Toc164261739 \h </w:instrText>
            </w:r>
            <w:r w:rsidR="00EC50F4">
              <w:rPr>
                <w:noProof/>
                <w:webHidden/>
              </w:rPr>
            </w:r>
            <w:r w:rsidR="00EC50F4">
              <w:rPr>
                <w:noProof/>
                <w:webHidden/>
              </w:rPr>
              <w:fldChar w:fldCharType="separate"/>
            </w:r>
            <w:r w:rsidR="00EC50F4">
              <w:rPr>
                <w:noProof/>
                <w:webHidden/>
              </w:rPr>
              <w:t>137</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40" w:history="1">
            <w:r w:rsidR="00EC50F4" w:rsidRPr="006458AE">
              <w:rPr>
                <w:rStyle w:val="Hyperlink"/>
                <w:noProof/>
              </w:rPr>
              <w:t>8.2 Recommendations</w:t>
            </w:r>
            <w:r w:rsidR="00EC50F4">
              <w:rPr>
                <w:noProof/>
                <w:webHidden/>
              </w:rPr>
              <w:tab/>
            </w:r>
            <w:r w:rsidR="00EC50F4">
              <w:rPr>
                <w:noProof/>
                <w:webHidden/>
              </w:rPr>
              <w:fldChar w:fldCharType="begin"/>
            </w:r>
            <w:r w:rsidR="00EC50F4">
              <w:rPr>
                <w:noProof/>
                <w:webHidden/>
              </w:rPr>
              <w:instrText xml:space="preserve"> PAGEREF _Toc164261740 \h </w:instrText>
            </w:r>
            <w:r w:rsidR="00EC50F4">
              <w:rPr>
                <w:noProof/>
                <w:webHidden/>
              </w:rPr>
            </w:r>
            <w:r w:rsidR="00EC50F4">
              <w:rPr>
                <w:noProof/>
                <w:webHidden/>
              </w:rPr>
              <w:fldChar w:fldCharType="separate"/>
            </w:r>
            <w:r w:rsidR="00EC50F4">
              <w:rPr>
                <w:noProof/>
                <w:webHidden/>
              </w:rPr>
              <w:t>144</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41" w:history="1">
            <w:r w:rsidR="00EC50F4" w:rsidRPr="006458AE">
              <w:rPr>
                <w:rStyle w:val="Hyperlink"/>
                <w:noProof/>
              </w:rPr>
              <w:t>8.3 Contribution to Knowledge</w:t>
            </w:r>
            <w:r w:rsidR="00EC50F4">
              <w:rPr>
                <w:noProof/>
                <w:webHidden/>
              </w:rPr>
              <w:tab/>
            </w:r>
            <w:r w:rsidR="00EC50F4">
              <w:rPr>
                <w:noProof/>
                <w:webHidden/>
              </w:rPr>
              <w:fldChar w:fldCharType="begin"/>
            </w:r>
            <w:r w:rsidR="00EC50F4">
              <w:rPr>
                <w:noProof/>
                <w:webHidden/>
              </w:rPr>
              <w:instrText xml:space="preserve"> PAGEREF _Toc164261741 \h </w:instrText>
            </w:r>
            <w:r w:rsidR="00EC50F4">
              <w:rPr>
                <w:noProof/>
                <w:webHidden/>
              </w:rPr>
            </w:r>
            <w:r w:rsidR="00EC50F4">
              <w:rPr>
                <w:noProof/>
                <w:webHidden/>
              </w:rPr>
              <w:fldChar w:fldCharType="separate"/>
            </w:r>
            <w:r w:rsidR="00EC50F4">
              <w:rPr>
                <w:noProof/>
                <w:webHidden/>
              </w:rPr>
              <w:t>146</w:t>
            </w:r>
            <w:r w:rsidR="00EC50F4">
              <w:rPr>
                <w:noProof/>
                <w:webHidden/>
              </w:rPr>
              <w:fldChar w:fldCharType="end"/>
            </w:r>
          </w:hyperlink>
        </w:p>
        <w:p w:rsidR="00EC50F4" w:rsidRDefault="00204C37">
          <w:pPr>
            <w:pStyle w:val="TOC2"/>
            <w:tabs>
              <w:tab w:val="right" w:leader="dot" w:pos="8918"/>
            </w:tabs>
            <w:rPr>
              <w:rFonts w:asciiTheme="minorHAnsi" w:eastAsiaTheme="minorEastAsia" w:hAnsiTheme="minorHAnsi"/>
              <w:noProof/>
              <w:sz w:val="22"/>
              <w:lang w:val="en-US"/>
            </w:rPr>
          </w:pPr>
          <w:hyperlink w:anchor="_Toc164261742" w:history="1">
            <w:r w:rsidR="00EC50F4" w:rsidRPr="006458AE">
              <w:rPr>
                <w:rStyle w:val="Hyperlink"/>
                <w:noProof/>
              </w:rPr>
              <w:t>8.4 Recommendations for Further Research</w:t>
            </w:r>
            <w:r w:rsidR="00EC50F4">
              <w:rPr>
                <w:noProof/>
                <w:webHidden/>
              </w:rPr>
              <w:tab/>
            </w:r>
            <w:r w:rsidR="00EC50F4">
              <w:rPr>
                <w:noProof/>
                <w:webHidden/>
              </w:rPr>
              <w:fldChar w:fldCharType="begin"/>
            </w:r>
            <w:r w:rsidR="00EC50F4">
              <w:rPr>
                <w:noProof/>
                <w:webHidden/>
              </w:rPr>
              <w:instrText xml:space="preserve"> PAGEREF _Toc164261742 \h </w:instrText>
            </w:r>
            <w:r w:rsidR="00EC50F4">
              <w:rPr>
                <w:noProof/>
                <w:webHidden/>
              </w:rPr>
            </w:r>
            <w:r w:rsidR="00EC50F4">
              <w:rPr>
                <w:noProof/>
                <w:webHidden/>
              </w:rPr>
              <w:fldChar w:fldCharType="separate"/>
            </w:r>
            <w:r w:rsidR="00EC50F4">
              <w:rPr>
                <w:noProof/>
                <w:webHidden/>
              </w:rPr>
              <w:t>148</w:t>
            </w:r>
            <w:r w:rsidR="00EC50F4">
              <w:rPr>
                <w:noProof/>
                <w:webHidden/>
              </w:rPr>
              <w:fldChar w:fldCharType="end"/>
            </w:r>
          </w:hyperlink>
        </w:p>
        <w:p w:rsidR="00E53882" w:rsidRDefault="00B16FF7">
          <w:pPr>
            <w:spacing w:before="0" w:after="0" w:line="480" w:lineRule="auto"/>
            <w:rPr>
              <w:rFonts w:cs="Times New Roman"/>
              <w:szCs w:val="24"/>
            </w:rPr>
          </w:pPr>
          <w:r>
            <w:rPr>
              <w:rFonts w:cs="Times New Roman"/>
              <w:b/>
              <w:bCs/>
              <w:szCs w:val="24"/>
            </w:rPr>
            <w:fldChar w:fldCharType="end"/>
          </w:r>
        </w:p>
      </w:sdtContent>
    </w:sdt>
    <w:p w:rsidR="00E53882" w:rsidRDefault="00E53882">
      <w:pPr>
        <w:spacing w:line="480" w:lineRule="auto"/>
        <w:rPr>
          <w:rFonts w:eastAsia="Calibri" w:cs="Times New Roman"/>
          <w:szCs w:val="24"/>
        </w:rPr>
      </w:pPr>
    </w:p>
    <w:p w:rsidR="00E53882" w:rsidRDefault="00E53882">
      <w:pPr>
        <w:spacing w:line="480" w:lineRule="auto"/>
        <w:rPr>
          <w:rFonts w:eastAsia="Calibri" w:cs="Times New Roman"/>
          <w:szCs w:val="24"/>
        </w:rPr>
      </w:pPr>
    </w:p>
    <w:p w:rsidR="00E53882" w:rsidRDefault="00E53882">
      <w:pPr>
        <w:spacing w:line="480" w:lineRule="auto"/>
        <w:rPr>
          <w:rFonts w:eastAsia="Calibri" w:cs="Times New Roman"/>
          <w:szCs w:val="24"/>
        </w:rPr>
      </w:pPr>
    </w:p>
    <w:p w:rsidR="00E53882" w:rsidRDefault="00E53882">
      <w:pPr>
        <w:spacing w:line="480" w:lineRule="auto"/>
        <w:rPr>
          <w:rFonts w:eastAsia="Calibri" w:cs="Times New Roman"/>
          <w:szCs w:val="24"/>
        </w:rPr>
      </w:pPr>
    </w:p>
    <w:p w:rsidR="00E53882" w:rsidRDefault="00E53882">
      <w:pPr>
        <w:spacing w:line="480" w:lineRule="auto"/>
        <w:rPr>
          <w:rFonts w:eastAsia="Calibri" w:cs="Times New Roman"/>
          <w:szCs w:val="24"/>
        </w:rPr>
      </w:pPr>
    </w:p>
    <w:p w:rsidR="00E53882" w:rsidRDefault="00B16FF7">
      <w:pPr>
        <w:pStyle w:val="Heading1"/>
        <w:spacing w:line="480" w:lineRule="auto"/>
        <w:rPr>
          <w:rFonts w:eastAsia="Calibri"/>
        </w:rPr>
      </w:pPr>
      <w:bookmarkStart w:id="19" w:name="_Toc164261667"/>
      <w:r>
        <w:rPr>
          <w:rFonts w:eastAsia="Calibri"/>
        </w:rPr>
        <w:lastRenderedPageBreak/>
        <w:t>LIST OF TABLES</w:t>
      </w:r>
      <w:bookmarkEnd w:id="19"/>
    </w:p>
    <w:p w:rsidR="00E53882" w:rsidRDefault="00B16FF7">
      <w:pPr>
        <w:pStyle w:val="TableofFigures"/>
        <w:tabs>
          <w:tab w:val="right" w:leader="dot" w:pos="9350"/>
        </w:tabs>
        <w:rPr>
          <w:rFonts w:eastAsiaTheme="minorEastAsia" w:cs="Times New Roman"/>
          <w:b w:val="0"/>
          <w:bCs w:val="0"/>
          <w:szCs w:val="24"/>
          <w:lang w:val="en-US"/>
        </w:rPr>
      </w:pPr>
      <w:r>
        <w:rPr>
          <w:rFonts w:eastAsia="Calibri" w:cs="Times New Roman"/>
          <w:b w:val="0"/>
          <w:szCs w:val="24"/>
        </w:rPr>
        <w:fldChar w:fldCharType="begin"/>
      </w:r>
      <w:r>
        <w:rPr>
          <w:rFonts w:eastAsia="Calibri" w:cs="Times New Roman"/>
          <w:b w:val="0"/>
          <w:szCs w:val="24"/>
        </w:rPr>
        <w:instrText xml:space="preserve"> TOC \h \z \t "table yuuu" \c </w:instrText>
      </w:r>
      <w:r>
        <w:rPr>
          <w:rFonts w:eastAsia="Calibri" w:cs="Times New Roman"/>
          <w:b w:val="0"/>
          <w:szCs w:val="24"/>
        </w:rPr>
        <w:fldChar w:fldCharType="separate"/>
      </w:r>
      <w:hyperlink w:anchor="_Toc156217545" w:history="1">
        <w:r>
          <w:rPr>
            <w:rStyle w:val="Hyperlink"/>
            <w:rFonts w:cs="Times New Roman"/>
            <w:b w:val="0"/>
            <w:szCs w:val="24"/>
          </w:rPr>
          <w:t>Table 5.1: Perceptions of pastoralists on Climate Change over the past 20 Years</w:t>
        </w:r>
        <w:r>
          <w:rPr>
            <w:rFonts w:cs="Times New Roman"/>
            <w:b w:val="0"/>
            <w:szCs w:val="24"/>
          </w:rPr>
          <w:tab/>
        </w:r>
        <w:r>
          <w:rPr>
            <w:rFonts w:cs="Times New Roman"/>
            <w:b w:val="0"/>
            <w:szCs w:val="24"/>
          </w:rPr>
          <w:fldChar w:fldCharType="begin"/>
        </w:r>
        <w:r>
          <w:rPr>
            <w:rFonts w:cs="Times New Roman"/>
            <w:b w:val="0"/>
            <w:szCs w:val="24"/>
          </w:rPr>
          <w:instrText xml:space="preserve"> PAGEREF _Toc156217545 \h </w:instrText>
        </w:r>
        <w:r>
          <w:rPr>
            <w:rFonts w:cs="Times New Roman"/>
            <w:b w:val="0"/>
            <w:szCs w:val="24"/>
          </w:rPr>
        </w:r>
        <w:r>
          <w:rPr>
            <w:rFonts w:cs="Times New Roman"/>
            <w:b w:val="0"/>
            <w:szCs w:val="24"/>
          </w:rPr>
          <w:fldChar w:fldCharType="separate"/>
        </w:r>
        <w:r>
          <w:rPr>
            <w:rFonts w:cs="Times New Roman"/>
            <w:b w:val="0"/>
            <w:szCs w:val="24"/>
          </w:rPr>
          <w:t>87</w:t>
        </w:r>
        <w:r>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46" w:history="1">
        <w:r w:rsidR="00B16FF7">
          <w:rPr>
            <w:rStyle w:val="Hyperlink"/>
            <w:rFonts w:cs="Times New Roman"/>
            <w:b w:val="0"/>
            <w:szCs w:val="24"/>
          </w:rPr>
          <w:t>Table 5.2: Pastoralists Perceived Causes of Climate change</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_Toc156217546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93</w:t>
        </w:r>
        <w:r w:rsidR="00B16FF7">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47" w:history="1">
        <w:r w:rsidR="00B16FF7">
          <w:rPr>
            <w:rStyle w:val="Hyperlink"/>
            <w:rFonts w:cs="Times New Roman"/>
            <w:b w:val="0"/>
            <w:szCs w:val="24"/>
          </w:rPr>
          <w:t>Table 6.1 below illustrates the seasons, calendar mo</w:t>
        </w:r>
        <w:r w:rsidR="00FA7E08">
          <w:rPr>
            <w:rStyle w:val="Hyperlink"/>
            <w:rFonts w:cs="Times New Roman"/>
            <w:b w:val="0"/>
            <w:szCs w:val="24"/>
          </w:rPr>
          <w:t xml:space="preserve">nths, and the destinations they </w:t>
        </w:r>
        <w:r w:rsidR="00FB16F9">
          <w:rPr>
            <w:rStyle w:val="Hyperlink"/>
            <w:rFonts w:cs="Times New Roman"/>
            <w:b w:val="0"/>
            <w:szCs w:val="24"/>
          </w:rPr>
          <w:t>move.</w:t>
        </w:r>
        <w:r w:rsidR="00B16FF7">
          <w:rPr>
            <w:rFonts w:cs="Times New Roman"/>
            <w:b w:val="0"/>
            <w:szCs w:val="24"/>
          </w:rPr>
          <w:fldChar w:fldCharType="begin"/>
        </w:r>
        <w:r w:rsidR="00B16FF7">
          <w:rPr>
            <w:rFonts w:cs="Times New Roman"/>
            <w:b w:val="0"/>
            <w:szCs w:val="24"/>
          </w:rPr>
          <w:instrText xml:space="preserve"> PAGEREF _Toc156217547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118</w:t>
        </w:r>
        <w:r w:rsidR="00B16FF7">
          <w:rPr>
            <w:rFonts w:cs="Times New Roman"/>
            <w:b w:val="0"/>
            <w:szCs w:val="24"/>
          </w:rPr>
          <w:fldChar w:fldCharType="end"/>
        </w:r>
      </w:hyperlink>
    </w:p>
    <w:p w:rsidR="00EC50F4" w:rsidRDefault="00B16FF7" w:rsidP="00EC50F4">
      <w:pPr>
        <w:pStyle w:val="Heading1"/>
        <w:spacing w:line="480" w:lineRule="auto"/>
        <w:jc w:val="both"/>
        <w:rPr>
          <w:rFonts w:eastAsia="Calibri" w:cs="Times New Roman"/>
          <w:b w:val="0"/>
          <w:szCs w:val="24"/>
        </w:rPr>
      </w:pPr>
      <w:r>
        <w:rPr>
          <w:rFonts w:eastAsia="Calibri" w:cs="Times New Roman"/>
          <w:b w:val="0"/>
          <w:szCs w:val="24"/>
        </w:rPr>
        <w:fldChar w:fldCharType="end"/>
      </w:r>
      <w:bookmarkStart w:id="20" w:name="_Toc164261668"/>
    </w:p>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EC50F4" w:rsidRDefault="00EC50F4" w:rsidP="00EC50F4"/>
    <w:p w:rsidR="00B862EF" w:rsidRDefault="00B862EF" w:rsidP="00EC50F4"/>
    <w:p w:rsidR="00EC50F4" w:rsidRPr="00EC50F4" w:rsidRDefault="00EC50F4" w:rsidP="00EC50F4"/>
    <w:p w:rsidR="00E53882" w:rsidRDefault="00B16FF7" w:rsidP="00EC50F4">
      <w:pPr>
        <w:pStyle w:val="Heading1"/>
        <w:spacing w:line="480" w:lineRule="auto"/>
        <w:rPr>
          <w:rFonts w:eastAsia="Calibri"/>
        </w:rPr>
      </w:pPr>
      <w:r>
        <w:rPr>
          <w:rFonts w:eastAsia="Calibri"/>
        </w:rPr>
        <w:lastRenderedPageBreak/>
        <w:t>LIST OF FIGURES</w:t>
      </w:r>
      <w:bookmarkEnd w:id="20"/>
    </w:p>
    <w:p w:rsidR="00E53882" w:rsidRDefault="00B16FF7">
      <w:pPr>
        <w:pStyle w:val="TableofFigures"/>
        <w:tabs>
          <w:tab w:val="right" w:leader="dot" w:pos="9350"/>
        </w:tabs>
        <w:rPr>
          <w:rFonts w:eastAsiaTheme="minorEastAsia" w:cs="Times New Roman"/>
          <w:b w:val="0"/>
          <w:bCs w:val="0"/>
          <w:szCs w:val="24"/>
          <w:lang w:val="en-US"/>
        </w:rPr>
      </w:pPr>
      <w:r>
        <w:rPr>
          <w:rFonts w:eastAsia="Calibri" w:cs="Times New Roman"/>
          <w:b w:val="0"/>
          <w:szCs w:val="24"/>
        </w:rPr>
        <w:fldChar w:fldCharType="begin"/>
      </w:r>
      <w:r>
        <w:rPr>
          <w:rFonts w:eastAsia="Calibri" w:cs="Times New Roman"/>
          <w:b w:val="0"/>
          <w:szCs w:val="24"/>
        </w:rPr>
        <w:instrText xml:space="preserve"> TOC \h \z \t "figures" \c </w:instrText>
      </w:r>
      <w:r>
        <w:rPr>
          <w:rFonts w:eastAsia="Calibri" w:cs="Times New Roman"/>
          <w:b w:val="0"/>
          <w:szCs w:val="24"/>
        </w:rPr>
        <w:fldChar w:fldCharType="separate"/>
      </w:r>
      <w:hyperlink w:anchor="_Toc156217568" w:history="1">
        <w:r>
          <w:rPr>
            <w:rStyle w:val="Hyperlink"/>
            <w:rFonts w:cs="Times New Roman"/>
            <w:b w:val="0"/>
            <w:szCs w:val="24"/>
          </w:rPr>
          <w:t>Figure 2.1: Adopted from DFID and modified by the Author</w:t>
        </w:r>
        <w:r>
          <w:rPr>
            <w:rFonts w:cs="Times New Roman"/>
            <w:b w:val="0"/>
            <w:szCs w:val="24"/>
          </w:rPr>
          <w:tab/>
        </w:r>
        <w:r>
          <w:rPr>
            <w:rFonts w:cs="Times New Roman"/>
            <w:b w:val="0"/>
            <w:szCs w:val="24"/>
          </w:rPr>
          <w:fldChar w:fldCharType="begin"/>
        </w:r>
        <w:r>
          <w:rPr>
            <w:rFonts w:cs="Times New Roman"/>
            <w:b w:val="0"/>
            <w:szCs w:val="24"/>
          </w:rPr>
          <w:instrText xml:space="preserve"> PAGEREF _Toc156217568 \h </w:instrText>
        </w:r>
        <w:r>
          <w:rPr>
            <w:rFonts w:cs="Times New Roman"/>
            <w:b w:val="0"/>
            <w:szCs w:val="24"/>
          </w:rPr>
        </w:r>
        <w:r>
          <w:rPr>
            <w:rFonts w:cs="Times New Roman"/>
            <w:b w:val="0"/>
            <w:szCs w:val="24"/>
          </w:rPr>
          <w:fldChar w:fldCharType="separate"/>
        </w:r>
        <w:r>
          <w:rPr>
            <w:rFonts w:cs="Times New Roman"/>
            <w:b w:val="0"/>
            <w:szCs w:val="24"/>
          </w:rPr>
          <w:t>45</w:t>
        </w:r>
        <w:r>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69" w:history="1">
        <w:r w:rsidR="00B16FF7">
          <w:rPr>
            <w:rStyle w:val="Hyperlink"/>
            <w:rFonts w:cs="Times New Roman"/>
            <w:b w:val="0"/>
            <w:szCs w:val="24"/>
          </w:rPr>
          <w:t>Figure 3.1: Map of Gusheigu Municipal showing Study Communities</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_Toc156217569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51</w:t>
        </w:r>
        <w:r w:rsidR="00B16FF7">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70" w:history="1">
        <w:r w:rsidR="00B16FF7">
          <w:rPr>
            <w:rStyle w:val="Hyperlink"/>
            <w:rFonts w:cs="Times New Roman"/>
            <w:b w:val="0"/>
            <w:szCs w:val="24"/>
          </w:rPr>
          <w:t>Figure 6.1: Observations of Pastoralist Mobility</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_Toc156217570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121</w:t>
        </w:r>
        <w:r w:rsidR="00B16FF7">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71" w:history="1">
        <w:r w:rsidR="00B16FF7">
          <w:rPr>
            <w:rStyle w:val="Hyperlink"/>
            <w:rFonts w:cs="Times New Roman"/>
            <w:b w:val="0"/>
            <w:szCs w:val="24"/>
          </w:rPr>
          <w:t>Figure 6.2: Relationship Between Climate Change and Pastoralist Mobility</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_Toc156217571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129</w:t>
        </w:r>
        <w:r w:rsidR="00B16FF7">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72" w:history="1">
        <w:r w:rsidR="00B16FF7">
          <w:rPr>
            <w:rStyle w:val="Hyperlink"/>
            <w:rFonts w:cs="Times New Roman"/>
            <w:b w:val="0"/>
            <w:szCs w:val="24"/>
          </w:rPr>
          <w:t xml:space="preserve">Figure 6.3: </w:t>
        </w:r>
        <w:r w:rsidR="00B16FF7">
          <w:rPr>
            <w:rStyle w:val="Hyperlink"/>
            <w:rFonts w:cs="Times New Roman"/>
            <w:b w:val="0"/>
            <w:szCs w:val="24"/>
            <w:lang w:bidi="en-US"/>
          </w:rPr>
          <w:t>Pastoralist Internal Mobility in the Study Area between a Periods of 1982-2002</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_Toc156217572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130</w:t>
        </w:r>
        <w:r w:rsidR="00B16FF7">
          <w:rPr>
            <w:rFonts w:cs="Times New Roman"/>
            <w:b w:val="0"/>
            <w:szCs w:val="24"/>
          </w:rPr>
          <w:fldChar w:fldCharType="end"/>
        </w:r>
      </w:hyperlink>
    </w:p>
    <w:p w:rsidR="00E53882" w:rsidRDefault="00204C37">
      <w:pPr>
        <w:pStyle w:val="TableofFigures"/>
        <w:tabs>
          <w:tab w:val="right" w:leader="dot" w:pos="9350"/>
        </w:tabs>
        <w:rPr>
          <w:rFonts w:eastAsiaTheme="minorEastAsia" w:cs="Times New Roman"/>
          <w:b w:val="0"/>
          <w:bCs w:val="0"/>
          <w:szCs w:val="24"/>
          <w:lang w:val="en-US"/>
        </w:rPr>
      </w:pPr>
      <w:hyperlink w:anchor="_Toc156217573" w:history="1">
        <w:r w:rsidR="00B16FF7">
          <w:rPr>
            <w:rStyle w:val="Hyperlink"/>
            <w:rFonts w:cs="Times New Roman"/>
            <w:b w:val="0"/>
            <w:szCs w:val="24"/>
          </w:rPr>
          <w:t>Figure 6.4: Pastoralist Internal Mobility in the Study Area between a Periods of 2003-2023</w:t>
        </w:r>
        <w:r w:rsidR="00B16FF7">
          <w:rPr>
            <w:rFonts w:cs="Times New Roman"/>
            <w:b w:val="0"/>
            <w:szCs w:val="24"/>
          </w:rPr>
          <w:tab/>
        </w:r>
        <w:r w:rsidR="00B16FF7">
          <w:rPr>
            <w:rFonts w:cs="Times New Roman"/>
            <w:b w:val="0"/>
            <w:szCs w:val="24"/>
          </w:rPr>
          <w:fldChar w:fldCharType="begin"/>
        </w:r>
        <w:r w:rsidR="00B16FF7">
          <w:rPr>
            <w:rFonts w:cs="Times New Roman"/>
            <w:b w:val="0"/>
            <w:szCs w:val="24"/>
          </w:rPr>
          <w:instrText xml:space="preserve"> PAGEREF _Toc156217573 \h </w:instrText>
        </w:r>
        <w:r w:rsidR="00B16FF7">
          <w:rPr>
            <w:rFonts w:cs="Times New Roman"/>
            <w:b w:val="0"/>
            <w:szCs w:val="24"/>
          </w:rPr>
        </w:r>
        <w:r w:rsidR="00B16FF7">
          <w:rPr>
            <w:rFonts w:cs="Times New Roman"/>
            <w:b w:val="0"/>
            <w:szCs w:val="24"/>
          </w:rPr>
          <w:fldChar w:fldCharType="separate"/>
        </w:r>
        <w:r w:rsidR="00B16FF7">
          <w:rPr>
            <w:rFonts w:cs="Times New Roman"/>
            <w:b w:val="0"/>
            <w:szCs w:val="24"/>
          </w:rPr>
          <w:t>132</w:t>
        </w:r>
        <w:r w:rsidR="00B16FF7">
          <w:rPr>
            <w:rFonts w:cs="Times New Roman"/>
            <w:b w:val="0"/>
            <w:szCs w:val="24"/>
          </w:rPr>
          <w:fldChar w:fldCharType="end"/>
        </w:r>
      </w:hyperlink>
    </w:p>
    <w:p w:rsidR="00E53882" w:rsidRDefault="00B16FF7">
      <w:pPr>
        <w:pStyle w:val="Heading1"/>
        <w:spacing w:line="480" w:lineRule="auto"/>
        <w:rPr>
          <w:rFonts w:eastAsia="Calibri" w:cs="Times New Roman"/>
          <w:b w:val="0"/>
          <w:szCs w:val="24"/>
        </w:rPr>
      </w:pPr>
      <w:r>
        <w:rPr>
          <w:rFonts w:eastAsia="Calibri" w:cs="Times New Roman"/>
          <w:b w:val="0"/>
          <w:szCs w:val="24"/>
        </w:rPr>
        <w:fldChar w:fldCharType="end"/>
      </w:r>
    </w:p>
    <w:p w:rsidR="00E53882" w:rsidRDefault="00E53882">
      <w:pPr>
        <w:pStyle w:val="Heading1"/>
        <w:spacing w:line="480" w:lineRule="auto"/>
        <w:rPr>
          <w:rFonts w:eastAsia="Calibri" w:cs="Times New Roman"/>
          <w:b w:val="0"/>
          <w:szCs w:val="24"/>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 w:rsidR="00E53882" w:rsidRDefault="00E53882"/>
    <w:p w:rsidR="00E53882" w:rsidRDefault="00E53882"/>
    <w:p w:rsidR="00E53882" w:rsidRDefault="00E53882"/>
    <w:p w:rsidR="00E53882" w:rsidRDefault="00E53882"/>
    <w:p w:rsidR="00E53882" w:rsidRDefault="00E53882"/>
    <w:p w:rsidR="00E53882" w:rsidRDefault="00E53882"/>
    <w:p w:rsidR="00E53882" w:rsidRDefault="00E53882"/>
    <w:p w:rsidR="00EB51F1" w:rsidRDefault="00B16FF7" w:rsidP="00EB51F1">
      <w:pPr>
        <w:pStyle w:val="Heading1"/>
        <w:rPr>
          <w:noProof/>
        </w:rPr>
      </w:pPr>
      <w:bookmarkStart w:id="21" w:name="_Toc164261669"/>
      <w:r>
        <w:lastRenderedPageBreak/>
        <w:t>LIST OF PLATES</w:t>
      </w:r>
      <w:bookmarkEnd w:id="21"/>
      <w:r w:rsidR="00EB51F1">
        <w:rPr>
          <w:rFonts w:cs="Times New Roman"/>
          <w:b w:val="0"/>
          <w:szCs w:val="24"/>
        </w:rPr>
        <w:fldChar w:fldCharType="begin"/>
      </w:r>
      <w:r w:rsidR="00EB51F1">
        <w:rPr>
          <w:rFonts w:cs="Times New Roman"/>
          <w:b w:val="0"/>
          <w:szCs w:val="24"/>
        </w:rPr>
        <w:instrText xml:space="preserve"> TOC \h \z \t "plati" \c </w:instrText>
      </w:r>
      <w:r w:rsidR="00EB51F1">
        <w:rPr>
          <w:rFonts w:cs="Times New Roman"/>
          <w:b w:val="0"/>
          <w:szCs w:val="24"/>
        </w:rPr>
        <w:fldChar w:fldCharType="separate"/>
      </w:r>
    </w:p>
    <w:p w:rsidR="00EB51F1" w:rsidRDefault="00EB51F1">
      <w:pPr>
        <w:pStyle w:val="TableofFigures"/>
        <w:tabs>
          <w:tab w:val="right" w:leader="dot" w:pos="8918"/>
        </w:tabs>
        <w:rPr>
          <w:rFonts w:asciiTheme="minorHAnsi" w:eastAsiaTheme="minorEastAsia" w:hAnsiTheme="minorHAnsi" w:cstheme="minorBidi"/>
          <w:b w:val="0"/>
          <w:bCs w:val="0"/>
          <w:noProof/>
          <w:sz w:val="22"/>
          <w:szCs w:val="22"/>
          <w:lang w:val="en-US"/>
        </w:rPr>
      </w:pPr>
      <w:hyperlink w:anchor="_Toc164372819" w:history="1">
        <w:r w:rsidRPr="00A66F98">
          <w:rPr>
            <w:rStyle w:val="Hyperlink"/>
            <w:noProof/>
          </w:rPr>
          <w:t>Field Photo, 2023. Cattle moving towards river bank to drink water after grazing</w:t>
        </w:r>
        <w:r>
          <w:rPr>
            <w:noProof/>
            <w:webHidden/>
          </w:rPr>
          <w:tab/>
        </w:r>
        <w:r>
          <w:rPr>
            <w:noProof/>
            <w:webHidden/>
          </w:rPr>
          <w:fldChar w:fldCharType="begin"/>
        </w:r>
        <w:r>
          <w:rPr>
            <w:noProof/>
            <w:webHidden/>
          </w:rPr>
          <w:instrText xml:space="preserve"> PAGEREF _Toc164372819 \h </w:instrText>
        </w:r>
        <w:r>
          <w:rPr>
            <w:noProof/>
            <w:webHidden/>
          </w:rPr>
        </w:r>
        <w:r>
          <w:rPr>
            <w:noProof/>
            <w:webHidden/>
          </w:rPr>
          <w:fldChar w:fldCharType="separate"/>
        </w:r>
        <w:r>
          <w:rPr>
            <w:noProof/>
            <w:webHidden/>
          </w:rPr>
          <w:t>100</w:t>
        </w:r>
        <w:r>
          <w:rPr>
            <w:noProof/>
            <w:webHidden/>
          </w:rPr>
          <w:fldChar w:fldCharType="end"/>
        </w:r>
      </w:hyperlink>
    </w:p>
    <w:p w:rsidR="00EB51F1" w:rsidRDefault="00EB51F1">
      <w:pPr>
        <w:pStyle w:val="TableofFigures"/>
        <w:tabs>
          <w:tab w:val="right" w:leader="dot" w:pos="8918"/>
        </w:tabs>
        <w:rPr>
          <w:rFonts w:asciiTheme="minorHAnsi" w:eastAsiaTheme="minorEastAsia" w:hAnsiTheme="minorHAnsi" w:cstheme="minorBidi"/>
          <w:b w:val="0"/>
          <w:bCs w:val="0"/>
          <w:noProof/>
          <w:sz w:val="22"/>
          <w:szCs w:val="22"/>
          <w:lang w:val="en-US"/>
        </w:rPr>
      </w:pPr>
      <w:hyperlink w:anchor="_Toc164372820" w:history="1">
        <w:r w:rsidRPr="00A66F98">
          <w:rPr>
            <w:rStyle w:val="Hyperlink"/>
            <w:noProof/>
          </w:rPr>
          <w:t>Field Photo, 2023: Cattle grazing dry grasses</w:t>
        </w:r>
        <w:r>
          <w:rPr>
            <w:noProof/>
            <w:webHidden/>
          </w:rPr>
          <w:tab/>
        </w:r>
        <w:r>
          <w:rPr>
            <w:noProof/>
            <w:webHidden/>
          </w:rPr>
          <w:fldChar w:fldCharType="begin"/>
        </w:r>
        <w:r>
          <w:rPr>
            <w:noProof/>
            <w:webHidden/>
          </w:rPr>
          <w:instrText xml:space="preserve"> PAGEREF _Toc164372820 \h </w:instrText>
        </w:r>
        <w:r>
          <w:rPr>
            <w:noProof/>
            <w:webHidden/>
          </w:rPr>
        </w:r>
        <w:r>
          <w:rPr>
            <w:noProof/>
            <w:webHidden/>
          </w:rPr>
          <w:fldChar w:fldCharType="separate"/>
        </w:r>
        <w:r>
          <w:rPr>
            <w:noProof/>
            <w:webHidden/>
          </w:rPr>
          <w:t>103</w:t>
        </w:r>
        <w:r>
          <w:rPr>
            <w:noProof/>
            <w:webHidden/>
          </w:rPr>
          <w:fldChar w:fldCharType="end"/>
        </w:r>
      </w:hyperlink>
    </w:p>
    <w:p w:rsidR="00E53882" w:rsidRDefault="00EB51F1" w:rsidP="00EB51F1">
      <w:pPr>
        <w:pStyle w:val="Heading1"/>
        <w:rPr>
          <w:b w:val="0"/>
        </w:rPr>
      </w:pPr>
      <w:r>
        <w:rPr>
          <w:rFonts w:cs="Times New Roman"/>
          <w:b w:val="0"/>
          <w:szCs w:val="24"/>
        </w:rPr>
        <w:fldChar w:fldCharType="end"/>
      </w:r>
    </w:p>
    <w:p w:rsidR="00E53882" w:rsidRDefault="00E53882">
      <w:pPr>
        <w:pStyle w:val="Heading1"/>
        <w:spacing w:line="480" w:lineRule="auto"/>
        <w:rPr>
          <w:rFonts w:eastAsia="Calibri"/>
        </w:rPr>
      </w:pPr>
      <w:bookmarkStart w:id="22" w:name="_GoBack"/>
      <w:bookmarkEnd w:id="22"/>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pStyle w:val="Heading1"/>
        <w:spacing w:line="480" w:lineRule="auto"/>
        <w:rPr>
          <w:rFonts w:eastAsia="Calibri"/>
        </w:rPr>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53882" w:rsidRDefault="00E53882">
      <w:pPr>
        <w:spacing w:line="480" w:lineRule="auto"/>
      </w:pPr>
    </w:p>
    <w:p w:rsidR="00EC50F4" w:rsidRDefault="00EC50F4">
      <w:pPr>
        <w:spacing w:line="480" w:lineRule="auto"/>
      </w:pPr>
    </w:p>
    <w:p w:rsidR="00E53882" w:rsidRDefault="00B16FF7">
      <w:pPr>
        <w:pStyle w:val="Heading1"/>
      </w:pPr>
      <w:bookmarkStart w:id="23" w:name="_Toc164261670"/>
      <w:r>
        <w:lastRenderedPageBreak/>
        <w:t>LIST OF BOXES</w:t>
      </w:r>
      <w:bookmarkEnd w:id="23"/>
      <w:r>
        <w:t xml:space="preserve"> </w:t>
      </w:r>
    </w:p>
    <w:p w:rsidR="00E53882" w:rsidRDefault="00B16FF7">
      <w:pPr>
        <w:pStyle w:val="TableofFigures"/>
        <w:tabs>
          <w:tab w:val="right" w:leader="dot" w:pos="9350"/>
        </w:tabs>
        <w:rPr>
          <w:rFonts w:asciiTheme="minorHAnsi" w:eastAsiaTheme="minorEastAsia" w:hAnsiTheme="minorHAnsi" w:cstheme="minorBidi"/>
          <w:b w:val="0"/>
          <w:bCs w:val="0"/>
          <w:sz w:val="22"/>
          <w:szCs w:val="22"/>
          <w:lang w:val="en-US"/>
        </w:rPr>
      </w:pPr>
      <w:r>
        <w:fldChar w:fldCharType="begin"/>
      </w:r>
      <w:r>
        <w:instrText xml:space="preserve"> TOC \h \z \t "boxes" \c </w:instrText>
      </w:r>
      <w:r>
        <w:fldChar w:fldCharType="separate"/>
      </w:r>
      <w:hyperlink w:anchor="_Toc156606820" w:history="1">
        <w:r>
          <w:rPr>
            <w:rStyle w:val="Hyperlink"/>
            <w:b w:val="0"/>
          </w:rPr>
          <w:t>Box 5.1: How climate change affects Pastoralists Cattle Rearing</w:t>
        </w:r>
        <w:r>
          <w:rPr>
            <w:b w:val="0"/>
          </w:rPr>
          <w:tab/>
        </w:r>
        <w:r>
          <w:rPr>
            <w:b w:val="0"/>
          </w:rPr>
          <w:fldChar w:fldCharType="begin"/>
        </w:r>
        <w:r>
          <w:rPr>
            <w:b w:val="0"/>
          </w:rPr>
          <w:instrText xml:space="preserve"> PAGEREF _Toc156606820 \h </w:instrText>
        </w:r>
        <w:r>
          <w:rPr>
            <w:b w:val="0"/>
          </w:rPr>
        </w:r>
        <w:r>
          <w:rPr>
            <w:b w:val="0"/>
          </w:rPr>
          <w:fldChar w:fldCharType="separate"/>
        </w:r>
        <w:r>
          <w:rPr>
            <w:b w:val="0"/>
          </w:rPr>
          <w:t>97</w:t>
        </w:r>
        <w:r>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1" w:history="1">
        <w:r w:rsidR="00B16FF7">
          <w:rPr>
            <w:rStyle w:val="Hyperlink"/>
            <w:b w:val="0"/>
          </w:rPr>
          <w:t>Box 5.2: How Climatic Factors Affects Pastoralists Food Crop Farming</w:t>
        </w:r>
        <w:r w:rsidR="00B16FF7">
          <w:rPr>
            <w:b w:val="0"/>
          </w:rPr>
          <w:tab/>
        </w:r>
        <w:r w:rsidR="00B16FF7">
          <w:rPr>
            <w:b w:val="0"/>
          </w:rPr>
          <w:fldChar w:fldCharType="begin"/>
        </w:r>
        <w:r w:rsidR="00B16FF7">
          <w:rPr>
            <w:b w:val="0"/>
          </w:rPr>
          <w:instrText xml:space="preserve"> PAGEREF _Toc156606821 \h </w:instrText>
        </w:r>
        <w:r w:rsidR="00B16FF7">
          <w:rPr>
            <w:b w:val="0"/>
          </w:rPr>
        </w:r>
        <w:r w:rsidR="00B16FF7">
          <w:rPr>
            <w:b w:val="0"/>
          </w:rPr>
          <w:fldChar w:fldCharType="separate"/>
        </w:r>
        <w:r w:rsidR="00B16FF7">
          <w:rPr>
            <w:b w:val="0"/>
          </w:rPr>
          <w:t>97</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2" w:history="1">
        <w:r w:rsidR="00B16FF7">
          <w:rPr>
            <w:rStyle w:val="Hyperlink"/>
            <w:b w:val="0"/>
          </w:rPr>
          <w:t>Box 5.3: How Climate Change Affects Pastoralist Sheep and Goats Rearing</w:t>
        </w:r>
        <w:r w:rsidR="00B16FF7">
          <w:rPr>
            <w:b w:val="0"/>
          </w:rPr>
          <w:tab/>
        </w:r>
        <w:r w:rsidR="00B16FF7">
          <w:rPr>
            <w:b w:val="0"/>
          </w:rPr>
          <w:fldChar w:fldCharType="begin"/>
        </w:r>
        <w:r w:rsidR="00B16FF7">
          <w:rPr>
            <w:b w:val="0"/>
          </w:rPr>
          <w:instrText xml:space="preserve"> PAGEREF _Toc156606822 \h </w:instrText>
        </w:r>
        <w:r w:rsidR="00B16FF7">
          <w:rPr>
            <w:b w:val="0"/>
          </w:rPr>
        </w:r>
        <w:r w:rsidR="00B16FF7">
          <w:rPr>
            <w:b w:val="0"/>
          </w:rPr>
          <w:fldChar w:fldCharType="separate"/>
        </w:r>
        <w:r w:rsidR="00B16FF7">
          <w:rPr>
            <w:b w:val="0"/>
          </w:rPr>
          <w:t>98</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3" w:history="1">
        <w:r w:rsidR="00B16FF7">
          <w:rPr>
            <w:rStyle w:val="Hyperlink"/>
            <w:b w:val="0"/>
          </w:rPr>
          <w:t>Box 5.5:  Pastoralists Adaptation to lack of Grass and Water During Dry season</w:t>
        </w:r>
        <w:r w:rsidR="00B16FF7">
          <w:rPr>
            <w:b w:val="0"/>
          </w:rPr>
          <w:tab/>
        </w:r>
        <w:r w:rsidR="00B16FF7">
          <w:rPr>
            <w:b w:val="0"/>
          </w:rPr>
          <w:fldChar w:fldCharType="begin"/>
        </w:r>
        <w:r w:rsidR="00B16FF7">
          <w:rPr>
            <w:b w:val="0"/>
          </w:rPr>
          <w:instrText xml:space="preserve"> PAGEREF _Toc156606823 \h </w:instrText>
        </w:r>
        <w:r w:rsidR="00B16FF7">
          <w:rPr>
            <w:b w:val="0"/>
          </w:rPr>
        </w:r>
        <w:r w:rsidR="00B16FF7">
          <w:rPr>
            <w:b w:val="0"/>
          </w:rPr>
          <w:fldChar w:fldCharType="separate"/>
        </w:r>
        <w:r w:rsidR="00B16FF7">
          <w:rPr>
            <w:b w:val="0"/>
          </w:rPr>
          <w:t>106</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4" w:history="1">
        <w:r w:rsidR="00B16FF7">
          <w:rPr>
            <w:rStyle w:val="Hyperlink"/>
            <w:b w:val="0"/>
          </w:rPr>
          <w:t>Box 5.6: Pastoralists Adaptation to High Temperature and Intense Wind</w:t>
        </w:r>
        <w:r w:rsidR="00B16FF7">
          <w:rPr>
            <w:b w:val="0"/>
          </w:rPr>
          <w:tab/>
        </w:r>
        <w:r w:rsidR="00B16FF7">
          <w:rPr>
            <w:b w:val="0"/>
          </w:rPr>
          <w:fldChar w:fldCharType="begin"/>
        </w:r>
        <w:r w:rsidR="00B16FF7">
          <w:rPr>
            <w:b w:val="0"/>
          </w:rPr>
          <w:instrText xml:space="preserve"> PAGEREF _Toc156606824 \h </w:instrText>
        </w:r>
        <w:r w:rsidR="00B16FF7">
          <w:rPr>
            <w:b w:val="0"/>
          </w:rPr>
        </w:r>
        <w:r w:rsidR="00B16FF7">
          <w:rPr>
            <w:b w:val="0"/>
          </w:rPr>
          <w:fldChar w:fldCharType="separate"/>
        </w:r>
        <w:r w:rsidR="00B16FF7">
          <w:rPr>
            <w:b w:val="0"/>
          </w:rPr>
          <w:t>107</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5" w:history="1">
        <w:r w:rsidR="00B16FF7">
          <w:rPr>
            <w:rStyle w:val="Hyperlink"/>
            <w:b w:val="0"/>
          </w:rPr>
          <w:t>Box 5.7: Pastoralists Adaptation during Hot Season</w:t>
        </w:r>
        <w:r w:rsidR="00B16FF7">
          <w:rPr>
            <w:b w:val="0"/>
          </w:rPr>
          <w:tab/>
        </w:r>
        <w:r w:rsidR="00B16FF7">
          <w:rPr>
            <w:b w:val="0"/>
          </w:rPr>
          <w:fldChar w:fldCharType="begin"/>
        </w:r>
        <w:r w:rsidR="00B16FF7">
          <w:rPr>
            <w:b w:val="0"/>
          </w:rPr>
          <w:instrText xml:space="preserve"> PAGEREF _Toc156606825 \h </w:instrText>
        </w:r>
        <w:r w:rsidR="00B16FF7">
          <w:rPr>
            <w:b w:val="0"/>
          </w:rPr>
        </w:r>
        <w:r w:rsidR="00B16FF7">
          <w:rPr>
            <w:b w:val="0"/>
          </w:rPr>
          <w:fldChar w:fldCharType="separate"/>
        </w:r>
        <w:r w:rsidR="00B16FF7">
          <w:rPr>
            <w:b w:val="0"/>
          </w:rPr>
          <w:t>108</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6" w:history="1">
        <w:r w:rsidR="00B16FF7">
          <w:rPr>
            <w:rStyle w:val="Hyperlink"/>
            <w:b w:val="0"/>
          </w:rPr>
          <w:t>Box 5.8: Pastoralists Adaptation during Rainy Season</w:t>
        </w:r>
        <w:r w:rsidR="00B16FF7">
          <w:rPr>
            <w:b w:val="0"/>
          </w:rPr>
          <w:tab/>
        </w:r>
        <w:r w:rsidR="00B16FF7">
          <w:rPr>
            <w:b w:val="0"/>
          </w:rPr>
          <w:fldChar w:fldCharType="begin"/>
        </w:r>
        <w:r w:rsidR="00B16FF7">
          <w:rPr>
            <w:b w:val="0"/>
          </w:rPr>
          <w:instrText xml:space="preserve"> PAGEREF _Toc156606826 \h </w:instrText>
        </w:r>
        <w:r w:rsidR="00B16FF7">
          <w:rPr>
            <w:b w:val="0"/>
          </w:rPr>
        </w:r>
        <w:r w:rsidR="00B16FF7">
          <w:rPr>
            <w:b w:val="0"/>
          </w:rPr>
          <w:fldChar w:fldCharType="separate"/>
        </w:r>
        <w:r w:rsidR="00B16FF7">
          <w:rPr>
            <w:b w:val="0"/>
          </w:rPr>
          <w:t>108</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7" w:history="1">
        <w:r w:rsidR="00B16FF7">
          <w:rPr>
            <w:rStyle w:val="Hyperlink"/>
            <w:b w:val="0"/>
          </w:rPr>
          <w:t>Box 6.9: Pastoralists Adaptation to Cattle Inhalation of Dust during Dry Season</w:t>
        </w:r>
        <w:r w:rsidR="00B16FF7">
          <w:rPr>
            <w:b w:val="0"/>
          </w:rPr>
          <w:tab/>
        </w:r>
        <w:r w:rsidR="00B16FF7">
          <w:rPr>
            <w:b w:val="0"/>
          </w:rPr>
          <w:fldChar w:fldCharType="begin"/>
        </w:r>
        <w:r w:rsidR="00B16FF7">
          <w:rPr>
            <w:b w:val="0"/>
          </w:rPr>
          <w:instrText xml:space="preserve"> PAGEREF _Toc156606827 \h </w:instrText>
        </w:r>
        <w:r w:rsidR="00B16FF7">
          <w:rPr>
            <w:b w:val="0"/>
          </w:rPr>
        </w:r>
        <w:r w:rsidR="00B16FF7">
          <w:rPr>
            <w:b w:val="0"/>
          </w:rPr>
          <w:fldChar w:fldCharType="separate"/>
        </w:r>
        <w:r w:rsidR="00B16FF7">
          <w:rPr>
            <w:b w:val="0"/>
          </w:rPr>
          <w:t>109</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8" w:history="1">
        <w:r w:rsidR="00B16FF7">
          <w:rPr>
            <w:rStyle w:val="Hyperlink"/>
            <w:b w:val="0"/>
          </w:rPr>
          <w:t>Box 5.10: Migration and Livelihood Diversification as a Coping Strategy</w:t>
        </w:r>
        <w:r w:rsidR="00B16FF7">
          <w:rPr>
            <w:b w:val="0"/>
          </w:rPr>
          <w:tab/>
        </w:r>
        <w:r w:rsidR="00B16FF7">
          <w:rPr>
            <w:b w:val="0"/>
          </w:rPr>
          <w:fldChar w:fldCharType="begin"/>
        </w:r>
        <w:r w:rsidR="00B16FF7">
          <w:rPr>
            <w:b w:val="0"/>
          </w:rPr>
          <w:instrText xml:space="preserve"> PAGEREF _Toc156606828 \h </w:instrText>
        </w:r>
        <w:r w:rsidR="00B16FF7">
          <w:rPr>
            <w:b w:val="0"/>
          </w:rPr>
        </w:r>
        <w:r w:rsidR="00B16FF7">
          <w:rPr>
            <w:b w:val="0"/>
          </w:rPr>
          <w:fldChar w:fldCharType="separate"/>
        </w:r>
        <w:r w:rsidR="00B16FF7">
          <w:rPr>
            <w:b w:val="0"/>
          </w:rPr>
          <w:t>109</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29" w:history="1">
        <w:r w:rsidR="00B16FF7">
          <w:rPr>
            <w:rStyle w:val="Hyperlink"/>
            <w:b w:val="0"/>
          </w:rPr>
          <w:t>Box 5.11: Grass Harvesting as an Adaptation Strategy by Pastoralists</w:t>
        </w:r>
        <w:r w:rsidR="00B16FF7">
          <w:rPr>
            <w:b w:val="0"/>
          </w:rPr>
          <w:tab/>
        </w:r>
        <w:r w:rsidR="00B16FF7">
          <w:rPr>
            <w:b w:val="0"/>
          </w:rPr>
          <w:fldChar w:fldCharType="begin"/>
        </w:r>
        <w:r w:rsidR="00B16FF7">
          <w:rPr>
            <w:b w:val="0"/>
          </w:rPr>
          <w:instrText xml:space="preserve"> PAGEREF _Toc156606829 \h </w:instrText>
        </w:r>
        <w:r w:rsidR="00B16FF7">
          <w:rPr>
            <w:b w:val="0"/>
          </w:rPr>
        </w:r>
        <w:r w:rsidR="00B16FF7">
          <w:rPr>
            <w:b w:val="0"/>
          </w:rPr>
          <w:fldChar w:fldCharType="separate"/>
        </w:r>
        <w:r w:rsidR="00B16FF7">
          <w:rPr>
            <w:b w:val="0"/>
          </w:rPr>
          <w:t>110</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 w:val="0"/>
          <w:bCs w:val="0"/>
          <w:sz w:val="22"/>
          <w:szCs w:val="22"/>
          <w:lang w:val="en-US"/>
        </w:rPr>
      </w:pPr>
      <w:hyperlink w:anchor="_Toc156606830" w:history="1">
        <w:r w:rsidR="00B16FF7">
          <w:rPr>
            <w:rStyle w:val="Hyperlink"/>
            <w:b w:val="0"/>
          </w:rPr>
          <w:t>Box 5.12: Internal Mobility as an Adaptation Strategy</w:t>
        </w:r>
        <w:r w:rsidR="00B16FF7">
          <w:rPr>
            <w:b w:val="0"/>
          </w:rPr>
          <w:tab/>
        </w:r>
        <w:r w:rsidR="00B16FF7">
          <w:rPr>
            <w:b w:val="0"/>
          </w:rPr>
          <w:fldChar w:fldCharType="begin"/>
        </w:r>
        <w:r w:rsidR="00B16FF7">
          <w:rPr>
            <w:b w:val="0"/>
          </w:rPr>
          <w:instrText xml:space="preserve"> PAGEREF _Toc156606830 \h </w:instrText>
        </w:r>
        <w:r w:rsidR="00B16FF7">
          <w:rPr>
            <w:b w:val="0"/>
          </w:rPr>
        </w:r>
        <w:r w:rsidR="00B16FF7">
          <w:rPr>
            <w:b w:val="0"/>
          </w:rPr>
          <w:fldChar w:fldCharType="separate"/>
        </w:r>
        <w:r w:rsidR="00B16FF7">
          <w:rPr>
            <w:b w:val="0"/>
          </w:rPr>
          <w:t>110</w:t>
        </w:r>
        <w:r w:rsidR="00B16FF7">
          <w:rPr>
            <w:b w:val="0"/>
          </w:rPr>
          <w:fldChar w:fldCharType="end"/>
        </w:r>
      </w:hyperlink>
    </w:p>
    <w:p w:rsidR="00E53882" w:rsidRDefault="00204C37">
      <w:pPr>
        <w:pStyle w:val="TableofFigures"/>
        <w:tabs>
          <w:tab w:val="right" w:leader="dot" w:pos="9350"/>
        </w:tabs>
        <w:rPr>
          <w:rFonts w:asciiTheme="minorHAnsi" w:eastAsiaTheme="minorEastAsia" w:hAnsiTheme="minorHAnsi" w:cstheme="minorBidi"/>
          <w:bCs w:val="0"/>
          <w:sz w:val="22"/>
          <w:szCs w:val="22"/>
          <w:lang w:val="en-US"/>
        </w:rPr>
      </w:pPr>
      <w:hyperlink w:anchor="_Toc156606831" w:history="1">
        <w:r w:rsidR="00B16FF7">
          <w:rPr>
            <w:rStyle w:val="Hyperlink"/>
            <w:b w:val="0"/>
          </w:rPr>
          <w:t>Box 6.1: Difference between Current and Past Form of Mobility</w:t>
        </w:r>
        <w:r w:rsidR="00B16FF7">
          <w:rPr>
            <w:b w:val="0"/>
          </w:rPr>
          <w:tab/>
        </w:r>
        <w:r w:rsidR="00B16FF7">
          <w:rPr>
            <w:b w:val="0"/>
          </w:rPr>
          <w:fldChar w:fldCharType="begin"/>
        </w:r>
        <w:r w:rsidR="00B16FF7">
          <w:rPr>
            <w:b w:val="0"/>
          </w:rPr>
          <w:instrText xml:space="preserve"> PAGEREF _Toc156606831 \h </w:instrText>
        </w:r>
        <w:r w:rsidR="00B16FF7">
          <w:rPr>
            <w:b w:val="0"/>
          </w:rPr>
        </w:r>
        <w:r w:rsidR="00B16FF7">
          <w:rPr>
            <w:b w:val="0"/>
          </w:rPr>
          <w:fldChar w:fldCharType="separate"/>
        </w:r>
        <w:r w:rsidR="00B16FF7">
          <w:rPr>
            <w:b w:val="0"/>
          </w:rPr>
          <w:t>122</w:t>
        </w:r>
        <w:r w:rsidR="00B16FF7">
          <w:rPr>
            <w:b w:val="0"/>
          </w:rPr>
          <w:fldChar w:fldCharType="end"/>
        </w:r>
      </w:hyperlink>
    </w:p>
    <w:p w:rsidR="00E53882" w:rsidRDefault="00B16FF7">
      <w:pPr>
        <w:spacing w:line="480" w:lineRule="auto"/>
        <w:rPr>
          <w:b/>
        </w:rPr>
      </w:pPr>
      <w:r>
        <w:rPr>
          <w:b/>
        </w:rPr>
        <w:fldChar w:fldCharType="end"/>
      </w:r>
    </w:p>
    <w:p w:rsidR="00E53882" w:rsidRDefault="00E53882">
      <w:pPr>
        <w:spacing w:line="480" w:lineRule="auto"/>
        <w:rPr>
          <w:b/>
        </w:rPr>
      </w:pPr>
    </w:p>
    <w:p w:rsidR="00E53882" w:rsidRDefault="00E53882">
      <w:pPr>
        <w:spacing w:line="480" w:lineRule="auto"/>
        <w:rPr>
          <w:b/>
        </w:rPr>
      </w:pPr>
    </w:p>
    <w:p w:rsidR="00E53882" w:rsidRDefault="00E53882">
      <w:pPr>
        <w:spacing w:line="480" w:lineRule="auto"/>
        <w:rPr>
          <w:b/>
        </w:rPr>
      </w:pPr>
    </w:p>
    <w:p w:rsidR="00E53882" w:rsidRDefault="00E53882">
      <w:pPr>
        <w:spacing w:line="480" w:lineRule="auto"/>
        <w:rPr>
          <w:b/>
        </w:rPr>
      </w:pPr>
    </w:p>
    <w:p w:rsidR="00E53882" w:rsidRDefault="00E53882">
      <w:pPr>
        <w:spacing w:line="480" w:lineRule="auto"/>
        <w:rPr>
          <w:b/>
        </w:rPr>
      </w:pPr>
    </w:p>
    <w:p w:rsidR="00E53882" w:rsidRDefault="00E53882">
      <w:pPr>
        <w:spacing w:line="480" w:lineRule="auto"/>
      </w:pPr>
    </w:p>
    <w:p w:rsidR="00E53882" w:rsidRDefault="00B16FF7">
      <w:pPr>
        <w:pStyle w:val="Heading1"/>
        <w:spacing w:line="480" w:lineRule="auto"/>
      </w:pPr>
      <w:bookmarkStart w:id="24" w:name="_Toc139113384"/>
      <w:bookmarkStart w:id="25" w:name="_Toc148699523"/>
      <w:bookmarkStart w:id="26" w:name="_Toc164261671"/>
      <w:r>
        <w:lastRenderedPageBreak/>
        <w:t>LIST OF ABBREVIATIONS</w:t>
      </w:r>
      <w:bookmarkEnd w:id="24"/>
      <w:bookmarkEnd w:id="25"/>
      <w:bookmarkEnd w:id="26"/>
    </w:p>
    <w:p w:rsidR="00E53882" w:rsidRDefault="00FB16F9">
      <w:r>
        <w:t>GNPC…………………….</w:t>
      </w:r>
      <w:r w:rsidR="00B16FF7">
        <w:t xml:space="preserve">….Ghana National Petroleum Corporation </w:t>
      </w:r>
    </w:p>
    <w:p w:rsidR="00E53882" w:rsidRDefault="00FB16F9">
      <w:pPr>
        <w:rPr>
          <w:rFonts w:eastAsia="Calibri"/>
        </w:rPr>
      </w:pPr>
      <w:r>
        <w:rPr>
          <w:rFonts w:eastAsia="Calibri"/>
          <w:bCs/>
          <w:iCs/>
        </w:rPr>
        <w:t>UNEP………………………</w:t>
      </w:r>
      <w:r w:rsidR="00B16FF7">
        <w:rPr>
          <w:rFonts w:eastAsia="Calibri"/>
          <w:bCs/>
          <w:iCs/>
        </w:rPr>
        <w:t>.United Nations Environment Programme</w:t>
      </w:r>
    </w:p>
    <w:p w:rsidR="00E53882" w:rsidRDefault="00FB16F9">
      <w:pPr>
        <w:rPr>
          <w:rFonts w:eastAsia="Calibri"/>
        </w:rPr>
      </w:pPr>
      <w:r>
        <w:rPr>
          <w:rFonts w:eastAsia="Calibri"/>
          <w:iCs/>
        </w:rPr>
        <w:t>UNHCR……………………</w:t>
      </w:r>
      <w:r w:rsidR="00B16FF7">
        <w:rPr>
          <w:rFonts w:eastAsia="Calibri"/>
          <w:iCs/>
        </w:rPr>
        <w:t xml:space="preserve">… United Nations High Commissioner for Refugees </w:t>
      </w:r>
    </w:p>
    <w:p w:rsidR="00E53882" w:rsidRDefault="00FB16F9">
      <w:pPr>
        <w:rPr>
          <w:rFonts w:eastAsia="Calibri"/>
          <w:iCs/>
        </w:rPr>
      </w:pPr>
      <w:r>
        <w:rPr>
          <w:rFonts w:eastAsia="Calibri"/>
          <w:iCs/>
        </w:rPr>
        <w:t>IPCC ……………………</w:t>
      </w:r>
      <w:r w:rsidR="00B16FF7">
        <w:rPr>
          <w:rFonts w:eastAsia="Calibri"/>
          <w:iCs/>
        </w:rPr>
        <w:t>…..Intergovernmental Panel on Climate Change</w:t>
      </w:r>
    </w:p>
    <w:p w:rsidR="00E53882" w:rsidRDefault="00FB16F9">
      <w:r>
        <w:t>EPA…………………………</w:t>
      </w:r>
      <w:r w:rsidR="00B16FF7">
        <w:t xml:space="preserve">...Environmental Protection Agency </w:t>
      </w:r>
    </w:p>
    <w:p w:rsidR="00E53882" w:rsidRDefault="00FB16F9">
      <w:pPr>
        <w:rPr>
          <w:rFonts w:eastAsia="Calibri"/>
        </w:rPr>
      </w:pPr>
      <w:r>
        <w:t>FGDs………………………</w:t>
      </w:r>
      <w:r w:rsidR="00B16FF7">
        <w:t xml:space="preserve">… Focus Group Discussions </w:t>
      </w:r>
    </w:p>
    <w:p w:rsidR="00E53882" w:rsidRDefault="00FB16F9">
      <w:r>
        <w:t>KIs …………………………</w:t>
      </w:r>
      <w:r w:rsidR="00B16FF7">
        <w:t xml:space="preserve">…Key Informants </w:t>
      </w:r>
    </w:p>
    <w:p w:rsidR="00E53882" w:rsidRDefault="00FB16F9">
      <w:r>
        <w:t>GPS ………………………</w:t>
      </w:r>
      <w:r w:rsidR="00B16FF7">
        <w:t xml:space="preserve">….Global Positioning Systems </w:t>
      </w:r>
    </w:p>
    <w:p w:rsidR="00E53882" w:rsidRDefault="00FB16F9">
      <w:r>
        <w:t>GIS………………………</w:t>
      </w:r>
      <w:r w:rsidR="00B16FF7">
        <w:t xml:space="preserve">… Geographic Information Systems </w:t>
      </w:r>
    </w:p>
    <w:p w:rsidR="00E53882" w:rsidRDefault="00B16FF7">
      <w:r>
        <w:t xml:space="preserve">KII……………………………..Key Informant Interviews </w:t>
      </w:r>
    </w:p>
    <w:p w:rsidR="00E53882" w:rsidRDefault="00456836">
      <w:r>
        <w:t>PBUH…………………………Peace Be Upon H</w:t>
      </w:r>
      <w:r w:rsidR="00B16FF7">
        <w:t xml:space="preserve">im </w:t>
      </w:r>
    </w:p>
    <w:p w:rsidR="00E53882" w:rsidRDefault="00B16FF7">
      <w:r>
        <w:t>T.Z…………………………….</w:t>
      </w:r>
      <w:proofErr w:type="spellStart"/>
      <w:r>
        <w:t>Tuo</w:t>
      </w:r>
      <w:proofErr w:type="spellEnd"/>
      <w:r>
        <w:t xml:space="preserve"> </w:t>
      </w:r>
      <w:proofErr w:type="spellStart"/>
      <w:r>
        <w:t>Zaafi</w:t>
      </w:r>
      <w:proofErr w:type="spellEnd"/>
    </w:p>
    <w:p w:rsidR="00E53882" w:rsidRDefault="00B16FF7">
      <w:r>
        <w:t>GSS………………………… Ghana Statistical Service</w:t>
      </w:r>
    </w:p>
    <w:p w:rsidR="00E53882" w:rsidRDefault="00B16FF7">
      <w:r>
        <w:rPr>
          <w:rFonts w:eastAsia="Times New Roman"/>
          <w:color w:val="252525"/>
        </w:rPr>
        <w:t>COPD……………………</w:t>
      </w:r>
      <w:r w:rsidR="001343A3">
        <w:rPr>
          <w:rFonts w:eastAsia="Times New Roman"/>
          <w:color w:val="252525"/>
        </w:rPr>
        <w:t>…. Chronic</w:t>
      </w:r>
      <w:r>
        <w:rPr>
          <w:rFonts w:eastAsia="Times New Roman"/>
          <w:color w:val="252525"/>
        </w:rPr>
        <w:t xml:space="preserve"> Obstructive Pulmonary Disease  </w:t>
      </w:r>
    </w:p>
    <w:p w:rsidR="00E53882" w:rsidRDefault="00456836">
      <w:pPr>
        <w:rPr>
          <w:rFonts w:eastAsia="Calibri"/>
        </w:rPr>
      </w:pPr>
      <w:r>
        <w:rPr>
          <w:rFonts w:eastAsia="Calibri"/>
        </w:rPr>
        <w:t>FAO………………………… Food and Agriculture Organization</w:t>
      </w:r>
    </w:p>
    <w:p w:rsidR="00E53882" w:rsidRDefault="00E53882">
      <w:pPr>
        <w:rPr>
          <w:rFonts w:eastAsia="Calibri"/>
        </w:rPr>
        <w:sectPr w:rsidR="00E53882" w:rsidSect="00086F51">
          <w:type w:val="continuous"/>
          <w:pgSz w:w="12240" w:h="15840"/>
          <w:pgMar w:top="1440" w:right="1440" w:bottom="1440" w:left="1872" w:header="720" w:footer="720" w:gutter="0"/>
          <w:pgNumType w:fmt="lowerRoman" w:start="1"/>
          <w:cols w:space="720"/>
          <w:titlePg/>
          <w:docGrid w:linePitch="360"/>
        </w:sectPr>
      </w:pPr>
    </w:p>
    <w:p w:rsidR="00E53882" w:rsidRDefault="00E53882">
      <w:pPr>
        <w:rPr>
          <w:rFonts w:eastAsia="Calibri"/>
        </w:rPr>
      </w:pPr>
    </w:p>
    <w:p w:rsidR="00E53882" w:rsidRDefault="00B16FF7">
      <w:pPr>
        <w:spacing w:line="480" w:lineRule="auto"/>
        <w:rPr>
          <w:rFonts w:eastAsia="Calibri"/>
        </w:rPr>
      </w:pPr>
      <w:r>
        <w:rPr>
          <w:rFonts w:eastAsia="Calibri"/>
        </w:rPr>
        <w:br w:type="page"/>
      </w:r>
    </w:p>
    <w:p w:rsidR="00E53882" w:rsidRDefault="00B16FF7">
      <w:pPr>
        <w:pStyle w:val="Heading1"/>
        <w:spacing w:line="480" w:lineRule="auto"/>
        <w:rPr>
          <w:rFonts w:eastAsia="Calibri"/>
        </w:rPr>
      </w:pPr>
      <w:bookmarkStart w:id="27" w:name="_Toc164261672"/>
      <w:r>
        <w:rPr>
          <w:rFonts w:eastAsia="Calibri"/>
        </w:rPr>
        <w:lastRenderedPageBreak/>
        <w:t>CHAPTER ONE</w:t>
      </w:r>
      <w:bookmarkEnd w:id="27"/>
    </w:p>
    <w:p w:rsidR="00E53882" w:rsidRDefault="00B16FF7">
      <w:pPr>
        <w:pStyle w:val="Heading1"/>
        <w:spacing w:line="480" w:lineRule="auto"/>
        <w:rPr>
          <w:rFonts w:eastAsia="Calibri"/>
        </w:rPr>
      </w:pPr>
      <w:bookmarkStart w:id="28" w:name="_Toc164261673"/>
      <w:r>
        <w:rPr>
          <w:rFonts w:eastAsia="Calibri"/>
        </w:rPr>
        <w:t>GENERAL INTRODUCTION</w:t>
      </w:r>
      <w:bookmarkEnd w:id="28"/>
      <w:r>
        <w:rPr>
          <w:rFonts w:eastAsia="Calibri"/>
        </w:rPr>
        <w:t xml:space="preserve"> </w:t>
      </w:r>
    </w:p>
    <w:p w:rsidR="00E53882" w:rsidRDefault="00B16FF7">
      <w:pPr>
        <w:pStyle w:val="Heading2"/>
        <w:spacing w:line="480" w:lineRule="auto"/>
        <w:rPr>
          <w:iCs/>
        </w:rPr>
      </w:pPr>
      <w:bookmarkStart w:id="29" w:name="_Toc164261674"/>
      <w:r>
        <w:t>1.0 Background of the Study</w:t>
      </w:r>
      <w:bookmarkEnd w:id="29"/>
      <w:r>
        <w:t xml:space="preserve"> </w:t>
      </w:r>
      <w:bookmarkEnd w:id="0"/>
    </w:p>
    <w:p w:rsidR="00E53882" w:rsidRDefault="00B16FF7">
      <w:pPr>
        <w:spacing w:before="240" w:after="0" w:line="480" w:lineRule="auto"/>
        <w:rPr>
          <w:rFonts w:eastAsia="Calibri" w:cs="Times New Roman"/>
          <w:iCs/>
          <w:szCs w:val="24"/>
        </w:rPr>
      </w:pPr>
      <w:r>
        <w:rPr>
          <w:rFonts w:cs="Times New Roman"/>
          <w:szCs w:val="24"/>
        </w:rPr>
        <w:t xml:space="preserve">Globally, changes in climate have become one of the most significant challenges facing humanity in the 21st century </w:t>
      </w:r>
      <w:r>
        <w:rPr>
          <w:rFonts w:cs="Times New Roman"/>
          <w:iCs/>
          <w:szCs w:val="24"/>
        </w:rPr>
        <w:fldChar w:fldCharType="begin" w:fldLock="1"/>
      </w:r>
      <w:r>
        <w:rPr>
          <w:rFonts w:cs="Times New Roman"/>
          <w:iCs/>
          <w:szCs w:val="24"/>
        </w:rPr>
        <w:instrText>ADDIN CSL_CITATION {"citationItems":[{"id":"ITEM-1","itemData":{"DOI":"10.1007/s11356-022-19718-6","ISBN":"0123456789","ISSN":"16147499","PMID":"35378646","abstract":"Climate change is a long-lasting change in the weather arrays across tropics to polls. It is a global threat that has embarked on to put stress on various sectors. This study is aimed to conceptually engineer how climate variability is deteriorating the sustainability of diverse sectors worldwide. Specifically, the agricultural sector’s vulnerability is a globally concerning scenario, as sufficient production and food supplies are threatened due to irreversible weather fluctuations. In turn, it is challenging the global feeding patterns, particularly in countries with agriculture as an integral part of their economy and total productivity. Climate change has also put the integrity and survival of many species at stake due to shifts in optimum temperature ranges, thereby accelerating biodiversity loss by progressively changing the ecosystem structures. Climate variations increase the likelihood of particular food and waterborne and vector-borne diseases, and a recent example is a coronavirus pandemic. Climate change also accelerates the enigma of antimicrobial resistance, another threat to human health due to the increasing incidence of resistant pathogenic infections. Besides, the global tourism industry is devastated as climate change impacts unfavorable tourism spots. The methodology investigates hypothetical scenarios of climate variability and attempts to describe the quality of evidence to facilitate readers’ careful, critical engagement. Secondary data is used to identify sustainability issues such as environmental, social, and economic viability. To better understand the problem, gathered the information in this report from various media outlets, research agencies, policy papers, newspapers, and other sources. This review is a sectorial assessment of climate change mitigation and adaptation approaches worldwide in the aforementioned sectors and the associated economic costs. According to the findings, government involvement is necessary for the country’s long-term development through strict accountability of resources and regulations implemented in the past to generate cutting-edge climate policy. Therefore, mitigating the impacts of climate change must be of the utmost importance, and hence, this global threat requires global commitment to address its dreadful implications to ensure global sustenance.","author":[{"dropping-particle":"","family":"Kashif Abbass","given":"","non-dropping-particle":"","parse-names":false,"suffix":""},{"dropping-particle":"","family":"Qasim","given":"Muhammad Zeeshan","non-dropping-particle":"","parse-names":false,"suffix":""},{"dropping-particle":"","family":"Song","given":"Huaming","non-dropping-particle":"","parse-names":false,"suffix":""},{"dropping-particle":"","family":"Murshed","given":"Muntasir","non-dropping-particle":"","parse-names":false,"suffix":""},{"dropping-particle":"","family":"Mahmood","given":"Haider","non-dropping-particle":"","parse-names":false,"suffix":""},{"dropping-particle":"","family":"Younis","given":"Ijaz","non-dropping-particle":"","parse-names":false,"suffix":""}],"container-title":"Environmental Science and Pollution Research","id":"ITEM-1","issue":"28","issued":{"date-parts":[["2022"]]},"page":"42539-42559","title":"A review of the global climate change impacts, adaptation, and sustainable mitigation measures","type":"article-journal","volume":"29"},"uris":["http://www.mendeley.com/documents/?uuid=cf2e377c-22f1-4ec2-ad86-ddb800a958a4"]}],"mendeley":{"formattedCitation":"(Kashif Abbass et al., 2022)","plainTextFormattedCitation":"(Kashif Abbass et al., 2022)","previouslyFormattedCitation":"(Kashif Abbass et al., 2022)"},"properties":{"noteIndex":0},"schema":"https://github.com/citation-style-language/schema/raw/master/csl-citation.json"}</w:instrText>
      </w:r>
      <w:r>
        <w:rPr>
          <w:rFonts w:cs="Times New Roman"/>
          <w:iCs/>
          <w:szCs w:val="24"/>
        </w:rPr>
        <w:fldChar w:fldCharType="separate"/>
      </w:r>
      <w:r>
        <w:rPr>
          <w:rFonts w:cs="Times New Roman"/>
          <w:iCs/>
          <w:noProof/>
          <w:szCs w:val="24"/>
        </w:rPr>
        <w:t>(Kashif Abbass et al., 2022)</w:t>
      </w:r>
      <w:r>
        <w:rPr>
          <w:rFonts w:cs="Times New Roman"/>
          <w:iCs/>
          <w:szCs w:val="24"/>
        </w:rPr>
        <w:fldChar w:fldCharType="end"/>
      </w:r>
      <w:r>
        <w:rPr>
          <w:rFonts w:cs="Times New Roman"/>
          <w:iCs/>
          <w:szCs w:val="24"/>
        </w:rPr>
        <w:t xml:space="preserve">. </w:t>
      </w:r>
      <w:r>
        <w:rPr>
          <w:rFonts w:cs="Times New Roman"/>
          <w:szCs w:val="24"/>
        </w:rPr>
        <w:t xml:space="preserve">Climate-related events such as storms, hurricanes, and extreme weather conditions have had a profound impact on various regions and communities, including Lytton, Paradise, Fort McMurray, Bangladesh, Philippines, Tuvalu, Ida, Maria, and Harvey </w:t>
      </w:r>
      <w:r>
        <w:rPr>
          <w:rFonts w:cs="Times New Roman"/>
          <w:iCs/>
          <w:szCs w:val="24"/>
        </w:rPr>
        <w:fldChar w:fldCharType="begin" w:fldLock="1"/>
      </w:r>
      <w:r>
        <w:rPr>
          <w:rFonts w:cs="Times New Roman"/>
          <w:iCs/>
          <w:szCs w:val="24"/>
        </w:rPr>
        <w:instrText>ADDIN CSL_CITATION {"citationItems":[{"id":"ITEM-1","itemData":{"author":[{"dropping-particle":"","family":"Bates-eamer","given":"Nicole","non-dropping-particle":"","parse-names":false,"suffix":""}],"id":"ITEM-1","issued":{"date-parts":[["2022"]]},"title":"Framing the Climate Change and Human Mobility Nexus in Canada: From Discourse to Policy?","type":"article-journal"},"uris":["http://www.mendeley.com/documents/?uuid=643232c1-7a4c-42f5-8609-e314e1532b97"]}],"mendeley":{"formattedCitation":"(Bates-eamer, 2022)","plainTextFormattedCitation":"(Bates-eamer, 2022)","previouslyFormattedCitation":"(Bates-eamer, 2022)"},"properties":{"noteIndex":0},"schema":"https://github.com/citation-style-language/schema/raw/master/csl-citation.json"}</w:instrText>
      </w:r>
      <w:r>
        <w:rPr>
          <w:rFonts w:cs="Times New Roman"/>
          <w:iCs/>
          <w:szCs w:val="24"/>
        </w:rPr>
        <w:fldChar w:fldCharType="separate"/>
      </w:r>
      <w:r>
        <w:rPr>
          <w:rFonts w:cs="Times New Roman"/>
          <w:iCs/>
          <w:noProof/>
          <w:szCs w:val="24"/>
        </w:rPr>
        <w:t>(Bates-eamer, 2022)</w:t>
      </w:r>
      <w:r>
        <w:rPr>
          <w:rFonts w:cs="Times New Roman"/>
          <w:iCs/>
          <w:szCs w:val="24"/>
        </w:rPr>
        <w:fldChar w:fldCharType="end"/>
      </w:r>
      <w:r>
        <w:rPr>
          <w:rFonts w:cs="Times New Roman"/>
          <w:iCs/>
          <w:szCs w:val="24"/>
        </w:rPr>
        <w:t xml:space="preserve">. </w:t>
      </w:r>
      <w:r>
        <w:rPr>
          <w:rFonts w:cs="Times New Roman"/>
          <w:szCs w:val="24"/>
        </w:rPr>
        <w:t xml:space="preserve">These events have resulted in the displacement of approximately 111.5 million people worldwide, with 263,200 people being displaced in Canada alone </w:t>
      </w:r>
      <w:r>
        <w:rPr>
          <w:rFonts w:cs="Times New Roman"/>
          <w:iCs/>
          <w:szCs w:val="24"/>
        </w:rPr>
        <w:fldChar w:fldCharType="begin" w:fldLock="1"/>
      </w:r>
      <w:r>
        <w:rPr>
          <w:rFonts w:cs="Times New Roman"/>
          <w:iCs/>
          <w:szCs w:val="24"/>
        </w:rPr>
        <w:instrText>ADDIN CSL_CITATION {"citationItems":[{"id":"ITEM-1","itemData":{"abstract":"Global Report on Internal Displacement 2019 This year’s GRID focuses on urban internal displacement and presents new evidence on the humanitarian and development challenges presented by displacement to, between and within towns and cities. Part 1 - The global displacement landscape presents the new global figures for the year of 2018. Data, contextual analysis and urban perspectives are presented in regional overviews and country spotlights. Part 2 - Internal displacement data: from challenge to opportunity discusses why monitoring internal displacement systematically and independently matters. It identifies the main gaps in current practice and points to solutions for the future. Part 3 - Urban internal displacement: risk, impacts and solutions unpacks the main characteristics, risks, impacts and challenges related to urban internal displacement around the world, and presents opportunities and new approaches to dealing with them.","author":[{"dropping-particle":"","family":"International Displacement Monitoring Centre","given":"","non-dropping-particle":"","parse-names":false,"suffix":""}],"container-title":"Grid 2021","id":"ITEM-1","issued":{"date-parts":[["2021"]]},"title":"Global Report on Internal Displacement 2021: Internal displacement in a changing climate","type":"article-journal"},"uris":["http://www.mendeley.com/documents/?uuid=f1976c9c-5cd3-4cea-a995-05ad7f09e816"]}],"mendeley":{"formattedCitation":"(International Displacement Monitoring Centre, 2021)","plainTextFormattedCitation":"(International Displacement Monitoring Centre, 2021)","previouslyFormattedCitation":"(International Displacement Monitoring Centre, 2021)"},"properties":{"noteIndex":0},"schema":"https://github.com/citation-style-language/schema/raw/master/csl-citation.json"}</w:instrText>
      </w:r>
      <w:r>
        <w:rPr>
          <w:rFonts w:cs="Times New Roman"/>
          <w:iCs/>
          <w:szCs w:val="24"/>
        </w:rPr>
        <w:fldChar w:fldCharType="separate"/>
      </w:r>
      <w:r>
        <w:rPr>
          <w:rFonts w:cs="Times New Roman"/>
          <w:iCs/>
          <w:noProof/>
          <w:szCs w:val="24"/>
        </w:rPr>
        <w:t>(International Displacement Monitoring Centre, 2021)</w:t>
      </w:r>
      <w:r>
        <w:rPr>
          <w:rFonts w:cs="Times New Roman"/>
          <w:iCs/>
          <w:szCs w:val="24"/>
        </w:rPr>
        <w:fldChar w:fldCharType="end"/>
      </w:r>
      <w:r>
        <w:rPr>
          <w:rFonts w:cs="Times New Roman"/>
          <w:iCs/>
          <w:szCs w:val="24"/>
        </w:rPr>
        <w:t xml:space="preserve">. </w:t>
      </w:r>
      <w:r>
        <w:rPr>
          <w:rFonts w:cs="Times New Roman"/>
          <w:szCs w:val="24"/>
        </w:rPr>
        <w:t xml:space="preserve">However, these statistics do not account for the millions of individuals who have had to relocate due to the unsustainability of their livelihoods or the destruction caused by climate change, nor does it include those who have perished in these hazardous weather events </w:t>
      </w:r>
      <w:r>
        <w:rPr>
          <w:rFonts w:eastAsia="Calibri" w:cs="Times New Roman"/>
          <w:iCs/>
          <w:szCs w:val="24"/>
        </w:rPr>
        <w:fldChar w:fldCharType="begin" w:fldLock="1"/>
      </w:r>
      <w:r>
        <w:rPr>
          <w:rFonts w:eastAsia="Calibri" w:cs="Times New Roman"/>
          <w:iCs/>
          <w:szCs w:val="24"/>
        </w:rPr>
        <w:instrText>ADDIN CSL_CITATION {"citationItems":[{"id":"ITEM-1","itemData":{"author":[{"dropping-particle":"","family":"Bates-eamer","given":"Nicole","non-dropping-particle":"","parse-names":false,"suffix":""}],"id":"ITEM-1","issued":{"date-parts":[["2022"]]},"title":"Framing the Climate Change and Human Mobility Nexus in Canada: From Discourse to Policy?","type":"article-journal"},"uris":["http://www.mendeley.com/documents/?uuid=643232c1-7a4c-42f5-8609-e314e1532b97"]},{"id":"ITEM-2","itemData":{"abstract":"This paper seeks to advance understanding of the connection between the slow onset adverse effects of climate change, human rights, and the cross-border movement of people in order to promote informed actions to protect the rights of those affected. The study was undertaken on behalf of the Office of the United Nations High Commissioner for Human Rights (OHCHR), in collaboration with the Platform on Disaster Displacement (PDD).","author":[{"dropping-particle":"","family":"Nishimura","given":"","non-dropping-particle":"","parse-names":false,"suffix":""}],"id":"ITEM-2","issue":"October","issued":{"date-parts":[["2017"]]},"page":"1-6","title":"The Slow onset effects of climate change and human rights protection for cross-border migrants","type":"article-journal","volume":"04452"},"uris":["http://www.mendeley.com/documents/?uuid=7f0d74de-91e8-4f34-a1ed-1253fca6cde5"]}],"mendeley":{"formattedCitation":"(Bates-eamer, 2022; Nishimura, 2017)","plainTextFormattedCitation":"(Bates-eamer, 2022; Nishimura, 2017)","previouslyFormattedCitation":"(Bates-eamer, 2022; Nishimura, 2017)"},"properties":{"noteIndex":0},"schema":"https://github.com/citation-style-language/schema/raw/master/csl-citation.json"}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(Bates-eamer, 2022; Nishimura, 2017)</w:t>
      </w:r>
      <w:r>
        <w:rPr>
          <w:rFonts w:eastAsia="Calibri" w:cs="Times New Roman"/>
          <w:iCs/>
          <w:szCs w:val="24"/>
        </w:rPr>
        <w:fldChar w:fldCharType="end"/>
      </w:r>
      <w:r>
        <w:rPr>
          <w:rFonts w:eastAsia="Calibri" w:cs="Times New Roman"/>
          <w:iCs/>
          <w:szCs w:val="24"/>
        </w:rPr>
        <w:t>.</w:t>
      </w:r>
    </w:p>
    <w:p w:rsidR="00E53882" w:rsidRDefault="00B16FF7">
      <w:pPr>
        <w:spacing w:before="240" w:after="0" w:line="480" w:lineRule="auto"/>
        <w:rPr>
          <w:rFonts w:cs="Times New Roman"/>
          <w:iCs/>
          <w:szCs w:val="24"/>
        </w:rPr>
      </w:pPr>
      <w:r>
        <w:rPr>
          <w:rFonts w:cs="Times New Roman"/>
          <w:szCs w:val="24"/>
        </w:rPr>
        <w:t xml:space="preserve">The African continent faces significant vulnerability to climate change, particularly in its dry land regions, which constitute two-thirds of the continent and encompass approximately 319 million hectares </w:t>
      </w:r>
      <w:r>
        <w:rPr>
          <w:rFonts w:cs="Times New Roman"/>
          <w:iCs/>
          <w:szCs w:val="24"/>
        </w:rPr>
        <w:fldChar w:fldCharType="begin" w:fldLock="1"/>
      </w:r>
      <w:r>
        <w:rPr>
          <w:rFonts w:cs="Times New Roman"/>
          <w:iCs/>
          <w:szCs w:val="24"/>
        </w:rPr>
        <w:instrText>ADDIN CSL_CITATION {"citationItems":[{"id":"ITEM-1","itemData":{"ISBN":"9789177974109","author":[{"dropping-particle":"","family":"Pas Schrijver","given":"Annemiek","non-dropping-particle":"","parse-names":false,"suffix":""}],"id":"ITEM-1","issued":{"date-parts":[["2019"]]},"number-of-pages":"139","title":"Pastoralists, mobility and conservation","type":"book"},"uris":["http://www.mendeley.com/documents/?uuid=c6268015-0c94-4be1-bbbc-daa35d9c716b"]},{"id":"ITEM-2","itemData":{"author":[{"dropping-particle":"","family":"AGNES","given":"","non-dropping-particle":"","parse-names":false,"suffix":""}],"id":"ITEM-2","issue":"1","issued":{"date-parts":[["2020"]]},"page":"1-8","title":"Desertification and Climate Change in Africa","type":"article-journal"},"uris":["http://www.mendeley.com/documents/?uuid=7de27e74-5f0e-4e83-bb83-e603bcdeebd8"]}],"mendeley":{"formattedCitation":"(AGNES, 2020; Pas Schrijver, 2019)","plainTextFormattedCitation":"(AGNES, 2020; Pas Schrijver, 2019)","previouslyFormattedCitation":"(AGNES, 2020; Pas Schrijver, 2019)"},"properties":{"noteIndex":0},"schema":"https://github.com/citation-style-language/schema/raw/master/csl-citation.json"}</w:instrText>
      </w:r>
      <w:r>
        <w:rPr>
          <w:rFonts w:cs="Times New Roman"/>
          <w:iCs/>
          <w:szCs w:val="24"/>
        </w:rPr>
        <w:fldChar w:fldCharType="separate"/>
      </w:r>
      <w:r>
        <w:rPr>
          <w:rFonts w:cs="Times New Roman"/>
          <w:iCs/>
          <w:noProof/>
          <w:szCs w:val="24"/>
        </w:rPr>
        <w:t>(AGNES, 2020; Pas Schrijver, 2019)</w:t>
      </w:r>
      <w:r>
        <w:rPr>
          <w:rFonts w:cs="Times New Roman"/>
          <w:iCs/>
          <w:szCs w:val="24"/>
        </w:rPr>
        <w:fldChar w:fldCharType="end"/>
      </w:r>
      <w:r>
        <w:rPr>
          <w:rFonts w:cs="Times New Roman"/>
          <w:iCs/>
          <w:szCs w:val="24"/>
        </w:rPr>
        <w:t xml:space="preserve">. </w:t>
      </w:r>
      <w:r>
        <w:rPr>
          <w:rFonts w:cs="Times New Roman"/>
          <w:szCs w:val="24"/>
        </w:rPr>
        <w:t>Unpredictable rainfall patterns, periodic droughts, floods, and wind storms have made these areas extremely susceptible to the adverse effects of climate change</w:t>
      </w:r>
      <w:r>
        <w:rPr>
          <w:rFonts w:cs="Times New Roman"/>
          <w:iCs/>
          <w:szCs w:val="24"/>
        </w:rPr>
        <w:t xml:space="preserve"> </w:t>
      </w:r>
      <w:r>
        <w:rPr>
          <w:rFonts w:cs="Times New Roman"/>
          <w:iCs/>
          <w:szCs w:val="24"/>
        </w:rPr>
        <w:fldChar w:fldCharType="begin" w:fldLock="1"/>
      </w:r>
      <w:r w:rsidR="00900D2E">
        <w:rPr>
          <w:rFonts w:cs="Times New Roman"/>
          <w:iCs/>
          <w:szCs w:val="24"/>
        </w:rPr>
        <w:instrText>ADDIN CSL_CITATION {"citationItems":[{"id":"ITEM-1","itemData":{"DOI":"10.1017/CBO9781139177245.006","ISBN":"9781139177245","abstract":"This chapter addresses changes in weather and climate events relevant to extreme impacts and disasters. An extreme (weather or climate) event is generally defined as the occurrence of a value of a weather or climate variable above (or below) a threshold value near the upper (or lower) ends (‘tails’) of the range of observed values of the variable. Some climate extremes (e.g., droughts, floods) may be the result of an accumulation of weather or climate events that are, individually, not extreme themselves (though their accumulation is extreme). As well, weather or climate events, even if not extreme in a statistical sense, can still lead to extreme conditions or impacts, either by crossing a critical threshold in a social, ecological, or physical system, or by occurring simultaneously with other events. A weather system such as a tropical cyclone can have an extreme impact, depending on where and when it approaches landfall, even if the specific cyclone is not extreme relative to other tropical cyclones. Conversely, not all extremes necessarily lead to serious impacts. [3.1] Many weather and climate extremes are the result of natural climate variability (including phenomena such as El Niño), and natural decadal or multi-decadal variations in the climate provide the backdrop for anthropogenic climate changes. Even if there were no anthropogenic changes in climate, a wide variety of natural weather and climate extremes would still occur. [3.1] A changing climate leads to changes in the frequency, intensity, spatial extent, duration, and timing of weather and climate extremes, and can result in unprecedented extremes. Changes in extremes can also be directly related to changes in mean climate, because mean future conditions in some variables are projected to lie within the tails of present-day conditions. Nevertheless, changes in extremes of a climate or weather variable are not always related in a simple way to changes in the mean of the same variable, and in some cases can be of opposite sign to a change in the mean of the variable. Changes in phenomena such as the El Nino-Southern Oscillation or monsoons could affect the frequency and intensity of extremes in several regions simultaneously.","author":[{"dropping-particle":"","family":"Seneviratne","given":"Sonia I.","non-dropping-particle":"","parse-names":false,"suffix":""},{"dropping-particle":"","family":"Nicholls","given":"Neville","non-dropping-particle":"","parse-names":false,"suffix":""},{"dropping-particle":"","family":"Easterling","given":"David","non-dropping-particle":"","parse-names":false,"suffix":""},{"dropping-particle":"","family":"Goodess","given":"Clare M.","non-dropping-particle":"","parse-names":false,"suffix":""},{"dropping-particle":"","family":"Kanae","given":"Shinjiro","non-dropping-particle":"","parse-names":false,"suffix":""},{"dropping-particle":"","family":"Kossin","given":"James","non-dropping-particle":"","parse-names":false,"suffix":""},{"dropping-particle":"","family":"Luo","given":"Yali","non-dropping-particle":"","parse-names":false,"suffix":""},{"dropping-particle":"","family":"Marengo","given":"Jose","non-dropping-particle":"","parse-names":false,"suffix":""},{"dropping-particle":"","family":"Mc Innes","given":"Kathleen","non-dropping-particle":"","parse-names":false,"suffix":""},{"dropping-particle":"","family":"Rahimi","given":"Mohammad","non-dropping-particle":"","parse-names":false,"suffix":""},{"dropping-particle":"","family":"Reichstein","given":"Markus","non-dropping-particle":"","parse-names":false,"suffix":""},{"dropping-particle":"","family":"Sorteberg","given":"Asgeir","non-dropping-particle":"","parse-names":false,"suffix":""},{"dropping-particle":"","family":"Vera","given":"Carolina","non-dropping-particle":"","parse-names":false,"suffix":""},{"dropping-particle":"","family":"Zhang","given":"Xuebin","non-dropping-particle":"","parse-names":false,"suffix":""},{"dropping-particle":"","family":"Rusticucci","given":"Matilde","non-dropping-particle":"","parse-names":false,"suffix":""},{"dropping-particle":"","family":"Semenov","given":"Vladimir","non-dropping-particle":"","parse-names":false,"suffix":""},{"dropping-particle":"V.","family":"Alexander","given":"Lisa","non-dropping-particle":"","parse-names":false,"suffix":""},{"dropping-particle":"","family":"Allen","given":"Simon","non-dropping-particle":"","parse-names":false,"suffix":""},{"dropping-particle":"","family":"Benito","given":"Gerardo","non-dropping-particle":"","parse-names":false,"suffix":""},{"dropping-particle":"","family":"Cavazos","given":"Tereza","non-dropping-particle":"","parse-names":false,"suffix":""},{"dropping-particle":"","family":"Clague","given":"John","non-dropping-particle":"","parse-names":false,"suffix":""},{"dropping-particle":"","family":"Conway","given":"Declan","non-dropping-particle":"","parse-names":false,"suffix":""},{"dropping-particle":"","family":"Della-Marta","given":"Paul M.","non-dropping-particle":"","parse-names":false,"suffix":""},{"dropping-particle":"","family":"Gerber","given":"Markus","non-dropping-particle":"","parse-names":false,"suffix":""},{"dropping-particle":"","family":"Gong","given":"Sunling","non-dropping-particle":"","parse-names":false,"suffix":""},{"dropping-particle":"","family":"Goswami","given":"B. N.","non-dropping-particle":"","parse-names":false,"suffix":""},{"dropping-particle":"","family":"Hemer","given":"Mark","non-dropping-particle":"","parse-names":false,"suffix":""},{"dropping-particle":"","family":"Huggel","given":"Christian","non-dropping-particle":"","parse-names":false,"suffix":""},{"dropping-particle":"","family":"Hurk","given":"Bart","non-dropping-particle":"Van den","parse-names":false,"suffix":""},{"dropping-particle":"V.","family":"Kharin","given":"Viatcheslav","non-dropping-particle":"","parse-names":false,"suffix":""},{"dropping-particle":"","family":"Kitoh","given":"Akio","non-dropping-particle":"","parse-names":false,"suffix":""},{"dropping-particle":"","family":"Klein Tank","given":"Albert M.G.","non-dropping-particle":"","parse-names":false,"suffix":""},{"dropping-particle":"","family":"Li","given":"Guilong","non-dropping-particle":"","parse-names":false,"suffix":""},{"dropping-particle":"","family":"Mason","given":"Simon","non-dropping-particle":"","parse-names":false,"suffix":""},{"dropping-particle":"","family":"Mc Guire","given":"William","non-dropping-particle":"","parse-names":false,"suffix":""},{"dropping-particle":"","family":"Oldenborgh","given":"Geert Jan","non-dropping-particle":"Van","parse-names":false,"suffix":""},{"dropping-particle":"","family":"Orlowsky","given":"Boris","non-dropping-particle":"","parse-names":false,"suffix":""},{"dropping-particle":"","family":"Smith","given":"Sharon","non-dropping-particle":"","parse-names":false,"suffix":""},{"dropping-particle":"","family":"Thiaw","given":"Wassila","non-dropping-particle":"","parse-names":false,"suffix":""},{"dropping-particle":"","family":"Velegrakis","given":"Adonis","non-dropping-particle":"","parse-names":false,"suffix":""},{"dropping-particle":"","family":"Yiou","given":"Pascal","non-dropping-particle":"","parse-names":false,"suffix":""},{"dropping-particle":"","family":"Zhang","given":"Tingjun","non-dropping-particle":"","parse-names":false,"suffix":""},{"dropping-particle":"","family":"Zhou","given":"Tianjun","non-dropping-particle":"","parse-names":false,"suffix":""},{"dropping-particle":"","family":"Zwiers","given":"Francis W.","non-dropping-particle":"","parse-names":false,"suffix":""}],"container-title":"Managing the Risks of Extreme Events and Disasters to Advance Climate Change Adaptation: Special Report of the Intergovernmental Panel on Climate Change","id":"ITEM-1","issued":{"date-parts":[["2012"]]},"page":"109-230","title":"Changes in climate extremes and their impacts on the natural physical environment","type":"article-journal","volume":"9781107025"},"uris":["http://www.mendeley.com/documents/?uuid=8d940645-1a86-4d55-9d29-afc030f561bd"]},{"id":"ITEM-2","itemData":{"DOI":"10.1051/futur:200834131","ISSN":"0337307X","abstract":"As part of the special dossier in this issue on the geopolitical consequences of climate change, we publish here an article on migration linked to climatic phenomena. Drawing on the leading international studies in the field, Étienne Piguet shows the extent to which climate change could give rise to population movements. Reminding us that this is a theme that has received relatively little attention, he begins by defining the concept closely and underlining the importance of terminology in this field. For example, these migrations will be spoken of as \"environmentally induced population movements\" rather than as movements of \"environmental refugees\" - to avoid, among other things, falling foul of the legal regime on refugees as currently defined by the United Nations. He goes on to show what the migratory consequences of global warming might be, as exemplified in three major types of climatic event: storms and floods, droughts and water shortages and, lastly, rises in sea level. As he stresses, this latter phenomenon is probably the only one that would give rise to irreversible migrations (in the other cases, the migrants would generally end up returning to their regions of origin), but it is likely to affect at least 146 million people, if not indeed four times that figure, depending on the time horizon considered. As Piguet reminds us in his concluding remarks, since it is for the moment mainly the industrialized countries that are responsible for the carbon dioxide emissions which are bringing about climate change, it will be difficult for them to wash their hands of responsibility for these potential climate refugees. It is important, then, to gauge the extent of the problem and develop the resources - particularly the preventive resources - to meet it (e.g. combatting global warming, investing in suitable infrastructure, such as protective sea-walls etc.).","author":[{"dropping-particle":"","family":"Piguet","given":"Étienne","non-dropping-particle":"","parse-names":false,"suffix":""}],"container-title":"Futuribles: Analyse et Prospective","id":"ITEM-2","issue":"341","issued":{"date-parts":[["2008"]]},"title":"Migration and climate change","type":"article-journal"},"uris":["http://www.mendeley.com/documents/?uuid=611e569d-f829-4466-ad17-93f07abf16b4"]},{"id":"ITEM-3","itemData":{"DOI":"10.1080/14767058.2017.1347921","ISBN":"9789251089989","ISSN":"1476-7058","PMID":"28651469","abstract":"PURPOSE To evaluate the predictive factors for the development of haemodynamically significant patent ductus arteriosus (PDA) in preterm infants and to study the morbidities associated with the treatment of PDA during the first hospitalization. MATERIALS AND METHODS Data were collected from the Finnish national register of preterm infants (&lt;32 gestational weeks) born in 2005-2013. In total, 3668 infants were included. Morbidities during the first hospitalization were analysed and compared between infants who received treatments for the closure of PDA (n = 1132) and infants who received no treatment for PDA (n = 2536). The results were adjusted for the duration of pregnancy, intrauterine growth pattern, antenatal steroids, delivery hospital and respiratory distress syndrome (RDS). RESULTS RDS and mechanical ventilation were independently associated with an increased risk of PDA requiring treatment. Medical and surgical treatments were associated with the risk of severe bronchopulmonary dysplasia (BPD). Primary surgical ligation was associated with an increased risk of severe intraventricular haemorrhage (IVH) and necrotizing enterocolitis (NEC). Medical treatment itself and also followed by surgical ligation was associated with lower mortality. CONCLUSION The severity of lung disease rather than prematurity per se was associated with the development of PDA requiring therapy. Both medical and surgical therapies for PDA were associated with severe BPD, and primary surgical ligation was associated with NEC and severe IVH.","author":[{"dropping-particle":"","family":"Gitz","given":"Vincent.","non-dropping-particle":"","parse-names":false,"suffix":""},{"dropping-particle":"","family":"Meybeck","given":"Alexandre.","non-dropping-particle":"","parse-names":false,"suffix":""},{"dropping-particle":"","family":"Lipper","given":"Leslie.","non-dropping-particle":"","parse-names":false,"suffix":""},{"dropping-particle":"","family":"Young","given":"Cassandra.","non-dropping-particle":"","parse-names":false,"suffix":""},{"dropping-particle":"","family":"Braatz","given":"Susan.","non-dropping-particle":"","parse-names":false,"suffix":""}],"container-title":"Food and Agriculture Organization of the United Nations","id":"ITEM-3","issued":{"date-parts":[["2016"]]},"number-of-pages":"1-110","title":"Climate change and food security: Risks and responses","type":"book"},"uris":["http://www.mendeley.com/documents/?uuid=afb9f310-3686-4a2c-93cc-ab3210f4b31d"]},{"id":"ITEM-4","itemData":{"ISSN":"20524463","PMID":"32246091","abstract":"CRU TS (Climatic Research Unit gridded Time Series) is a widely used climate dataset on a 0.5° latitude by 0.5° longitude grid over all land domains of the world except Antarctica. It is derived by the interpolation of monthly climate anomalies from extensive networks of weather station observations. Here we describe the construction of a major new version, CRU TS v4. It is updated to span 1901–2018 by the inclusion of additional station observations, and it will be updated annually. The interpolation process has been changed to use angular-distance weighting (ADW), and the production of secondary variables has been revised to better suit this approach. This implementation of ADW provides improved traceability between each gridded value and the input observations, and allows more informative diagnostics that dataset users can utilise to assess how dataset quality might vary geographically.","author":[{"dropping-particle":"","family":"Harris","given":"Ian","non-dropping-particle":"","parse-names":false,"suffix":""},{"dropping-particle":"","family":"Osborn","given":"Timothy J.","non-dropping-particle":"","parse-names":false,"suffix":""},{"dropping-particle":"","family":"Jones","given":"Phil","non-dropping-particle":"","parse-names":false,"suffix":""},{"dropping-particle":"","family":"Lister","given":"David","non-dropping-particle":"","parse-names":false,"suffix":""}],"container-title":"Scientific Data","id":"ITEM-4","issue":"1","issued":{"date-parts":[["2020"]]},"title":"Climate Change Knowledge Portal Report","type":"article-journal","volume":"7"},"uris":["http://www.mendeley.com/documents/?uuid=04ad5235-0ee0-45b4-a458-708d08d9cccd"]}],"mendeley":{"formattedCitation":"(Gitz et al., 2016; Harris et al., 2020; Piguet, 2008; Seneviratne et al., 2012)","plainTextFormattedCitation":"(Gitz et al., 2016; Harris et al., 2020; Piguet, 2008; Seneviratne et al., 2012)","previouslyFormattedCitation":"(Gitz et al., 2016; Harris et al., 2020; Piguet, 2008; Seneviratne et al., 2012)"},"properties":{"noteIndex":0},"schema":"https://github.com/citation-style-language/schema/raw/master/csl-citation.json"}</w:instrText>
      </w:r>
      <w:r>
        <w:rPr>
          <w:rFonts w:cs="Times New Roman"/>
          <w:iCs/>
          <w:szCs w:val="24"/>
        </w:rPr>
        <w:fldChar w:fldCharType="separate"/>
      </w:r>
      <w:r>
        <w:rPr>
          <w:rFonts w:cs="Times New Roman"/>
          <w:iCs/>
          <w:noProof/>
          <w:szCs w:val="24"/>
        </w:rPr>
        <w:t>(Gitz et al., 2016; Harris et al., 2020; Piguet, 2008; Seneviratne et al., 2012)</w:t>
      </w:r>
      <w:r>
        <w:rPr>
          <w:rFonts w:cs="Times New Roman"/>
          <w:iCs/>
          <w:szCs w:val="24"/>
        </w:rPr>
        <w:fldChar w:fldCharType="end"/>
      </w:r>
      <w:r>
        <w:rPr>
          <w:rFonts w:cs="Times New Roman"/>
          <w:iCs/>
          <w:szCs w:val="24"/>
        </w:rPr>
        <w:t xml:space="preserve">. </w:t>
      </w:r>
      <w:r>
        <w:rPr>
          <w:rFonts w:cs="Times New Roman"/>
          <w:szCs w:val="24"/>
        </w:rPr>
        <w:t>As a result, millions of individuals are expected to be displaced from their homes and seek protection in alternative locations</w:t>
      </w:r>
      <w:r>
        <w:rPr>
          <w:rFonts w:cs="Times New Roman"/>
          <w:iCs/>
          <w:szCs w:val="24"/>
        </w:rPr>
        <w:t xml:space="preserve"> </w:t>
      </w:r>
      <w:r>
        <w:rPr>
          <w:rFonts w:cs="Times New Roman"/>
          <w:iCs/>
          <w:szCs w:val="24"/>
        </w:rPr>
        <w:fldChar w:fldCharType="begin" w:fldLock="1"/>
      </w:r>
      <w:r>
        <w:rPr>
          <w:rFonts w:cs="Times New Roman"/>
          <w:iCs/>
          <w:szCs w:val="24"/>
        </w:rPr>
        <w:instrText>ADDIN CSL_CITATION {"citationItems":[{"id":"ITEM-1","itemData":{"DOI":"10.1007/978-3-642-28626-1_15","ISBN":"9783642286261","abstract":"Climate change will fundamentally affect the lives of millions of people who will be forced over the next decades to leave their villages and cities to seek refuge in other areas. Although the exact numbers of climate refugees are unknowable and vary from assessment to assessment depending on underlying methods, scenarios, time frames, and assumptions (as laid out below), the available literature indicates that the climate refugee crisis will surpass all known refugee crises in terms of the number of people affected. Many climate refugees may seek refuge in their own countries; others will need to cross borders to find a new home. Some local refugee crises, in particular in the richer countries in the North, may be prevented through adaptation measures such as reinforced coastal protection or changes in agricultural production and water supply management. Many poorer countries, however, are unlikely to be able to initiate sufficient adaptation programmes, and climate-induced migration might be the only option for many communities in the South. In these situations, climate refugees will need to rely on effective protection and support from the international community, regardless of whether climate migration is internal or transnational.","author":[{"dropping-particle":"","family":"Biermann","given":"Frank","non-dropping-particle":"","parse-names":false,"suffix":""},{"dropping-particle":"","family":"Boas","given":"Ingrid","non-dropping-particle":"","parse-names":false,"suffix":""}],"id":"ITEM-1","issued":{"date-parts":[["2012"]]},"page":"291-300","title":"Climate Change and Human Migration: Towards a Global Governance System to Protect Climate Refugees","type":"chapter"},"uris":["http://www.mendeley.com/documents/?uuid=12d5730b-b4c3-4bf2-84ca-58a8416fab3d"]}],"mendeley":{"formattedCitation":"(Biermann &amp; Boas, 2012)","plainTextFormattedCitation":"(Biermann &amp; Boas, 2012)","previouslyFormattedCitation":"(Biermann &amp; Boas, 2012)"},"properties":{"noteIndex":0},"schema":"https://github.com/citation-style-language/schema/raw/master/csl-citation.json"}</w:instrText>
      </w:r>
      <w:r>
        <w:rPr>
          <w:rFonts w:cs="Times New Roman"/>
          <w:iCs/>
          <w:szCs w:val="24"/>
        </w:rPr>
        <w:fldChar w:fldCharType="separate"/>
      </w:r>
      <w:r>
        <w:rPr>
          <w:rFonts w:cs="Times New Roman"/>
          <w:iCs/>
          <w:noProof/>
          <w:szCs w:val="24"/>
        </w:rPr>
        <w:t>(Biermann &amp; Boas, 2012)</w:t>
      </w:r>
      <w:r>
        <w:rPr>
          <w:rFonts w:cs="Times New Roman"/>
          <w:iCs/>
          <w:szCs w:val="24"/>
        </w:rPr>
        <w:fldChar w:fldCharType="end"/>
      </w:r>
      <w:r>
        <w:rPr>
          <w:rFonts w:cs="Times New Roman"/>
          <w:iCs/>
          <w:szCs w:val="24"/>
        </w:rPr>
        <w:t xml:space="preserve">. </w:t>
      </w:r>
      <w:r>
        <w:rPr>
          <w:rFonts w:cs="Times New Roman"/>
          <w:szCs w:val="24"/>
        </w:rPr>
        <w:t xml:space="preserve">However, there is limited knowledge regarding the precise number of climate-induced migrants, as </w:t>
      </w:r>
      <w:r>
        <w:rPr>
          <w:rFonts w:cs="Times New Roman"/>
          <w:szCs w:val="24"/>
        </w:rPr>
        <w:lastRenderedPageBreak/>
        <w:t xml:space="preserve">estimations vary depending on different assessment approaches, circumstances, timeframes, and expectations </w:t>
      </w:r>
      <w:r>
        <w:rPr>
          <w:rFonts w:cs="Times New Roman"/>
          <w:iCs/>
          <w:szCs w:val="24"/>
        </w:rPr>
        <w:fldChar w:fldCharType="begin" w:fldLock="1"/>
      </w:r>
      <w:r>
        <w:rPr>
          <w:rFonts w:cs="Times New Roman"/>
          <w:iCs/>
          <w:szCs w:val="24"/>
        </w:rPr>
        <w:instrText>ADDIN CSL_CITATION {"citationItems":[{"id":"ITEM-1","itemData":{"DOI":"10.1051/futur:200834131","ISSN":"0337307X","abstract":"As part of the special dossier in this issue on the geopolitical consequences of climate change, we publish here an article on migration linked to climatic phenomena. Drawing on the leading international studies in the field, Étienne Piguet shows the extent to which climate change could give rise to population movements. Reminding us that this is a theme that has received relatively little attention, he begins by defining the concept closely and underlining the importance of terminology in this field. For example, these migrations will be spoken of as \"environmentally induced population movements\" rather than as movements of \"environmental refugees\" - to avoid, among other things, falling foul of the legal regime on refugees as currently defined by the United Nations. He goes on to show what the migratory consequences of global warming might be, as exemplified in three major types of climatic event: storms and floods, droughts and water shortages and, lastly, rises in sea level. As he stresses, this latter phenomenon is probably the only one that would give rise to irreversible migrations (in the other cases, the migrants would generally end up returning to their regions of origin), but it is likely to affect at least 146 million people, if not indeed four times that figure, depending on the time horizon considered. As Piguet reminds us in his concluding remarks, since it is for the moment mainly the industrialized countries that are responsible for the carbon dioxide emissions which are bringing about climate change, it will be difficult for them to wash their hands of responsibility for these potential climate refugees. It is important, then, to gauge the extent of the problem and develop the resources - particularly the preventive resources - to meet it (e.g. combatting global warming, investing in suitable infrastructure, such as protective sea-walls etc.).","author":[{"dropping-particle":"","family":"Piguet","given":"Étienne","non-dropping-particle":"","parse-names":false,"suffix":""}],"container-title":"Futuribles: Analyse et Prospective","id":"ITEM-1","issue":"341","issued":{"date-parts":[["2008"]]},"title":"Migration and climate change","type":"article-journal"},"uris":["http://www.mendeley.com/documents/?uuid=611e569d-f829-4466-ad17-93f07abf16b4"]},{"id":"ITEM-2","itemData":{"DOI":"10.1162/glep.2010.10.1.60","ISSN":"15263800","abstract":"Climate change threatens to cause the largest refugee crisis in human history. Millions of people, largely in Africa and Asia, might be forced to leave their homes to seek refuge in other places or countries over the course of the century. Yet the current institutions, organizations, and funding mechanisms are not suffi{dotless}ciently equipped to deal with this looming crisis. The situation calls for new governance. We outline and discuss in this article a blueprint for a global governance architecture for the protection and voluntary resettlement of climate refugees-defi{dotless}ned as people who have to leave their habitats because of sudden or gradual alterations in their natural environment related to one of three impacts of climate change: sea-level rise, extreme weather events, and drought and water scarcity. We provide an extensive review of current estimates of likely numbers and probable regions of origin of climate refugees. With a view to existing institutions, we argue against the extension of the defi{dotless}nition of refugees under the 1951 Geneva Convention Relating to the Status of Refugees. Key elements of our proposal are, instead, a new legal instrument specifi{dotless}cally tailored for the needs of climate refugees-a Protocol on Recognition, Protection, and Resettlement of Climate Refugees to the United Nations Framework Convention on Climate Change-as well as a separate funding mechanism. © 2010 by the Massachusetts Institute of Technology.","author":[{"dropping-particle":"","family":"Biermann","given":"Frank","non-dropping-particle":"","parse-names":false,"suffix":""},{"dropping-particle":"","family":"Boas","given":"Ingrid","non-dropping-particle":"","parse-names":false,"suffix":""}],"container-title":"Global Environmental Politics","id":"ITEM-2","issue":"1","issued":{"date-parts":[["2010"]]},"page":"60-88","title":"Preparing for a warmer world: Towards a global governance system to protect climate refugees","type":"article-journal","volume":"10"},"uris":["http://www.mendeley.com/documents/?uuid=e520d37f-196c-4406-ba61-fd78663d074d"]},{"id":"ITEM-3","itemData":{"ISBN":"9781315638843","abstract":"The climate crisis is reshaping our world, as the Earth’s climate is now changing faster than at any point in the history of modern civilization.1 Defined by changes in average weather conditions that persist over multiple decades or longer, climate change includes changes in temperature, precipitation patterns, the frequency and severity of certain weather events, and other features of the climate system.2 When combined with physical, social, economic, and/or environmental vulnerabilities, climate change can undermine food, water, and economic security. Secondary effects of climate change can include displacement, loss of livelihoods, weakened governments, and in some cases political instability and conflict.","author":[{"dropping-particle":"","family":"The White House","given":"","non-dropping-particle":"","parse-names":false,"suffix":""}],"id":"ITEM-3","issue":"October","issued":{"date-parts":[["2021"]]},"number-of-pages":"1-37","title":"Report on the Impact of climate change on Migration","type":"book"},"uris":["http://www.mendeley.com/documents/?uuid=234d4142-01d2-4697-a2ea-f6387db7407a"]}],"mendeley":{"formattedCitation":"(Biermann &amp; Boas, 2010; Piguet, 2008; The White House, 2021)","plainTextFormattedCitation":"(Biermann &amp; Boas, 2010; Piguet, 2008; The White House, 2021)","previouslyFormattedCitation":"(Biermann &amp; Boas, 2010; Piguet, 2008; The White House, 2021)"},"properties":{"noteIndex":0},"schema":"https://github.com/citation-style-language/schema/raw/master/csl-citation.json"}</w:instrText>
      </w:r>
      <w:r>
        <w:rPr>
          <w:rFonts w:cs="Times New Roman"/>
          <w:iCs/>
          <w:szCs w:val="24"/>
        </w:rPr>
        <w:fldChar w:fldCharType="separate"/>
      </w:r>
      <w:r>
        <w:rPr>
          <w:rFonts w:cs="Times New Roman"/>
          <w:iCs/>
          <w:noProof/>
          <w:szCs w:val="24"/>
        </w:rPr>
        <w:t>(Biermann &amp; Boas, 2010; Piguet, 2008; The White House, 2021)</w:t>
      </w:r>
      <w:r>
        <w:rPr>
          <w:rFonts w:cs="Times New Roman"/>
          <w:iCs/>
          <w:szCs w:val="24"/>
        </w:rPr>
        <w:fldChar w:fldCharType="end"/>
      </w:r>
      <w:r>
        <w:rPr>
          <w:rFonts w:cs="Times New Roman"/>
          <w:iCs/>
          <w:szCs w:val="24"/>
        </w:rPr>
        <w:t xml:space="preserve">. </w:t>
      </w:r>
      <w:r>
        <w:rPr>
          <w:rFonts w:cs="Times New Roman"/>
          <w:szCs w:val="24"/>
        </w:rPr>
        <w:t xml:space="preserve">Nonetheless, existing literature indicates that climate change-induced mobility crises will surpass other forms of mobility crises in terms of the number of people affected. Some individuals may seek refuge within their home countries, while others may be compelled to cross borders in search of new homes </w:t>
      </w:r>
      <w:r>
        <w:rPr>
          <w:rFonts w:cs="Times New Roman"/>
          <w:iCs/>
          <w:szCs w:val="24"/>
        </w:rPr>
        <w:fldChar w:fldCharType="begin" w:fldLock="1"/>
      </w:r>
      <w:r>
        <w:rPr>
          <w:rFonts w:cs="Times New Roman"/>
          <w:iCs/>
          <w:szCs w:val="24"/>
        </w:rPr>
        <w:instrText>ADDIN CSL_CITATION {"citationItems":[{"id":"ITEM-1","itemData":{"DOI":"10.3389/fclim.2022.882343","ISSN":"26249553","abstract":"The purpose of this article is to explore how migration theory is invoked in empirical studies of climate-related migration, and to provide suggestions for engagement with theory in the emerging field of climate mobility. Theory is critical for understanding processes we observe in social-ecological systems because it points to a specific locus of attention for research, shapes research questions, guides quantitative model development, influences what researchers find, and ultimately informs policies and programs. Research into climate mobility has grown out of early studies on environmental migration, and has often developed in isolation from broader theoretical developments in the migration research community. As such, there is a risk that the work may be inadequately informed by the rich corpus of theory that has contributed to our understanding of who migrates; why they migrate; the types of mobility they employ; what sustains migration streams; and why they choose certain destinations over others. On the other hand, there are ways in which climate and broader environment migration research is enriching the conceptual frameworks being employed to understand migration, particularly forced migration. This paper draws on a review of 75 empirical studies and modeling efforts conducted by researchers from a diversity of disciplines, covering various regions, and using a variety of data sources and methods to assess how they used theory in their research. The goal is to suggest ways forward for engagement with migration theory in this large and growing research domain.","author":[{"dropping-particle":"","family":"Sherbinin","given":"Alex","non-dropping-particle":"de","parse-names":false,"suffix":""},{"dropping-particle":"","family":"Grace","given":"Kathryn","non-dropping-particle":"","parse-names":false,"suffix":""},{"dropping-particle":"","family":"McDermid","given":"Sonali","non-dropping-particle":"","parse-names":false,"suffix":""},{"dropping-particle":"","family":"Geest","given":"Kees","non-dropping-particle":"van der","parse-names":false,"suffix":""},{"dropping-particle":"","family":"Puma","given":"Michael J.","non-dropping-particle":"","parse-names":false,"suffix":""},{"dropping-particle":"","family":"Bell","given":"Andrew","non-dropping-particle":"","parse-names":false,"suffix":""}],"container-title":"Frontiers in Climate","id":"ITEM-1","issue":"May","issued":{"date-parts":[["2022"]]},"title":"Migration Theory in Climate Mobility Research","type":"article-journal","volume":"4"},"uris":["http://www.mendeley.com/documents/?uuid=82ec9389-696b-4bbf-8ed6-0b18f06568b6"]},{"id":"ITEM-2","itemData":{"DOI":"10.1162/glep.2010.10.1.60","ISSN":"15263800","abstract":"Climate change threatens to cause the largest refugee crisis in human history. Millions of people, largely in Africa and Asia, might be forced to leave their homes to seek refuge in other places or countries over the course of the century. Yet the current institutions, organizations, and funding mechanisms are not suffi{dotless}ciently equipped to deal with this looming crisis. The situation calls for new governance. We outline and discuss in this article a blueprint for a global governance architecture for the protection and voluntary resettlement of climate refugees-defi{dotless}ned as people who have to leave their habitats because of sudden or gradual alterations in their natural environment related to one of three impacts of climate change: sea-level rise, extreme weather events, and drought and water scarcity. We provide an extensive review of current estimates of likely numbers and probable regions of origin of climate refugees. With a view to existing institutions, we argue against the extension of the defi{dotless}nition of refugees under the 1951 Geneva Convention Relating to the Status of Refugees. Key elements of our proposal are, instead, a new legal instrument specifi{dotless}cally tailored for the needs of climate refugees-a Protocol on Recognition, Protection, and Resettlement of Climate Refugees to the United Nations Framework Convention on Climate Change-as well as a separate funding mechanism. © 2010 by the Massachusetts Institute of Technology.","author":[{"dropping-particle":"","family":"Biermann","given":"Frank","non-dropping-particle":"","parse-names":false,"suffix":""},{"dropping-particle":"","family":"Boas","given":"Ingrid","non-dropping-particle":"","parse-names":false,"suffix":""}],"container-title":"Global Environmental Politics","id":"ITEM-2","issue":"1","issued":{"date-parts":[["2010"]]},"page":"60-88","title":"Preparing for a warmer world: Towards a global governance system to protect climate refugees","type":"article-journal","volume":"10"},"uris":["http://www.mendeley.com/documents/?uuid=e520d37f-196c-4406-ba61-fd78663d074d"]}],"mendeley":{"formattedCitation":"(Biermann &amp; Boas, 2010; de Sherbinin et al., 2022)","plainTextFormattedCitation":"(Biermann &amp; Boas, 2010; de Sherbinin et al., 2022)","previouslyFormattedCitation":"(Biermann &amp; Boas, 2010; de Sherbinin et al., 2022)"},"properties":{"noteIndex":0},"schema":"https://github.com/citation-style-language/schema/raw/master/csl-citation.json"}</w:instrText>
      </w:r>
      <w:r>
        <w:rPr>
          <w:rFonts w:cs="Times New Roman"/>
          <w:iCs/>
          <w:szCs w:val="24"/>
        </w:rPr>
        <w:fldChar w:fldCharType="separate"/>
      </w:r>
      <w:r>
        <w:rPr>
          <w:rFonts w:cs="Times New Roman"/>
          <w:iCs/>
          <w:noProof/>
          <w:szCs w:val="24"/>
        </w:rPr>
        <w:t>(Biermann &amp; Boas, 2010; de Sherbinin et al., 2022)</w:t>
      </w:r>
      <w:r>
        <w:rPr>
          <w:rFonts w:cs="Times New Roman"/>
          <w:iCs/>
          <w:szCs w:val="24"/>
        </w:rPr>
        <w:fldChar w:fldCharType="end"/>
      </w:r>
      <w:r>
        <w:rPr>
          <w:rFonts w:cs="Times New Roman"/>
          <w:iCs/>
          <w:szCs w:val="24"/>
        </w:rPr>
        <w:t xml:space="preserve">. </w:t>
      </w:r>
    </w:p>
    <w:p w:rsidR="00E76FB4" w:rsidRDefault="00B16FF7">
      <w:pPr>
        <w:spacing w:before="0" w:after="0" w:line="480" w:lineRule="auto"/>
        <w:rPr>
          <w:rFonts w:cs="Times New Roman"/>
          <w:iCs/>
          <w:szCs w:val="24"/>
        </w:rPr>
      </w:pPr>
      <w:r>
        <w:rPr>
          <w:rFonts w:cs="Times New Roman"/>
          <w:szCs w:val="24"/>
        </w:rPr>
        <w:t xml:space="preserve">Climate change has adversely affected all sectors of the economy, including livestock production in West Africa, particularly in Ghana </w:t>
      </w:r>
      <w:r>
        <w:rPr>
          <w:rFonts w:cs="Times New Roman"/>
          <w:iCs/>
          <w:szCs w:val="24"/>
        </w:rPr>
        <w:fldChar w:fldCharType="begin" w:fldLock="1"/>
      </w:r>
      <w:r w:rsidR="00900D2E">
        <w:rPr>
          <w:rFonts w:cs="Times New Roman"/>
          <w:iCs/>
          <w:szCs w:val="24"/>
        </w:rPr>
        <w:instrText>ADDIN CSL_CITATION {"citationItems":[{"id":"ITEM-1","itemData":{"DOI":"10.3389/fsufs.2021.706721","ISSN":"2571581X","abstract":"This research reviews climate change, flood disasters impacts and food security nexus in northern Ghana. The impacts of climate change include flood disasters which in turn affect food production with subsequent impact on food security. While climate change impact can be positive in some regions, it can be negative in other regions as it could lead to excess or lack of water, which negatively affects food production. Most especially, flood disasters have reportedly become frequent with devastating consequences on food production. Literature further suggests that the frequency of floods and their impacts have the potential to increase in the future. Floods inundate farms, pastures and livestock, which could subsequently reduce crop yields and animal production. Floods also destroys physical infrastructure and disrupts socio-economic activities which are linked to agriculture sector and could affect food production. This eventually decreases food availability, accessibility, utilization, and stability in the region. Northern Ghana has experienced flood disasters with increased frequency, which are related to climate change impacts. Although there is research on climate change, flood disasters, and food security issues in northern Ghana, the literature thus far indicates no clear focus of studies that focuses on the nexus of climate change, flood disasters, and food security of the study site. Thus, this research seeks to review the nexus of climate change, and flood disaster impacts on food security in northern Ghana with their implications on food security in the region. This study has two main research objectives. The first objective of this research is to identify and understand the potential impacts of climate change and flood disasters on food production in the study site. The second research objective is to explain the connection between climate change and flood disasters and the implications of this relationship on food security in the study site. This review study focuses on climate change, flood disasters, and food production to understand the critical impacts of climate change and flood disasters on food security in the northern part of Ghana. The aim of this research is to contribute to literature and discussion of the nexus of climate change, flood disaster impacts and food security sub-Saharan Africa.","author":[{"dropping-particle":"","family":"Atanga","given":"Raphael Ane","non-dropping-particle":"","parse-names":false,"suffix":""},{"dropping-particle":"","family":"Tankpa","given":"Vitus","non-dropping-particle":"","parse-names":false,"suffix":""}],"container-title":"Frontiers in Sustainable Food Systems","id":"ITEM-1","issue":"August","issued":{"date-parts":[["2021"]]},"title":"Climate Change, Flood Disaster Risk and Food Security Nexus in Northern Ghana","type":"article-journal","volume":"5"},"uris":["http://www.mendeley.com/documents/?uuid=0be548c2-30a9-4455-bd82-2753eca15f20"]},{"id":"ITEM-2","itemData":{"DOI":"10.1371/journal.pone.0229881","ISBN":"1111111111","ISSN":"19326203","PMID":"32598391","abstract":"Climate change is projected to impact food production stability in many tropical countries through impacts on crop potential. However, without quantitative assessments of where, by how much and to what extent crop production is possible now and under future climatic conditions, efforts to design and implement adaptation strategies under Nationally Determined Contributions (NDCs) and National Action Plans (NAP) are unsystematic. In this study, we used extreme gradient boosting, a machine learning approach to model the current climatic suitability for maize, sorghum, cassava and groundnut in Ghana using yield data and agronomically important variables. We then used multi-model future climate projections for the 2050s and two greenhouse gas emissions scenarios (RCP 2.6 and RCP 8.5) to predict changes in the suitability range of these crops. We achieved a good model fit in determining suitability classes for all crops (AUC = 0.81-0.87). Precipitation-based factors are suggested as most important in determining crop suitability, though the importance is crop-specific. Under projected climatic conditions, optimal suitability areas will decrease for all crops except for groundnuts under RCP8.5 (no change: 0%), with greatest losses for maize (12% under RCP2.6 and 14% under RCP8.5). Under current climatic conditions, 18% of Ghana has optimal suitability for two crops, 2% for three crops with no area having optimal suitability for all the four crops. Under projected climatic conditions, areas with optimal suitability for two and three crops will decrease by 12% as areas having moderate and marginal conditions for multiple crops increase. We also found that although the distribution of multiple crop suitability is spatially distinct, cassava and groundnut will be more simultaneously suitable for the south while groundnut and sorghum will be more suitable for the northern parts of Ghana under projected climatic conditions.","author":[{"dropping-particle":"","family":"Chemura","given":"Abel","non-dropping-particle":"","parse-names":false,"suffix":""},{"dropping-particle":"","family":"Schauberger","given":"Bernhard","non-dropping-particle":"","parse-names":false,"suffix":""},{"dropping-particle":"","family":"Gornott","given":"Christoph","non-dropping-particle":"","parse-names":false,"suffix":""}],"container-title":"PLoS ONE","id":"ITEM-2","issue":"6","issued":{"date-parts":[["2020"]]},"page":"1-21","title":"Impacts of climate change on agro-climatic suitability of major food crops in Ghana","type":"article-journal","volume":"15"},"uris":["http://www.mendeley.com/documents/?uuid=27f0fc4e-478f-4dd0-b822-aeae7e82fb9e"]}],"mendeley":{"formattedCitation":"(Atanga &amp; Tankpa, 2021; Chemura et al., 2020)","plainTextFormattedCitation":"(Atanga &amp; Tankpa, 2021; Chemura et al., 2020)","previouslyFormattedCitation":"(Atanga &amp; Tankpa, 2021; Chemura et al., 2020)"},"properties":{"noteIndex":0},"schema":"https://github.com/citation-style-language/schema/raw/master/csl-citation.json"}</w:instrText>
      </w:r>
      <w:r>
        <w:rPr>
          <w:rFonts w:cs="Times New Roman"/>
          <w:iCs/>
          <w:szCs w:val="24"/>
        </w:rPr>
        <w:fldChar w:fldCharType="separate"/>
      </w:r>
      <w:r>
        <w:rPr>
          <w:rFonts w:cs="Times New Roman"/>
          <w:iCs/>
          <w:noProof/>
          <w:szCs w:val="24"/>
        </w:rPr>
        <w:t>(Atanga &amp; Tankpa, 2021; Chemura et al., 2020)</w:t>
      </w:r>
      <w:r>
        <w:rPr>
          <w:rFonts w:cs="Times New Roman"/>
          <w:iCs/>
          <w:szCs w:val="24"/>
        </w:rPr>
        <w:fldChar w:fldCharType="end"/>
      </w:r>
      <w:r>
        <w:rPr>
          <w:rFonts w:cs="Times New Roman"/>
          <w:iCs/>
          <w:szCs w:val="24"/>
        </w:rPr>
        <w:t xml:space="preserve">. </w:t>
      </w:r>
      <w:r>
        <w:rPr>
          <w:rFonts w:cs="Times New Roman"/>
          <w:szCs w:val="24"/>
        </w:rPr>
        <w:t xml:space="preserve">Within these regions, an estimated 386 million people, including pastoralists, depend on natural resources for their survival </w:t>
      </w:r>
      <w:r>
        <w:rPr>
          <w:rFonts w:cs="Times New Roman"/>
          <w:iCs/>
          <w:szCs w:val="24"/>
        </w:rPr>
        <w:fldChar w:fldCharType="begin" w:fldLock="1"/>
      </w:r>
      <w:r w:rsidR="00900D2E">
        <w:rPr>
          <w:rFonts w:cs="Times New Roman"/>
          <w:iCs/>
          <w:szCs w:val="24"/>
        </w:rPr>
        <w:instrText>ADDIN CSL_CITATION {"citationItems":[{"id":"ITEM-1","itemData":{"author":[{"dropping-particle":"","family":"Kimaro","given":"Esther G","non-dropping-particle":"","parse-names":false,"suffix":""},{"dropping-particle":"","family":"Mor","given":"Siobhan M","non-dropping-particle":"","parse-names":false,"suffix":""},{"dropping-particle":"","family":"Toribio","given":"Jenny-ann L M L","non-dropping-particle":"","parse-names":false,"suffix":""}],"container-title":"Pastoralism: Research, Policy and Practice","id":"ITEM-1","issued":{"date-parts":[["2018"]]},"page":"1-16","publisher":"Pastoralism","title":"CC Perception and impacts on cattle production.pdf","type":"article-journal","volume":"5"},"uris":["http://www.mendeley.com/documents/?uuid=ff0e97fc-b406-445a-a7e6-f9fa3ac27b61"]}],"mendeley":{"formattedCitation":"(Kimaro et al., 2018)","plainTextFormattedCitation":"(Kimaro et al., 2018)","previouslyFormattedCitation":"(Kimaro et al., 2018)"},"properties":{"noteIndex":0},"schema":"https://github.com/citation-style-language/schema/raw/master/csl-citation.json"}</w:instrText>
      </w:r>
      <w:r>
        <w:rPr>
          <w:rFonts w:cs="Times New Roman"/>
          <w:iCs/>
          <w:szCs w:val="24"/>
        </w:rPr>
        <w:fldChar w:fldCharType="separate"/>
      </w:r>
      <w:r>
        <w:rPr>
          <w:rFonts w:cs="Times New Roman"/>
          <w:iCs/>
          <w:noProof/>
          <w:szCs w:val="24"/>
        </w:rPr>
        <w:t>(Kimaro et al., 2018)</w:t>
      </w:r>
      <w:r>
        <w:rPr>
          <w:rFonts w:cs="Times New Roman"/>
          <w:iCs/>
          <w:szCs w:val="24"/>
        </w:rPr>
        <w:fldChar w:fldCharType="end"/>
      </w:r>
      <w:r>
        <w:rPr>
          <w:rFonts w:cs="Times New Roman"/>
          <w:iCs/>
          <w:szCs w:val="24"/>
        </w:rPr>
        <w:t xml:space="preserve">. </w:t>
      </w:r>
      <w:r>
        <w:rPr>
          <w:rFonts w:cs="Times New Roman"/>
          <w:szCs w:val="24"/>
        </w:rPr>
        <w:t xml:space="preserve">Pastoralists, being at the forefront of climate change, are the most affected group within this population </w:t>
      </w:r>
      <w:r>
        <w:rPr>
          <w:rFonts w:cs="Times New Roman"/>
          <w:iCs/>
          <w:szCs w:val="24"/>
        </w:rPr>
        <w:fldChar w:fldCharType="begin" w:fldLock="1"/>
      </w:r>
      <w:r w:rsidR="00900D2E">
        <w:rPr>
          <w:rFonts w:cs="Times New Roman"/>
          <w:iCs/>
          <w:szCs w:val="24"/>
        </w:rPr>
        <w:instrText>ADDIN CSL_CITATION {"citationItems":[{"id":"ITEM-1","itemData":{"DOI":"10.5751/ES-04093-160210","ISSN":"17083087","abstract":"Ten case studies from seven major pastoral regions across six continents were studied in this paper by conceptualizing three factors (agro-ecosystem resilience, livelihood options, and institution capacity) as the axes of a three-dimensional vulnerability framework. This analysis highlights the vulnerability of agriculture-based livelihood systems to global changes and helps identify what institutions have the potential to mobilize effective relief in different pastoral regions. In terms of results, this vulnerability assessment shows that the vulnerability of pastoralism was very different in all the cases across the globe. As such, a further analysis, based on the pressure-state-response (PSR) model was undertaken to enhance our understanding of the ways that global changes put pressures on pastoral livelihoods worldwide. From this we conclude that climate change and climate variability are driving fragile pastoral ecosystems into more vulnerable conditions. Socioeconomic factors, such as changes in land tenure, agriculture, sedentarization, and institutions are fracturing large-scale pastoral ecosystems into spatially isolated systems. The implications of this analysis are that professionals, practitioners, and policy makers should jointly develop a coupled human and natural systems approach that focuses on enhancing the resilience of pastoral communities and their practices. This requires institutional developments to support asset building and good governance to enhance adaptive capability. In addition, pastoralists' adaptation strategies to global change need to be supported by public awareness and improved by institutional decisions at different scales and dimensions. © 2011 by the author(s).","author":[{"dropping-particle":"","family":"Dong","given":"Shikui","non-dropping-particle":"","parse-names":false,"suffix":""},{"dropping-particle":"","family":"Wen","given":"Lu","non-dropping-particle":"","parse-names":false,"suffix":""},{"dropping-particle":"","family":"Liu","given":"Shiliang","non-dropping-particle":"","parse-names":false,"suffix":""},{"dropping-particle":"","family":"Zhang","given":"Xiangfeng","non-dropping-particle":"","parse-names":false,"suffix":""},{"dropping-particle":"","family":"Lassoie","given":"James P.","non-dropping-particle":"","parse-names":false,"suffix":""},{"dropping-particle":"","family":"Yi","given":"Shaoliang","non-dropping-particle":"","parse-names":false,"suffix":""},{"dropping-particle":"","family":"Li","given":"Xiaoyan","non-dropping-particle":"","parse-names":false,"suffix":""},{"dropping-particle":"","family":"Li","given":"Jinpeng","non-dropping-particle":"","parse-names":false,"suffix":""},{"dropping-particle":"","family":"Li","given":"Yuanyuan","non-dropping-particle":"","parse-names":false,"suffix":""}],"container-title":"Ecology and Society","id":"ITEM-1","issue":"2","issued":{"date-parts":[["2011"]]},"title":"Vulnerability of worldwide pastoralism to global changes and interdisciplinary strategies for sustainable pastoralism","type":"article-journal","volume":"16"},"uris":["http://www.mendeley.com/documents/?uuid=fe86e39f-f434-4150-a271-70d0851e38b9"]},{"id":"ITEM-2","itemData":{"DOI":"10.1016/j.heliyon.2021.e08434","ISSN":"24058440","abstract":"Since the late 1970s, extensive livestock production in the high plateaus of Eastern Morocco, particularly of small ruminants, has been seriously threatened by climate change (CC). Negative impacts include reduction in rangeland forage production and water availability, increased poverty and inequality, and increased degradation of rangelands. Different categories of pastoralists have adopted different combinations of adaptation strategies, but the factors influencing adoption have not to date been investigated. This paper aims to identify the perceptions of pastoralists on CC, to analyze the adaptive responses of different wealth categories, and to determine the factors affecting the adoption of adaptation measures. The Mann-Kendall, Pettitt and Buishand tests and the standardized precipitation index were used to analyze the climate data. Data on adaptation were examined using the chi-square homogeneity test, Kruskal-Wallis test and binary logistic regression. The observed climate trends perfectly corroborated pastoralists' perceptions of significant changes in their local climate since the 1970s: a considerable decrease in annual rainfall and an increase in temperature and frequency of droughts and high winds. There were significant differences (Chi square = 7.603, p = 0.022, df = 2) between small, medium and large pastoralists in the frequency adoption of adaptation strategies, especially between small and large pastoralists (U statistic = 16.000, p = 0.009). The distribution of most adaptation actions also differed significantly between these two groups. Wealthier pastoralists have adopted a greater range of strategies, while poorer pastoralists have less diverse adaptation portfolios, and are more likely to adopt less advantageous strategies such as casual labor. The adoption of adaptation practices was significantly influenced by equipment, educational level, household size, herd size, training received, CC perceptions and agroecological setting. Public interventions to improve the adaptive capacity of pastoralists in Morocco's arid rangelands should be geared towards addressing these determinants and should prioritise small-scale pastoralists.","author":[{"dropping-particle":"","family":"Snaibi","given":"Wadii","non-dropping-particle":"","parse-names":false,"suffix":""},{"dropping-particle":"","family":"Mezrhab","given":"Abdelhamid","non-dropping-particle":"","parse-names":false,"suffix":""},{"dropping-particle":"","family":"Sy","given":"Oumar","non-dropping-particle":"","parse-names":false,"suffix":""},{"dropping-particle":"","family":"Morton","given":"John F.","non-dropping-particle":"","parse-names":false,"suffix":""}],"container-title":"Heliyon","id":"ITEM-2","issue":"11","issued":{"date-parts":[["2021"]]},"page":"e08434","publisher":"Elsevier Ltd","title":"Perception and adaptation of pastoralists to climate variability and change in Morocco's arid rangelands","type":"article-journal","volume":"7"},"uris":["http://www.mendeley.com/documents/?uuid=2d2f786c-d6e5-426a-86ba-034dc0ff9e10"]}],"mendeley":{"formattedCitation":"(Dong et al., 2011; Snaibi et al., 2021)","plainTextFormattedCitation":"(Dong et al., 2011; Snaibi et al., 2021)","previouslyFormattedCitation":"(Dong et al., 2011; Snaibi et al., 2021)"},"properties":{"noteIndex":0},"schema":"https://github.com/citation-style-language/schema/raw/master/csl-citation.json"}</w:instrText>
      </w:r>
      <w:r>
        <w:rPr>
          <w:rFonts w:cs="Times New Roman"/>
          <w:iCs/>
          <w:szCs w:val="24"/>
        </w:rPr>
        <w:fldChar w:fldCharType="separate"/>
      </w:r>
      <w:r>
        <w:rPr>
          <w:rFonts w:cs="Times New Roman"/>
          <w:iCs/>
          <w:noProof/>
          <w:szCs w:val="24"/>
        </w:rPr>
        <w:t>(Dong et al., 2011; Snaibi et al., 2021)</w:t>
      </w:r>
      <w:r>
        <w:rPr>
          <w:rFonts w:cs="Times New Roman"/>
          <w:iCs/>
          <w:szCs w:val="24"/>
        </w:rPr>
        <w:fldChar w:fldCharType="end"/>
      </w:r>
      <w:r>
        <w:rPr>
          <w:rFonts w:cs="Times New Roman"/>
          <w:iCs/>
          <w:szCs w:val="24"/>
        </w:rPr>
        <w:t xml:space="preserve">. </w:t>
      </w:r>
    </w:p>
    <w:p w:rsidR="00E76FB4" w:rsidRDefault="00E76FB4">
      <w:pPr>
        <w:spacing w:before="0" w:after="0" w:line="480" w:lineRule="auto"/>
        <w:rPr>
          <w:rFonts w:cs="Times New Roman"/>
          <w:iCs/>
          <w:szCs w:val="24"/>
        </w:rPr>
      </w:pPr>
    </w:p>
    <w:p w:rsidR="00E53882" w:rsidRDefault="00B16FF7">
      <w:pPr>
        <w:spacing w:before="0" w:after="0" w:line="480" w:lineRule="auto"/>
        <w:rPr>
          <w:rFonts w:cs="Times New Roman"/>
          <w:szCs w:val="24"/>
        </w:rPr>
      </w:pPr>
      <w:r>
        <w:rPr>
          <w:rFonts w:cs="Times New Roman"/>
          <w:szCs w:val="24"/>
        </w:rPr>
        <w:t xml:space="preserve">The significant effects of climate change in these areas have led to changes in pastoral mobility patterns. The increasing frequency and duration of drought cycles have forced pastoralists to travel more frequently and for longer periods in search of suitable grazing areas </w:t>
      </w:r>
      <w:r>
        <w:rPr>
          <w:rFonts w:cs="Times New Roman"/>
          <w:iCs/>
          <w:szCs w:val="24"/>
        </w:rPr>
        <w:fldChar w:fldCharType="begin" w:fldLock="1"/>
      </w:r>
      <w:r>
        <w:rPr>
          <w:rFonts w:cs="Times New Roman"/>
          <w:iCs/>
          <w:szCs w:val="24"/>
        </w:rPr>
        <w:instrText>ADDIN CSL_CITATION {"citationItems":[{"id":"ITEM-1","itemData":{"DOI":"10.1016/j.heliyon.2021.e08434","ISSN":"24058440","abstract":"Since the late 1970s, extensive livestock production in the high plateaus of Eastern Morocco, particularly of small ruminants, has been seriously threatened by climate change (CC). Negative impacts include reduction in rangeland forage production and water availability, increased poverty and inequality, and increased degradation of rangelands. Different categories of pastoralists have adopted different combinations of adaptation strategies, but the factors influencing adoption have not to date been investigated. This paper aims to identify the perceptions of pastoralists on CC, to analyze the adaptive responses of different wealth categories, and to determine the factors affecting the adoption of adaptation measures. The Mann-Kendall, Pettitt and Buishand tests and the standardized precipitation index were used to analyze the climate data. Data on adaptation were examined using the chi-square homogeneity test, Kruskal-Wallis test and binary logistic regression. The observed climate trends perfectly corroborated pastoralists' perceptions of significant changes in their local climate since the 1970s: a considerable decrease in annual rainfall and an increase in temperature and frequency of droughts and high winds. There were significant differences (Chi square = 7.603, p = 0.022, df = 2) between small, medium and large pastoralists in the frequency adoption of adaptation strategies, especially between small and large pastoralists (U statistic = 16.000, p = 0.009). The distribution of most adaptation actions also differed significantly between these two groups. Wealthier pastoralists have adopted a greater range of strategies, while poorer pastoralists have less diverse adaptation portfolios, and are more likely to adopt less advantageous strategies such as casual labor. The adoption of adaptation practices was significantly influenced by equipment, educational level, household size, herd size, training received, CC perceptions and agroecological setting. Public interventions to improve the adaptive capacity of pastoralists in Morocco's arid rangelands should be geared towards addressing these determinants and should prioritise small-scale pastoralists.","author":[{"dropping-particle":"","family":"Snaibi","given":"Wadii","non-dropping-particle":"","parse-names":false,"suffix":""},{"dropping-particle":"","family":"Mezrhab","given":"Abdelhamid","non-dropping-particle":"","parse-names":false,"suffix":""},{"dropping-particle":"","family":"Sy","given":"Oumar","non-dropping-particle":"","parse-names":false,"suffix":""},{"dropping-particle":"","family":"Morton","given":"John F.","non-dropping-particle":"","parse-names":false,"suffix":""}],"container-title":"Heliyon","id":"ITEM-1","issue":"11","issued":{"date-parts":[["2021"]]},"page":"e08434","publisher":"Elsevier Ltd","title":"Perception and adaptation of pastoralists to climate variability and change in Morocco's arid rangelands","type":"article-journal","volume":"7"},"uris":["http://www.mendeley.com/documents/?uuid=2d2f786c-d6e5-426a-86ba-034dc0ff9e10"]},{"id":"ITEM-2","itemData":{"DOI":"10.1080/09712119.2022.2103563","ISSN":"09741844","abstract":"Drought is a complicated natural hazard that has far-reaching social and environmental impacts. In Ethiopia's diverse agro ecological zones, drought remains a severe challenge and problem. Livestock rising is one of the agricultural sub-sectors that provide income and livelihood to around one-third of African inhabitants and accounts for 30–50 percent of agricultural GDP. Pastoralists on the Ethiopia-Kenya-Somalia border endured extreme suffering, including the loss of nearly 80% of their cattle and huge migration out of drought-stricken areas. Drought can cause severe economic hardship and stress for farmers and local economies, like; lost productivity, population reduction, and the trauma of witnessing livestock, crops, soil, and native vegetation damage. Between 1990 and 2000, and 2001-2002/03, drought-related animal death rates in the Somali region increased by 60% and 80% of the entire cattle population, respectively. Drought has the greatest immediate effects on farmers, including depletion of water resources, crop failure, and an increase in food prices, ill health, livestock output losses and death, and a decline in livestock prices in the Borana zone. Drought adaptation and mitigation measures depending on geography and livestock system may improve the study's trajectory in the future if further review is done.","author":[{"dropping-particle":"","family":"Bogale","given":"Girma Asefa","non-dropping-particle":"","parse-names":false,"suffix":""},{"dropping-particle":"","family":"Erena","given":"Zelalem Bekeko","non-dropping-particle":"","parse-names":false,"suffix":""}],"container-title":"Journal of Applied Animal Research","id":"ITEM-2","issue":"1","issued":{"date-parts":[["2022"]]},"page":"471-489","title":"Drought vulnerability and impacts of climate change on livestock production and productivity in different agro-Ecological zones of Ethiopia","type":"article-journal","volume":"50"},"uris":["http://www.mendeley.com/documents/?uuid=6c61fec5-8c70-4105-8ece-e7c66a0a26eb"]}],"mendeley":{"formattedCitation":"(Bogale &amp; Erena, 2022; Snaibi et al., 2021)","plainTextFormattedCitation":"(Bogale &amp; Erena, 2022; Snaibi et al., 2021)","previouslyFormattedCitation":"(Bogale &amp; Erena, 2022; Snaibi et al., 2021)"},"properties":{"noteIndex":0},"schema":"https://github.com/citation-style-language/schema/raw/master/csl-citation.json"}</w:instrText>
      </w:r>
      <w:r>
        <w:rPr>
          <w:rFonts w:cs="Times New Roman"/>
          <w:iCs/>
          <w:szCs w:val="24"/>
        </w:rPr>
        <w:fldChar w:fldCharType="separate"/>
      </w:r>
      <w:r>
        <w:rPr>
          <w:rFonts w:cs="Times New Roman"/>
          <w:iCs/>
          <w:noProof/>
          <w:szCs w:val="24"/>
        </w:rPr>
        <w:t>(Bogale &amp; Erena, 2022; Snaibi et al., 2021)</w:t>
      </w:r>
      <w:r>
        <w:rPr>
          <w:rFonts w:cs="Times New Roman"/>
          <w:iCs/>
          <w:szCs w:val="24"/>
        </w:rPr>
        <w:fldChar w:fldCharType="end"/>
      </w:r>
      <w:r>
        <w:rPr>
          <w:rFonts w:cs="Times New Roman"/>
          <w:iCs/>
          <w:szCs w:val="24"/>
        </w:rPr>
        <w:t xml:space="preserve">. </w:t>
      </w:r>
      <w:r>
        <w:rPr>
          <w:rFonts w:cs="Times New Roman"/>
          <w:szCs w:val="24"/>
        </w:rPr>
        <w:t xml:space="preserve">The right to free movement within and across national borders is crucial for the sustainability of mobile pastoralism, especially in the face of climate change. However, evidence suggests that movement is often restricted due to various factors, exacerbating pastoralists' vulnerability to climate and other shocks. Pastoralists' needs are often overlooked when drawing administrative borders, leading to intercommoned tensions, insecurity, and conflicts. As other livelihood systems encroach on their lands, pastoralists are increasingly marginalized </w:t>
      </w:r>
      <w:r>
        <w:rPr>
          <w:rFonts w:cs="Times New Roman"/>
          <w:iCs/>
          <w:szCs w:val="24"/>
        </w:rPr>
        <w:fldChar w:fldCharType="begin" w:fldLock="1"/>
      </w:r>
      <w:r>
        <w:rPr>
          <w:rFonts w:cs="Times New Roman"/>
          <w:iCs/>
          <w:szCs w:val="24"/>
        </w:rPr>
        <w:instrText>ADDIN CSL_CITATION {"citationItems":[{"id":"ITEM-1","itemData":{"author":[{"dropping-particle":"","family":"UN","given":"","non-dropping-particle":"","parse-names":false,"suffix":""}],"container-title":"UN Office for the Coordination of Humanitarian Affairs","id":"ITEM-1","issued":{"date-parts":[["2010"]]},"page":"1-22","title":"Advocating for Safe Movement as a Climate Change Adaptation Strategy for Pastoralists in the Horn and East Africa","type":"article-journal"},"uris":["http://www.mendeley.com/documents/?uuid=1a1fdf78-790b-47bc-b700-ae93949cf1fd"]},{"id":"ITEM-2","itemData":{"author":[{"dropping-particle":"","family":"Kimaro","given":"Esther G","non-dropping-particle":"","parse-names":false,"suffix":""},{"dropping-particle":"","family":"Mor","given":"Siobhan M","non-dropping-particle":"","parse-names":false,"suffix":""},{"dropping-particle":"","family":"Toribio","given":"Jenny-ann L M L","non-dropping-particle":"","parse-names":false,"suffix":""}],"container-title":"Pastoralism: Research, Policy and Practice","id":"ITEM-2","issued":{"date-parts":[["2018"]]},"page":"1-16","publisher":"Pastoralism","title":"CC Perception and impacts on cattle production.pdf","type":"article-journal","volume":"5"},"uris":["http://www.mendeley.com/documents/?uuid=ff0e97fc-b406-445a-a7e6-f9fa3ac27b61"]}],"mendeley":{"formattedCitation":"(Kimaro et al., 2018; UN, 2010)","plainTextFormattedCitation":"(Kimaro et al., 2018; UN, 2010)","previouslyFormattedCitation":"(Kimaro et al., 2018; UN, 2010)"},"properties":{"noteIndex":0},"schema":"https://github.com/citation-style-language/schema/raw/master/csl-citation.json"}</w:instrText>
      </w:r>
      <w:r>
        <w:rPr>
          <w:rFonts w:cs="Times New Roman"/>
          <w:iCs/>
          <w:szCs w:val="24"/>
        </w:rPr>
        <w:fldChar w:fldCharType="separate"/>
      </w:r>
      <w:r>
        <w:rPr>
          <w:rFonts w:cs="Times New Roman"/>
          <w:iCs/>
          <w:noProof/>
          <w:szCs w:val="24"/>
        </w:rPr>
        <w:t>(Kimaro et al., 2018; UN, 2010)</w:t>
      </w:r>
      <w:r>
        <w:rPr>
          <w:rFonts w:cs="Times New Roman"/>
          <w:iCs/>
          <w:szCs w:val="24"/>
        </w:rPr>
        <w:fldChar w:fldCharType="end"/>
      </w:r>
      <w:r>
        <w:rPr>
          <w:rFonts w:cs="Times New Roman"/>
          <w:iCs/>
          <w:szCs w:val="24"/>
        </w:rPr>
        <w:t xml:space="preserve">. </w:t>
      </w:r>
      <w:r>
        <w:rPr>
          <w:rFonts w:cs="Times New Roman"/>
          <w:szCs w:val="24"/>
        </w:rPr>
        <w:t xml:space="preserve">The relationship between mobility </w:t>
      </w:r>
      <w:r>
        <w:rPr>
          <w:rFonts w:cs="Times New Roman"/>
          <w:szCs w:val="24"/>
        </w:rPr>
        <w:lastRenderedPageBreak/>
        <w:t>and climate change remains relatively understudied, mainly due to the complex interactions between economic, environmental, social, and political drivers</w:t>
      </w:r>
      <w:r>
        <w:rPr>
          <w:rFonts w:cs="Times New Roman"/>
          <w:iCs/>
          <w:szCs w:val="24"/>
        </w:rPr>
        <w:t xml:space="preserve"> </w:t>
      </w:r>
      <w:r>
        <w:rPr>
          <w:rFonts w:cs="Times New Roman"/>
          <w:iCs/>
          <w:szCs w:val="24"/>
        </w:rPr>
        <w:fldChar w:fldCharType="begin" w:fldLock="1"/>
      </w:r>
      <w:r w:rsidR="00900D2E">
        <w:rPr>
          <w:rFonts w:cs="Times New Roman"/>
          <w:iCs/>
          <w:szCs w:val="24"/>
        </w:rPr>
        <w:instrText>ADDIN CSL_CITATION {"citationItems":[{"id":"ITEM-1","itemData":{"DOI":"10.4314/gjg.v13i1.6","ISSN":"0855-9414","abstract":"For many households in rural sub-Saharan Africa, drought is an important environmental shock because it undermines livelihoods and wellbeing. There is a growing concern that droughts in the context of a changing climate could magnify migration out of rural areas. Using an exploratory mixed method approach, this paper explores the relationship between drought and migration in five villages in the northern savannah of Ghana. The results suggest that drought-related migration in the savannah is much about rural to rural migration as it is about rural to urban migration. This observation contrasts with the concentration of the literature on the possibilities and outcomes of climate-induced rural to urban migration. The study further highlights the mediating role of a range of idiosyncratic factors in the migration responses to drought. A multivariate analysis showed that selected individual, household, and village variables explain about 21.5% of drought-related migration. The qualitative results revealed additional mediating factors notably; individual aspirations, the effect of pull factors and networks. Thus, drought-related migration is not always about vulnerability and responses as commonly viewed, but intricately intertwined with the socio-economic and political dynamics of people. The multiplicity of factors and the complexity of their interaction clearly show the need to shift away from simplistic and deterministic notions of the climate-migration nexus.","author":[{"dropping-particle":"","family":"Jarawura","given":"Francis Xavier","non-dropping-particle":"","parse-names":false,"suffix":""}],"container-title":"Ghana Journal of Geography","id":"ITEM-1","issue":"1","issued":{"date-parts":[["2021"]]},"page":"103-125","title":"Dynamics of Drought-Related Migration Among Five Villages in the Savannah of Ghana","type":"article-journal","volume":"13"},"uris":["http://www.mendeley.com/documents/?uuid=ba357df3-2e09-4c17-85a3-fa447d60f9c5"]},{"id":"ITEM-2","itemData":{"DOI":"10.1002/wcc.610","ISSN":"17577799","abstract":"Academic, political, and policy debates about the connection between environmental change and human migration have long focused on migration drivers and outcomes, resulting in a limited discussion between the discourses of “desolate climate refugees” and “environmental migrants as agents of adaptation.” These perspectives remain dominant, particularly in policy and media circles, despite academic critique and the recent emergence of more diverse approaches. In this intervention, we contribute to the recent turn in environmental migration research by seeking to better ground and pluralize our understanding of how environmental change and human mobility relate. We do so by offering a mobilities perspective that centers on the practices, motives, and experiences of mobility and immobility in the context of environmental change: When and why do people decide to move—or not to move—in response to environmental changes? How do they cope with migration pressures? Where do they move, under what conditions, and who can or must stay behind? This approach attends to the diverse aspirations and differential capabilities that underlie particular practices of movement or nonmovement, reflecting both individual characteristics as well as interconnections with uneven power relations across local, regional, and global scales. A mobilities approach offers a starting point for an expanded research agenda on environmental im/mobilities. This enables academic analysis and policy discussion of the human (im)mobility-environmental change nexus to become better attuned to the actual practice and heterogeneous needs of those affected. This article is categorized under: Climate and Development ' Social Justice and the Politics of Development Vulnerability and Adaptation to Climate Change ' Values-Based Approach to Vulnerability and Adaptation.","author":[{"dropping-particle":"","family":"Wiegel","given":"Hanne","non-dropping-particle":"","parse-names":false,"suffix":""},{"dropping-particle":"","family":"Boas","given":"Ingrid","non-dropping-particle":"","parse-names":false,"suffix":""},{"dropping-particle":"","family":"Warner","given":"Jeroen","non-dropping-particle":"","parse-names":false,"suffix":""}],"container-title":"Wiley Interdisciplinary Reviews: Climate Change","id":"ITEM-2","issue":"6","issued":{"date-parts":[["2019"]]},"page":"1-9","title":"A mobilities perspective on migration in the context of environmental change","type":"article-journal","volume":"10"},"uris":["http://www.mendeley.com/documents/?uuid=21484aeb-f1e7-4bed-874c-70419577392c"]},{"id":"ITEM-3","itemData":{"ISBN":"4155801906","abstract":"Misleading claims about mass migration induced by climate change continue to surface in both academia and policy. This requires a new research agenda on ‘climate mobilities’ that moves beyond simplistic assumptions and more accurately advances knowledge of the nexus between human mobility and climate change.","author":[{"dropping-particle":"al","family":"Boas","given":"Ingrid et","non-dropping-particle":"","parse-names":false,"suffix":""}],"container-title":"Nature Climate change","id":"ITEM-3","issue":"December","issued":{"date-parts":[["2019"]]},"page":"901-903","title":"Climate migration myths Misleading","type":"article-journal","volume":"9"},"uris":["http://www.mendeley.com/documents/?uuid=03b16d4c-7b95-4dad-959b-5c64222dbf1d"]},{"id":"ITEM-4","itemData":{"DOI":"10.1080/1369183x.2022.2066262","ISSN":"1369-183X","author":[{"dropping-particle":"","family":"Boas","given":"Ingrid","non-dropping-particle":"","parse-names":false,"suffix":""}],"container-title":"Journal of Ethnic and Migration Studies","id":"ITEM-4","issued":{"date-parts":[["2022"]]},"page":"1-17","title":"The diversification of pastoralist herding: navigating socio-climatic risk via mobile technologies","type":"article-journal"},"uris":["http://www.mendeley.com/documents/?uuid=9b1cffaf-8106-4757-b876-26b5a82bea8a"]}],"mendeley":{"formattedCitation":"(Boas, 2019, 2022; Jarawura, 2021; Wiegel et al., 2019)","plainTextFormattedCitation":"(Boas, 2019, 2022; Jarawura, 2021; Wiegel et al., 2019)","previouslyFormattedCitation":"(Boas, 2019, 2022; Jarawura, 2021; Wiegel et al., 2019)"},"properties":{"noteIndex":0},"schema":"https://github.com/citation-style-language/schema/raw/master/csl-citation.json"}</w:instrText>
      </w:r>
      <w:r>
        <w:rPr>
          <w:rFonts w:cs="Times New Roman"/>
          <w:iCs/>
          <w:szCs w:val="24"/>
        </w:rPr>
        <w:fldChar w:fldCharType="separate"/>
      </w:r>
      <w:r>
        <w:rPr>
          <w:rFonts w:cs="Times New Roman"/>
          <w:iCs/>
          <w:noProof/>
          <w:szCs w:val="24"/>
        </w:rPr>
        <w:t>(Boas, 2019, 2022; Jarawura, 2021; Wiegel et al., 2019)</w:t>
      </w:r>
      <w:r>
        <w:rPr>
          <w:rFonts w:cs="Times New Roman"/>
          <w:iCs/>
          <w:szCs w:val="24"/>
        </w:rPr>
        <w:fldChar w:fldCharType="end"/>
      </w:r>
      <w:r>
        <w:rPr>
          <w:rFonts w:cs="Times New Roman"/>
          <w:iCs/>
          <w:szCs w:val="24"/>
        </w:rPr>
        <w:t xml:space="preserve">. </w:t>
      </w:r>
      <w:r>
        <w:rPr>
          <w:rFonts w:cs="Times New Roman"/>
          <w:szCs w:val="24"/>
        </w:rPr>
        <w:t xml:space="preserve">As a result, there is a lack of comprehensive research on the interplay between climate change and pastoralists' mobility patterns and how they have evolved in response to climate change in </w:t>
      </w:r>
      <w:proofErr w:type="spellStart"/>
      <w:r>
        <w:rPr>
          <w:rFonts w:cs="Times New Roman"/>
          <w:szCs w:val="24"/>
        </w:rPr>
        <w:t>Gusheigu</w:t>
      </w:r>
      <w:proofErr w:type="spellEnd"/>
      <w:r>
        <w:rPr>
          <w:rFonts w:cs="Times New Roman"/>
          <w:szCs w:val="24"/>
        </w:rPr>
        <w:t xml:space="preserve"> municipal in northern Ghana. </w:t>
      </w:r>
    </w:p>
    <w:p w:rsidR="00E53882" w:rsidRDefault="00E53882">
      <w:pPr>
        <w:spacing w:before="0" w:after="0" w:line="480" w:lineRule="auto"/>
        <w:rPr>
          <w:rFonts w:cs="Times New Roman"/>
          <w:szCs w:val="24"/>
        </w:rPr>
      </w:pPr>
    </w:p>
    <w:p w:rsidR="00E53882" w:rsidRDefault="00B16FF7">
      <w:pPr>
        <w:pStyle w:val="Heading2"/>
        <w:spacing w:line="480" w:lineRule="auto"/>
      </w:pPr>
      <w:bookmarkStart w:id="30" w:name="_Toc164261675"/>
      <w:bookmarkStart w:id="31" w:name="_Toc128438182"/>
      <w:r>
        <w:t>1.1 Statement of the Problem</w:t>
      </w:r>
      <w:bookmarkEnd w:id="30"/>
      <w:r>
        <w:t xml:space="preserve"> </w:t>
      </w:r>
      <w:bookmarkEnd w:id="31"/>
    </w:p>
    <w:p w:rsidR="00E53882" w:rsidRDefault="00B16FF7">
      <w:pPr>
        <w:spacing w:line="480" w:lineRule="auto"/>
        <w:rPr>
          <w:rFonts w:eastAsia="Times New Roman" w:cs="Times New Roman"/>
          <w:color w:val="000000"/>
          <w:szCs w:val="24"/>
        </w:rPr>
      </w:pPr>
      <w:r>
        <w:rPr>
          <w:rFonts w:cs="Times New Roman"/>
          <w:szCs w:val="24"/>
        </w:rPr>
        <w:t xml:space="preserve">Because of the high prevalence of climate-related disasters and the worsening impacts of global warming, the relationship between human migration and climate change is a fundamental subject in both academics and politics </w:t>
      </w:r>
      <w:r>
        <w:rPr>
          <w:rFonts w:cs="Times New Roman"/>
          <w:szCs w:val="24"/>
        </w:rPr>
        <w:fldChar w:fldCharType="begin" w:fldLock="1"/>
      </w:r>
      <w:r>
        <w:rPr>
          <w:rFonts w:cs="Times New Roman"/>
          <w:szCs w:val="24"/>
        </w:rPr>
        <w:instrText>ADDIN CSL_CITATION {"citationItems":[{"id":"ITEM-1","itemData":{"ISBN":"9789291691432","ISSN":"00220248","author":[{"dropping-particle":"","family":"IPCC","given":"","non-dropping-particle":"","parse-names":false,"suffix":""}],"container-title":"Journal of Crystal Growth","id":"ITEM-1","issued":{"date-parts":[["2014"]]},"title":"Climate Change 2014 Synthesis Report","type":"book","volume":"Fifth Asse"},"uris":["http://www.mendeley.com/documents/?uuid=81fa4ecb-17e4-4ddf-87a9-d00b7f5d9a6e"]},{"id":"ITEM-2","itemData":{"DOI":"10.1080/1369183x.2022.2066262","ISSN":"1369-183X","author":[{"dropping-particle":"","family":"Boas","given":"Ingrid","non-dropping-particle":"","parse-names":false,"suffix":""}],"container-title":"Journal of Ethnic and Migration Studies","id":"ITEM-2","issued":{"date-parts":[["2022"]]},"page":"1-17","title":"The diversification of pastoralist herding: navigating socio-climatic risk via mobile technologies","type":"article-journal"},"uris":["http://www.mendeley.com/documents/?uuid=9b1cffaf-8106-4757-b876-26b5a82bea8a"]},{"id":"ITEM-3","itemData":{"DOI":"10.1007/978-3-642-28626-1_15","ISBN":"9783642286261","abstract":"Climate change will fundamentally affect the lives of millions of people who will be forced over the next decades to leave their villages and cities to seek refuge in other areas. Although the exact numbers of climate refugees are unknowable and vary from assessment to assessment depending on underlying methods, scenarios, time frames, and assumptions (as laid out below), the available literature indicates that the climate refugee crisis will surpass all known refugee crises in terms of the number of people affected. Many climate refugees may seek refuge in their own countries; others will need to cross borders to find a new home. Some local refugee crises, in particular in the richer countries in the North, may be prevented through adaptation measures such as reinforced coastal protection or changes in agricultural production and water supply management. Many poorer countries, however, are unlikely to be able to initiate sufficient adaptation programmes, and climate-induced migration might be the only option for many communities in the South. In these situations, climate refugees will need to rely on effective protection and support from the international community, regardless of whether climate migration is internal or transnational.","author":[{"dropping-particle":"","family":"Biermann","given":"Frank","non-dropping-particle":"","parse-names":false,"suffix":""},{"dropping-particle":"","family":"Boas","given":"Ingrid","non-dropping-particle":"","parse-names":false,"suffix":""}],"id":"ITEM-3","issued":{"date-parts":[["2012"]]},"page":"291-300","title":"Climate Change and Human Migration: Towards a Global Governance System to Protect Climate Refugees","type":"chapter"},"uris":["http://www.mendeley.com/documents/?uuid=12d5730b-b4c3-4bf2-84ca-58a8416fab3d"]}],"mendeley":{"formattedCitation":"(Biermann &amp; Boas, 2012; Boas, 2022; IPCC, 2014)","plainTextFormattedCitation":"(Biermann &amp; Boas, 2012; Boas, 2022; IPCC, 2014)","previouslyFormattedCitation":"(Biermann &amp; Boas, 2012; Boas, 2022; IPCC, 2014)"},"properties":{"noteIndex":0},"schema":"https://github.com/citation-style-language/schema/raw/master/csl-citation.json"}</w:instrText>
      </w:r>
      <w:r>
        <w:rPr>
          <w:rFonts w:cs="Times New Roman"/>
          <w:szCs w:val="24"/>
        </w:rPr>
        <w:fldChar w:fldCharType="separate"/>
      </w:r>
      <w:r>
        <w:rPr>
          <w:rFonts w:cs="Times New Roman"/>
          <w:noProof/>
          <w:szCs w:val="24"/>
        </w:rPr>
        <w:t>(Biermann &amp; Boas, 2012; Boas, 2022; IPCC, 2014)</w:t>
      </w:r>
      <w:r>
        <w:rPr>
          <w:rFonts w:cs="Times New Roman"/>
          <w:szCs w:val="24"/>
        </w:rPr>
        <w:fldChar w:fldCharType="end"/>
      </w:r>
      <w:r>
        <w:rPr>
          <w:rFonts w:cs="Times New Roman"/>
          <w:szCs w:val="24"/>
        </w:rPr>
        <w:t xml:space="preserve">. Climate change, recognized as a global phenomenon with far-reaching consequences, has been particularly impactful in </w:t>
      </w:r>
      <w:proofErr w:type="spellStart"/>
      <w:r>
        <w:rPr>
          <w:rFonts w:cs="Times New Roman"/>
          <w:szCs w:val="24"/>
        </w:rPr>
        <w:t>dryland</w:t>
      </w:r>
      <w:proofErr w:type="spellEnd"/>
      <w:r>
        <w:rPr>
          <w:rFonts w:cs="Times New Roman"/>
          <w:szCs w:val="24"/>
        </w:rPr>
        <w:t xml:space="preserve"> regions </w:t>
      </w:r>
      <w:r>
        <w:rPr>
          <w:rFonts w:cs="Times New Roman"/>
          <w:szCs w:val="24"/>
        </w:rPr>
        <w:fldChar w:fldCharType="begin" w:fldLock="1"/>
      </w:r>
      <w:r w:rsidR="00900D2E">
        <w:rPr>
          <w:rFonts w:cs="Times New Roman"/>
          <w:szCs w:val="24"/>
        </w:rPr>
        <w:instrText>ADDIN CSL_CITATION {"citationItems":[{"id":"ITEM-1","itemData":{"DOI":"10.3390/su13031308","ISSN":"20711050","abstract":"Evidence on how coping practices for immediate climate variations can transform into long-term adaptive capacity are relatively limited. This study addressed this gap by identifying the coping practices for short-term climate variations and the adaptation measures used by smallholder farmers to address future climate change in northeast Ghana. The paper used a mixed-methods approach, including household surveys, focus group discussions and key informant interviews. Data were collected from 555 households located in six communities across three districts in northeast Ghana. Results indicated that smallholder farmers were employing a host of practices to address the threats posed by climate change. Key adaptation practices included the planting of drought-tolerant crop varieties, the use of indigenous knowledge, intensification of irrigation, migration, adjusting the planting calendar, crop diversification, mixed farming, and sustainable land management practices. On the contrary, short-term coping practices reported by the study participants included the sale of non-farm assets, complementing agriculture with non-farm jobs, selling livestock, engaging in wage labor, charcoal burning and reliance on social networks. The results further revealed that barriers to climate change adaptation and coping practices differed by gender. The paper recommends that capacities of smallholder farmers in vulnerability hotspots should be enhanced to address immediate climate variations, as well as future climate changes. Ghana’s climate change and agricultural policies should prioritize adaptations by smallholder farmers in addressing threats posed by climate change.","author":[{"dropping-particle":"","family":"Antwi-Agyei","given":"Philip","non-dropping-particle":"","parse-names":false,"suffix":""},{"dropping-particle":"","family":"Nyantakyi-Frimpong","given":"Hanson","non-dropping-particle":"","parse-names":false,"suffix":""}],"container-title":"Sustainability (Switzerland)","id":"ITEM-1","issue":"3","issued":{"date-parts":[["2021"]]},"page":"1-18","title":"Evidence of climate change coping and adaptation practices by smallholder farmers in northern ghana","type":"article-journal","volume":"13"},"uris":["http://www.mendeley.com/documents/?uuid=be70823d-5891-4354-a041-2adff9fedabf"]},{"id":"ITEM-2","itemData":{"DOI":"10.4324/9781849770804","ISBN":"9781136569463","abstract":"Sound and solid case studies on vulnerability and adaptation have been woefully lacking in the international discourse on climate change. This set of books begins to bridge the gap. Achim Steiner, UN Under-Secretary General and Executive Director of United Nations Environment Programme Important reading for students and practitioners alike. Martin Parry, Co-Chair, Working Group II (Impacts, Adaptation and Vulnerability), Intergovernmental Panel on Climate Change (IPCC) This book fills an important gap in our understanding… It is policy-relevant and deserves to be widely read. Richard Klein, Senior Research Fellow, Stockholm Environment Institute (SEI), Sweden The award of the Nobel Peace Prize for 2007 to the IPCC brings needed attention to the threats from climate change for highly vulnerable regions of the developing world. This authoritative volume (along with its companion covering adaptation) resulting from the work of the Assessments of Impacts and Adaptations to Climate Change (AIACC) project launched with the IPCC in 2002, is the first to provide an in-depth investigation of the stakes in developing countries. It discusses who is vulnerable and the nature and causes of their vulnerability for parts of the world that have been poorly researched till now. It also provides researchers with new examples of applications of vulnerability assessment methods, an approach that is of growing interest in the climate change area but for which there are relatively few applications in the literature. Published with TWAS and START.","author":[{"dropping-particle":"","family":"Leary","given":"Neil","non-dropping-particle":"","parse-names":false,"suffix":""},{"dropping-particle":"","family":"Conde","given":"Cecilia","non-dropping-particle":"","parse-names":false,"suffix":""},{"dropping-particle":"","family":"Kulkarni","given":"Jyoti","non-dropping-particle":"","parse-names":false,"suffix":""},{"dropping-particle":"","family":"Nyong","given":"Anthony","non-dropping-particle":"","parse-names":false,"suffix":""},{"dropping-particle":"","family":"Pulhin","given":"Juan","non-dropping-particle":"","parse-names":false,"suffix":""}],"container-title":"Climate Change and Vulnerability","id":"ITEM-2","issue":"June","issued":{"date-parts":[["2012"]]},"page":"1-428","title":"Climate Change and Vulnerability","type":"article-journal"},"uris":["http://www.mendeley.com/documents/?uuid=3dc85d9b-ea10-4b8d-a4aa-4ad6df604441"]},{"id":"ITEM-3","itemData":{"author":[{"dropping-particle":"","family":"AGNES","given":"","non-dropping-particle":"","parse-names":false,"suffix":""}],"id":"ITEM-3","issue":"1","issued":{"date-parts":[["2020"]]},"page":"1-8","title":"Desertification and Climate Change in Africa","type":"article-journal"},"uris":["http://www.mendeley.com/documents/?uuid=7de27e74-5f0e-4e83-bb83-e603bcdeebd8"]}],"mendeley":{"formattedCitation":"(AGNES, 2020; Antwi-Agyei &amp; Nyantakyi-Frimpong, 2021; Leary et al., 2012)","plainTextFormattedCitation":"(AGNES, 2020; Antwi-Agyei &amp; Nyantakyi-Frimpong, 2021; Leary et al., 2012)","previouslyFormattedCitation":"(AGNES, 2020; Antwi-Agyei &amp; Nyantakyi-Frimpong, 2021; Leary et al., 2012)"},"properties":{"noteIndex":0},"schema":"https://github.com/citation-style-language/schema/raw/master/csl-citation.json"}</w:instrText>
      </w:r>
      <w:r>
        <w:rPr>
          <w:rFonts w:cs="Times New Roman"/>
          <w:szCs w:val="24"/>
        </w:rPr>
        <w:fldChar w:fldCharType="separate"/>
      </w:r>
      <w:r>
        <w:rPr>
          <w:rFonts w:cs="Times New Roman"/>
          <w:noProof/>
          <w:szCs w:val="24"/>
        </w:rPr>
        <w:t>(AGNES, 2020; Antwi-Agyei &amp; Nyantakyi-Frimpong, 2021; Leary et al., 2012)</w:t>
      </w:r>
      <w:r>
        <w:rPr>
          <w:rFonts w:cs="Times New Roman"/>
          <w:szCs w:val="24"/>
        </w:rPr>
        <w:fldChar w:fldCharType="end"/>
      </w:r>
      <w:r>
        <w:rPr>
          <w:rFonts w:cs="Times New Roman"/>
          <w:szCs w:val="24"/>
        </w:rPr>
        <w:t xml:space="preserve">. Unpredictable shifts in rainfall patterns, recurrent droughts, and extreme weather events have substantially changed the ecological landscape, directly affecting the livelihoods of pastoralists </w:t>
      </w:r>
      <w:r>
        <w:rPr>
          <w:rFonts w:cs="Times New Roman"/>
          <w:szCs w:val="24"/>
        </w:rPr>
        <w:fldChar w:fldCharType="begin" w:fldLock="1"/>
      </w:r>
      <w:r w:rsidR="00900D2E">
        <w:rPr>
          <w:rFonts w:cs="Times New Roman"/>
          <w:szCs w:val="24"/>
        </w:rPr>
        <w:instrText>ADDIN CSL_CITATION {"citationItems":[{"id":"ITEM-1","itemData":{"DOI":"10.1007/s42452-020-04111-0","ISBN":"4245202004111","ISSN":"25233971","abstract":"Rainfall variability is of great importance in East Africa, where small-scale farmers and pastoralists dominate. Their livestock production activities are heavily dependent on rainfall. We assessed pastoralist perceptions on climate change, particularly rainfall variability, its impact on livestock production, and the adaptive capacity of pastoralists in the Ngorongoro Conservation Area (NCA), Tanzania. We combined 241 household interviews and information from 52 participants of Participatory Rural Appraisal (PRA) with archived data from the Ngorongoro Conservation Area Authority (NCAA). We found that most (71%) pastoralists were aware of general climate change impacts, rainfall variability, and impacts of extreme events on their livestock. Most (&gt; 75%) respondents perceived erratic and reduced amounts of rainfall, prolonged and frequent periods of drought as the main climate change challenges. Mean annual rainfall accounted for only 46% (R2), (p = 0.076) and 32% (R2), (p = 0.22) of cattle, and sheep and goat population variability, respectively. Unexpectedly, cattle losses intensified by 10% when herd size increased (p &lt; 0.001) and by 98% (p = 0.049) when mobility increased, implying that increasing herd sizes and mobility do not cushion households against climate change shocks. Our study highlights the need to enhance adaptive capacity of the pastoralist communities through interventions that proactively reduce vulnerability. We recommend that future research should address the profitability of pastoral cattle production under changing environmental conditions.","author":[{"dropping-particle":"","family":"Leweri","given":"Cecilia M.","non-dropping-particle":"","parse-names":false,"suffix":""},{"dropping-particle":"","family":"Msuha","given":"Maurus J.","non-dropping-particle":"","parse-names":false,"suffix":""},{"dropping-particle":"","family":"Treydte","given":"Anna C.","non-dropping-particle":"","parse-names":false,"suffix":""}],"container-title":"SN Applied Sciences","id":"ITEM-1","issue":"1","issued":{"date-parts":[["2021"]]},"page":"1-10","publisher":"Springer International Publishing","title":"Rainfall variability and socio-economic constraints on livestock production in the Ngorongoro Conservation Area, Tanzania","type":"article-journal","volume":"3"},"uris":["http://www.mendeley.com/documents/?uuid=e414c125-b1cc-4a87-ab3e-7e08ad4bfeb7"]},{"id":"ITEM-2","itemData":{"DOI":"10.1111/1365-2745.13195","ISSN":"13652745","abstract":"Climate change is expected to lead to more frequent, intense and longer droughts in the future, with major implications for ecosystem processes and human livelihoods. The impacts of such droughts are already evident, with vegetation dieback reported from a range of ecosystems, including savannas, in recent years. Most of our insights into the mechanisms governing vegetation drought responses have come from forests and temperate grasslands, while responses of savannas have received less attention. Because the two life forms that dominate savannas—C3 trees and C4 grasses—respond differently to the same environmental controls, savanna responses to droughts can differ from those of forests and grasslands. Drought-driven mortality of savanna vegetation is not readily predicted by just plant drought-tolerance traits alone, but is the net outcome of multiple factors, including drought-avoidance strategies, landscape and neighborhood context, and impacts of past and current stressors including fire, herbivory and inter-life form competition. Many savannas currently appear to have the capacity to recover from moderate to severe short-term droughts, although recovery times can be substantial. Factors facilitating recovery include the resprouting ability of vegetation, enhanced flowering and seeding and post-drought amelioration of herbivory and fire. Future increases in drought severity, length and frequency can interrupt recovery trajectories and lead to compositional shifts, and thus pose substantial threats, particularly to arid and semi-arid savannas. Synthesis. Our understanding of, and ability to predict, savanna drought responses is currently limited by availability of relevant data, and there is an urgent need for campaigns quantifying drought-survival traits across diverse savannas. Importantly, these campaigns must move beyond reliance on a limited set of plant functional traits to identifying suites of physiological, morphological, anatomical and structural traits or “syndromes” that encapsulate both avoidance and tolerance strategies. There is also a critical need for a global network of long-term savanna monitoring sites as these can provide key insights into factors influencing both resistance and resilience of different savannas to droughts. Such efforts, coupled with site-specific rainfall manipulation experiments that characterize plant trait–drought response relationships, and modelling efforts, will enable a more comprehensive understanding of …","author":[{"dropping-particle":"","family":"Sankaran","given":"Mahesh","non-dropping-particle":"","parse-names":false,"suffix":""}],"container-title":"Journal of Ecology","id":"ITEM-2","issue":"4","issued":{"date-parts":[["2019"]]},"page":"1531-1549","title":"Droughts and the ecological future of tropical savanna vegetation","type":"article-journal","volume":"107"},"uris":["http://www.mendeley.com/documents/?uuid=bf077cc0-5a52-444f-bd57-f852a59ad729"]}],"mendeley":{"formattedCitation":"(Leweri et al., 2021; Sankaran, 2019)","plainTextFormattedCitation":"(Leweri et al., 2021; Sankaran, 2019)","previouslyFormattedCitation":"(Leweri et al., 2021; Sankaran, 2019)"},"properties":{"noteIndex":0},"schema":"https://github.com/citation-style-language/schema/raw/master/csl-citation.json"}</w:instrText>
      </w:r>
      <w:r>
        <w:rPr>
          <w:rFonts w:cs="Times New Roman"/>
          <w:szCs w:val="24"/>
        </w:rPr>
        <w:fldChar w:fldCharType="separate"/>
      </w:r>
      <w:r>
        <w:rPr>
          <w:rFonts w:cs="Times New Roman"/>
          <w:noProof/>
          <w:szCs w:val="24"/>
        </w:rPr>
        <w:t>(Leweri et al., 2021; Sankaran, 2019)</w:t>
      </w:r>
      <w:r>
        <w:rPr>
          <w:rFonts w:cs="Times New Roman"/>
          <w:szCs w:val="24"/>
        </w:rPr>
        <w:fldChar w:fldCharType="end"/>
      </w:r>
      <w:r>
        <w:rPr>
          <w:rFonts w:cs="Times New Roman"/>
          <w:szCs w:val="24"/>
        </w:rPr>
        <w:t xml:space="preserve">. This forces them to involve in consistent seasonal mobility and temporary dwelling arrangements </w:t>
      </w:r>
      <w:r>
        <w:rPr>
          <w:rFonts w:cs="Times New Roman"/>
          <w:szCs w:val="24"/>
        </w:rPr>
        <w:fldChar w:fldCharType="begin" w:fldLock="1"/>
      </w:r>
      <w:r>
        <w:rPr>
          <w:rFonts w:cs="Times New Roman"/>
          <w:szCs w:val="24"/>
        </w:rPr>
        <w:instrText>ADDIN CSL_CITATION {"citationItems":[{"id":"ITEM-1","itemData":{"author":[{"dropping-particle":"","family":"Olaniyan","given":"Azeez Olusola","non-dropping-particle":"","parse-names":false,"suffix":""}],"container-title":"African studies quarterly VO  - 15","id":"ITEM-1","issue":"2","issued":{"date-parts":[["2015"]]},"page":"53","title":"The cattles are \"Ghanaians\" but the herders are strangers : farmer-herder conflicts, expulsion policy, and pastoralist question in Agogo, Ghana / Azeez Olaniyan, Michael Francis, and Ufo Okeke-Uzodike","type":"article-journal","volume":"15"},"uris":["http://www.mendeley.com/documents/?uuid=d65198b5-94a9-4b7c-827e-1e7ce2ded535"]}],"mendeley":{"formattedCitation":"(A. O. Olaniyan, 2015)","plainTextFormattedCitation":"(A. O. Olaniyan, 2015)","previouslyFormattedCitation":"(A. O. Olaniyan, 2015)"},"properties":{"noteIndex":0},"schema":"https://github.com/citation-style-language/schema/raw/master/csl-citation.json"}</w:instrText>
      </w:r>
      <w:r>
        <w:rPr>
          <w:rFonts w:cs="Times New Roman"/>
          <w:szCs w:val="24"/>
        </w:rPr>
        <w:fldChar w:fldCharType="separate"/>
      </w:r>
      <w:r>
        <w:rPr>
          <w:rFonts w:cs="Times New Roman"/>
          <w:noProof/>
          <w:szCs w:val="24"/>
        </w:rPr>
        <w:t>(A. O. Olaniyan, 2015)</w:t>
      </w:r>
      <w:r>
        <w:rPr>
          <w:rFonts w:cs="Times New Roman"/>
          <w:szCs w:val="24"/>
        </w:rPr>
        <w:fldChar w:fldCharType="end"/>
      </w:r>
      <w:r>
        <w:rPr>
          <w:rFonts w:cs="Times New Roman"/>
          <w:szCs w:val="24"/>
        </w:rPr>
        <w:t xml:space="preserve">. </w:t>
      </w:r>
      <w:r>
        <w:rPr>
          <w:rFonts w:eastAsia="Times New Roman" w:cs="Times New Roman"/>
          <w:color w:val="000000"/>
          <w:szCs w:val="24"/>
          <w:highlight w:val="white"/>
        </w:rPr>
        <w:t xml:space="preserve">Mobility is an adaptation strategy used by pastoralists to cope with climate change variability and exploit the seasonal availability of grazing and water resources </w:t>
      </w:r>
      <w:r>
        <w:rPr>
          <w:rFonts w:eastAsia="Times New Roman" w:cs="Times New Roman"/>
          <w:color w:val="000000"/>
          <w:szCs w:val="24"/>
          <w:highlight w:val="white"/>
        </w:rPr>
        <w:fldChar w:fldCharType="begin" w:fldLock="1"/>
      </w:r>
      <w:r>
        <w:rPr>
          <w:rFonts w:eastAsia="Times New Roman" w:cs="Times New Roman"/>
          <w:color w:val="000000"/>
          <w:szCs w:val="24"/>
          <w:highlight w:val="white"/>
        </w:rPr>
        <w:instrText>ADDIN CSL_CITATION {"citationItems":[{"id":"ITEM-1","itemData":{"abstract":"… caused pastoralists to make cyclic movements into arable and agropastoral areas in … must have representation from the different actors concerned (pastoralists, farmers, agropastoralists) … and the host countries, while fully involving subregional pastoral organisations; • Develop …","author":[{"dropping-particle":"","family":"Alidou","given":"S M","non-dropping-particle":"","parse-names":false,"suffix":""}],"container-title":"CapEx in supporting pastoral development","id":"ITEM-1","issue":"February","issued":{"date-parts":[["2016"]]},"page":"8","title":"Cross-border transhumance corridors in West Africa","type":"article-journal"},"uris":["http://www.mendeley.com/documents/?uuid=c5ac5242-1fe8-4a94-952e-3d2ffa7d82cd"]}],"mendeley":{"formattedCitation":"(Alidou, 2016)","plainTextFormattedCitation":"(Alidou, 2016)","previouslyFormattedCitation":"(Alidou, 2016)"},"properties":{"noteIndex":0},"schema":"https://github.com/citation-style-language/schema/raw/master/csl-citation.json"}</w:instrText>
      </w:r>
      <w:r>
        <w:rPr>
          <w:rFonts w:eastAsia="Times New Roman" w:cs="Times New Roman"/>
          <w:color w:val="000000"/>
          <w:szCs w:val="24"/>
          <w:highlight w:val="white"/>
        </w:rPr>
        <w:fldChar w:fldCharType="separate"/>
      </w:r>
      <w:r>
        <w:rPr>
          <w:rFonts w:eastAsia="Times New Roman" w:cs="Times New Roman"/>
          <w:noProof/>
          <w:color w:val="000000"/>
          <w:szCs w:val="24"/>
          <w:highlight w:val="white"/>
        </w:rPr>
        <w:t>(Alidou, 2016)</w:t>
      </w:r>
      <w:r>
        <w:rPr>
          <w:rFonts w:eastAsia="Times New Roman" w:cs="Times New Roman"/>
          <w:color w:val="000000"/>
          <w:szCs w:val="24"/>
          <w:highlight w:val="white"/>
        </w:rPr>
        <w:fldChar w:fldCharType="end"/>
      </w:r>
      <w:r>
        <w:rPr>
          <w:rFonts w:eastAsia="Times New Roman" w:cs="Times New Roman"/>
          <w:color w:val="000000"/>
          <w:szCs w:val="24"/>
          <w:highlight w:val="white"/>
        </w:rPr>
        <w:t xml:space="preserve">. This gives herders the opportunity to exploit weight gain and milk production in the wet season and limit weight loss in the dry season </w:t>
      </w:r>
      <w:r>
        <w:rPr>
          <w:rFonts w:eastAsia="Times New Roman" w:cs="Times New Roman"/>
          <w:color w:val="000000"/>
          <w:szCs w:val="24"/>
          <w:highlight w:val="white"/>
        </w:rPr>
        <w:fldChar w:fldCharType="begin" w:fldLock="1"/>
      </w:r>
      <w:r>
        <w:rPr>
          <w:rFonts w:eastAsia="Times New Roman" w:cs="Times New Roman"/>
          <w:color w:val="000000"/>
          <w:szCs w:val="24"/>
          <w:highlight w:val="white"/>
        </w:rPr>
        <w:instrText>ADDIN CSL_CITATION {"citationItems":[{"id":"ITEM-1","itemData":{"ISBN":"9781784318284","abstract":"Page 1. Farmer-herder conflict in sub-Saharan Africa? Saverio Krätli and Camilla Toulmin Page 2. www.iied.org 1 Farmer-herder conflict in sub-Saharan Africa? Saverio Krätli and Camilla Toulmin Page 3. FARMER-HERDER CONFLICT IN SUB-SAHARAN AFRICA? 2 …","author":[{"dropping-particle":"","family":"Toulmin","given":"Camilla","non-dropping-particle":"","parse-names":false,"suffix":""},{"dropping-particle":"","family":"Krätli","given":"Saverio","non-dropping-particle":"","parse-names":false,"suffix":""}],"id":"ITEM-1","issued":{"date-parts":[["2020"]]},"number-of-pages":"1-104","title":"Farmer-herder conflict in sub-Saharan Africa?","type":"book"},"uris":["http://www.mendeley.com/documents/?uuid=f4b6e487-30a2-417f-9b0d-01bae560d722"]}],"mendeley":{"formattedCitation":"(Toulmin &amp; Krätli, 2020)","plainTextFormattedCitation":"(Toulmin &amp; Krätli, 2020)","previouslyFormattedCitation":"(Toulmin &amp; Krätli, 2020)"},"properties":{"noteIndex":0},"schema":"https://github.com/citation-style-language/schema/raw/master/csl-citation.json"}</w:instrText>
      </w:r>
      <w:r>
        <w:rPr>
          <w:rFonts w:eastAsia="Times New Roman" w:cs="Times New Roman"/>
          <w:color w:val="000000"/>
          <w:szCs w:val="24"/>
          <w:highlight w:val="white"/>
        </w:rPr>
        <w:fldChar w:fldCharType="separate"/>
      </w:r>
      <w:r>
        <w:rPr>
          <w:rFonts w:eastAsia="Times New Roman" w:cs="Times New Roman"/>
          <w:noProof/>
          <w:color w:val="000000"/>
          <w:szCs w:val="24"/>
          <w:highlight w:val="white"/>
        </w:rPr>
        <w:t>(Toulmin &amp; Krätli, 2020)</w:t>
      </w:r>
      <w:r>
        <w:rPr>
          <w:rFonts w:eastAsia="Times New Roman" w:cs="Times New Roman"/>
          <w:color w:val="000000"/>
          <w:szCs w:val="24"/>
          <w:highlight w:val="white"/>
        </w:rPr>
        <w:fldChar w:fldCharType="end"/>
      </w:r>
      <w:r>
        <w:rPr>
          <w:rFonts w:eastAsia="Times New Roman" w:cs="Times New Roman"/>
          <w:color w:val="000000"/>
          <w:szCs w:val="24"/>
          <w:highlight w:val="white"/>
        </w:rPr>
        <w:t xml:space="preserve">. Furthermore, it helps minimize the possible impacts of climate change and variability on livestock production </w:t>
      </w:r>
      <w:r>
        <w:rPr>
          <w:rFonts w:eastAsia="Times New Roman" w:cs="Times New Roman"/>
          <w:color w:val="000000"/>
          <w:szCs w:val="24"/>
          <w:highlight w:val="white"/>
        </w:rPr>
        <w:fldChar w:fldCharType="begin" w:fldLock="1"/>
      </w:r>
      <w:r>
        <w:rPr>
          <w:rFonts w:eastAsia="Times New Roman" w:cs="Times New Roman"/>
          <w:color w:val="000000"/>
          <w:szCs w:val="24"/>
          <w:highlight w:val="white"/>
        </w:rPr>
        <w:instrText>ADDIN CSL_CITATION {"citationItems":[{"id":"ITEM-1","itemData":{"DOI":"10.3390/su11184831","ISSN":"20711050","abstract":"To improve their ability to plan for and respond to potential negative impacts of climate shocks, such as droughts and dry spells, in the Sahelian agricultural production systems, many farmers have adopted diversified coping and adaptation strategies to secure their livelihoods. However, the scientific understanding of the key factors that determine the decisions that these pastoralist and agro-pastoralist households make, as well as the relation between existing human, social, natural, physical and financial assets and the adoption of adaptation practices at the household level has remained insufficient. Therefore, multivariate probit estimates were used to identify the key drivers of multiple adoption of climate-smart agro-pastoral adaptation practices in the Sudano-Sahelian zone of Burkina Faso. The results indicated that respondent households adopted a combination of adaptation practices rather than a single practice. Most of these practices aimed at enhancing household food security and livelihoods. Regarding the variables that are related to the adoption of these adaptation practices overall, a few assets were found to contribute significantly to the decision to adopt the assessed adaption practices. These include the possession of household and farm assets and equipment, membership in associations and assistance from government, farming experience of the household head, access to credit, as well as ownership and size of farmland. In addition, access to climate and agronomic information, as well as a household's location within a specifically dedicated pastoral zone, enhanced uptake of various adaptation practices in this study. Access to these assets and features hence plays a critical role in pastoralists' and agro-pastoralists' adaptive capacity. This study provides insights for policy makers in view of climate change adaptation and wider sustainable development planning in the Sudano-Sahelian zone of Africa.","author":[{"dropping-particle":"","family":"Zampaligré","given":"Nouhoun","non-dropping-particle":"","parse-names":false,"suffix":""},{"dropping-particle":"","family":"Fuchs","given":"Lisa Elena","non-dropping-particle":"","parse-names":false,"suffix":""}],"container-title":"Sustainability (Switzerland)","id":"ITEM-1","issue":"18","issued":{"date-parts":[["2019"]]},"page":"1-15","title":"Determinants of adoption of multiple climate-smart adaptation practices in Sudano-Sahelian pastoral and agro-pastoral production systems","type":"article-journal","volume":"11"},"uris":["http://www.mendeley.com/documents/?uuid=0e62c6ae-f393-4147-b93e-2adc94c59a21"]}],"mendeley":{"formattedCitation":"(Zampaligré &amp; Fuchs, 2019)","plainTextFormattedCitation":"(Zampaligré &amp; Fuchs, 2019)","previouslyFormattedCitation":"(Zampaligré &amp; Fuchs, 2019)"},"properties":{"noteIndex":0},"schema":"https://github.com/citation-style-language/schema/raw/master/csl-citation.json"}</w:instrText>
      </w:r>
      <w:r>
        <w:rPr>
          <w:rFonts w:eastAsia="Times New Roman" w:cs="Times New Roman"/>
          <w:color w:val="000000"/>
          <w:szCs w:val="24"/>
          <w:highlight w:val="white"/>
        </w:rPr>
        <w:fldChar w:fldCharType="separate"/>
      </w:r>
      <w:r>
        <w:rPr>
          <w:rFonts w:eastAsia="Times New Roman" w:cs="Times New Roman"/>
          <w:noProof/>
          <w:color w:val="000000"/>
          <w:szCs w:val="24"/>
          <w:highlight w:val="white"/>
        </w:rPr>
        <w:t>(Zampaligré &amp; Fuchs, 2019)</w:t>
      </w:r>
      <w:r>
        <w:rPr>
          <w:rFonts w:eastAsia="Times New Roman" w:cs="Times New Roman"/>
          <w:color w:val="000000"/>
          <w:szCs w:val="24"/>
          <w:highlight w:val="white"/>
        </w:rPr>
        <w:fldChar w:fldCharType="end"/>
      </w:r>
      <w:r>
        <w:rPr>
          <w:rFonts w:eastAsia="Times New Roman" w:cs="Times New Roman"/>
          <w:color w:val="000000"/>
          <w:szCs w:val="24"/>
          <w:highlight w:val="white"/>
        </w:rPr>
        <w:t xml:space="preserve">. Pastoralist across </w:t>
      </w:r>
      <w:r>
        <w:rPr>
          <w:rFonts w:eastAsia="Times New Roman" w:cs="Times New Roman"/>
          <w:color w:val="000000"/>
          <w:szCs w:val="24"/>
          <w:highlight w:val="white"/>
        </w:rPr>
        <w:lastRenderedPageBreak/>
        <w:t xml:space="preserve">the Sahel and </w:t>
      </w:r>
      <w:proofErr w:type="spellStart"/>
      <w:r>
        <w:rPr>
          <w:rFonts w:eastAsia="Times New Roman" w:cs="Times New Roman"/>
          <w:color w:val="000000"/>
          <w:szCs w:val="24"/>
          <w:highlight w:val="white"/>
        </w:rPr>
        <w:t>savanna</w:t>
      </w:r>
      <w:proofErr w:type="spellEnd"/>
      <w:r>
        <w:rPr>
          <w:rFonts w:eastAsia="Times New Roman" w:cs="Times New Roman"/>
          <w:color w:val="000000"/>
          <w:szCs w:val="24"/>
          <w:highlight w:val="white"/>
        </w:rPr>
        <w:t xml:space="preserve"> move towards north and southern part of Ghana because they have recognized the seasonal gains from these areas </w:t>
      </w:r>
      <w:r>
        <w:rPr>
          <w:rFonts w:eastAsia="Times New Roman" w:cs="Times New Roman"/>
          <w:color w:val="000000"/>
          <w:szCs w:val="24"/>
          <w:highlight w:val="white"/>
        </w:rPr>
        <w:fldChar w:fldCharType="begin" w:fldLock="1"/>
      </w:r>
      <w:r w:rsidR="00900D2E">
        <w:rPr>
          <w:rFonts w:eastAsia="Times New Roman" w:cs="Times New Roman"/>
          <w:color w:val="000000"/>
          <w:szCs w:val="24"/>
          <w:highlight w:val="white"/>
        </w:rPr>
        <w:instrText>ADDIN CSL_CITATION {"citationItems":[{"id":"ITEM-1","itemData":{"ISSN":"10932658","abstract":"The phenomenon of farmer-herders conflict across West Africa has prompted management strategies by several governments across the subcontinent. One of the conflict resolution mechanisms has been the policy of expulsion, which the Ghanaian state adopted as a response to incessant conflict between the settled agriculturalists and migrating Fulani herders. This paper focuses on migration and conflict as well as the intrigues and politics of expulsion of Fulani pastoralist from Agogo town in Ghana since 2009. There are multiple factors responsible for the migration of Fulani herders to Agogo area that are linked to climate change. We also examine the social and political factors triggering the expulsion as well as agitation to expel the Fulani. Counter to this we examine the Fulani reactions towards this development. Through this we also critique the policy of expulsion as a means of dealing with the pastoralist question. By means of a critical assessment of the conflict we offer strategies for policy and reconciliation.","author":[{"dropping-particle":"","family":"Olaniyan","given":"Azeez","non-dropping-particle":"","parse-names":false,"suffix":""},{"dropping-particle":"","family":"Francis","given":"Michael","non-dropping-particle":"","parse-names":false,"suffix":""},{"dropping-particle":"","family":"Okeke-Uzodike","given":"Ufo","non-dropping-particle":"","parse-names":false,"suffix":""}],"container-title":"African Studies Quarterly","id":"ITEM-1","issue":"2","issued":{"date-parts":[["2015"]]},"page":"53-67","title":"The cattle are \"ghanaians\" but the herders are strangers: Farmer-herder conflicts, expulsion policy, and pastoralist question in agogo, Ghana","type":"article-journal","volume":"15"},"uris":["http://www.mendeley.com/documents/?uuid=262dce73-7bd3-4252-9bee-ef89f1eb147e"]}],"mendeley":{"formattedCitation":"(A. Olaniyan et al., 2015)","plainTextFormattedCitation":"(A. Olaniyan et al., 2015)","previouslyFormattedCitation":"(A. Olaniyan et al., 2015)"},"properties":{"noteIndex":0},"schema":"https://github.com/citation-style-language/schema/raw/master/csl-citation.json"}</w:instrText>
      </w:r>
      <w:r>
        <w:rPr>
          <w:rFonts w:eastAsia="Times New Roman" w:cs="Times New Roman"/>
          <w:color w:val="000000"/>
          <w:szCs w:val="24"/>
          <w:highlight w:val="white"/>
        </w:rPr>
        <w:fldChar w:fldCharType="separate"/>
      </w:r>
      <w:r>
        <w:rPr>
          <w:rFonts w:eastAsia="Times New Roman" w:cs="Times New Roman"/>
          <w:noProof/>
          <w:color w:val="000000"/>
          <w:szCs w:val="24"/>
          <w:highlight w:val="white"/>
        </w:rPr>
        <w:t>(A. Olaniyan et al., 2015)</w:t>
      </w:r>
      <w:r>
        <w:rPr>
          <w:rFonts w:eastAsia="Times New Roman" w:cs="Times New Roman"/>
          <w:color w:val="000000"/>
          <w:szCs w:val="24"/>
          <w:highlight w:val="white"/>
        </w:rPr>
        <w:fldChar w:fldCharType="end"/>
      </w:r>
      <w:r>
        <w:rPr>
          <w:rFonts w:eastAsia="Times New Roman" w:cs="Times New Roman"/>
          <w:color w:val="000000"/>
          <w:szCs w:val="24"/>
          <w:highlight w:val="white"/>
        </w:rPr>
        <w:t>.</w:t>
      </w:r>
    </w:p>
    <w:p w:rsidR="00E53882" w:rsidRDefault="00B16FF7">
      <w:pPr>
        <w:spacing w:before="0" w:after="0" w:line="480" w:lineRule="auto"/>
        <w:rPr>
          <w:rFonts w:eastAsia="Times New Roman" w:cs="Times New Roman"/>
          <w:color w:val="000000"/>
          <w:szCs w:val="24"/>
          <w:highlight w:val="white"/>
        </w:rPr>
      </w:pPr>
      <w:r>
        <w:rPr>
          <w:rFonts w:cs="Times New Roman"/>
          <w:szCs w:val="24"/>
        </w:rPr>
        <w:t xml:space="preserve">This movement takes place from November to June each year, with the officially proclaimed mobility period being from January to May, as this corresponds to the dry season in Sahel countries when pastoral resources are scarce </w:t>
      </w:r>
      <w:r>
        <w:rPr>
          <w:rFonts w:cs="Times New Roman"/>
          <w:szCs w:val="24"/>
          <w:lang w:val="en-US"/>
        </w:rPr>
        <w:fldChar w:fldCharType="begin" w:fldLock="1"/>
      </w:r>
      <w:r w:rsidR="00900D2E">
        <w:rPr>
          <w:rFonts w:cs="Times New Roman"/>
          <w:szCs w:val="24"/>
        </w:rPr>
        <w:instrText>ADDIN CSL_CITATION {"citationItems":[{"id":"ITEM-1","itemData":{"DOI":"10.1017/S1751731120001378","ISSN":"1751732X","PMID":"32618549","abstract":"For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-1","issue":"11","issued":{"date-parts":[["2020"]]},"page":"2378-2386","publisher":"Elsevier","title":"The role of cross-border transhumance in influencing resident herders’ cattle husbandry practices and use of genetic resources","type":"article-journal","volume":"14"},"uris":["http://www.mendeley.com/documents/?uuid=aeaac0bd-2ff0-4b89-a6ae-3e140cdd6193"]},{"id":"ITEM-2","itemData":{"DOI":"10.2989/10220119.2022.2160012","ISSN":"17279380","abstract":"The Economic Community of West African States (ECOWAS) recognises transhumance pastoralism as a beneficial livestock production system that can contribute to food security together with economic and political stability. Thus, the subregional bloc put together the ECOWAS Protocol on Transhumance and supporting regulations to actualise these benefits. These policies seek to regulate transhumance pastoralism by ensuring that herd movements are along defined migratory corridors among member states. This review assesses the importance of transhumance pastoralism in West Africa, local and cross-border policies, and associated challenges, with emphasis on herder–farmer conflicts. It was realised that the movement of large numbers of livestock into rangelands (1) provides employment for many, and thus improves livelihoods; (2) improves productivity through high milk production and high fertility; (3) reduces moribund and combustible forage materials in the dry season; and (4) enhances seed dispersal, soil fertility and plant diversity on rangelands. This review shows that the ECOWAS cross-border transhumance protocols have led to infrastructural developments in some member states, but the partial enforcement of protocols has led to herder–farmer conflicts. We conclude that transhumance pastoralism and the regulatory policies have several benefits. However, to ensure policy compliance and avoid herder–farmer conflicts, the policies need to be reviewed and discernible gaps eliminated.","author":[{"dropping-particle":"","family":"Timpong-Jones","given":"Eric Cofie","non-dropping-particle":"","parse-names":false,"suffix":""},{"dropping-particle":"","family":"Samuels","given":"Igshaan","non-dropping-particle":"","parse-names":false,"suffix":""},{"dropping-particle":"","family":"Sarkwa","given":"Felix Owusu","non-dropping-particle":"","parse-names":false,"suffix":""},{"dropping-particle":"","family":"Oppong-Anane","given":"Kwame","non-dropping-particle":"","parse-names":false,"suffix":""},{"dropping-particle":"","family":"Majekodumni","given":"Ayodele Oluwakemi","non-dropping-particle":"","parse-names":false,"suffix":""}],"container-title":"African Journal of Range and Forage Science","id":"ITEM-2","issue":"1","issued":{"date-parts":[["2023"]]},"page":"114-128","title":"Transhumance pastoralism in West Africa–its importance, policies and challenges","type":"article-journal","volume":"40"},"uris":["http://www.mendeley.com/documents/?uuid=2d55fc9b-ec87-4f4c-bfea-9b8253785574"]}],"mendeley":{"formattedCitation":"(Houessou et al., 2020; Timpong-Jones et al., 2023)","plainTextFormattedCitation":"(Houessou et al., 2020; Timpong-Jones et al., 2023)","previouslyFormattedCitation":"(Houessou et al., 2020; Timpong-Jones et al., 2023)"},"properties":{"noteIndex":0},"schema":"https://github.com/citation-style-language/schema/raw/master/csl-citation.json"}</w:instrText>
      </w:r>
      <w:r>
        <w:rPr>
          <w:rFonts w:cs="Times New Roman"/>
          <w:szCs w:val="24"/>
          <w:lang w:val="en-US"/>
        </w:rPr>
        <w:fldChar w:fldCharType="separate"/>
      </w:r>
      <w:r>
        <w:rPr>
          <w:rFonts w:cs="Times New Roman"/>
          <w:noProof/>
          <w:szCs w:val="24"/>
          <w:lang w:val="fr-FR"/>
        </w:rPr>
        <w:t>(Houessou et al., 2020; Timpong-Jones et al., 2023)</w:t>
      </w:r>
      <w:r>
        <w:rPr>
          <w:rFonts w:cs="Times New Roman"/>
          <w:szCs w:val="24"/>
        </w:rPr>
        <w:fldChar w:fldCharType="end"/>
      </w:r>
      <w:r>
        <w:rPr>
          <w:lang w:val="fr-FR"/>
        </w:rPr>
        <w:t xml:space="preserve">. </w:t>
      </w:r>
      <w:r>
        <w:rPr>
          <w:rFonts w:eastAsia="Calibri" w:cs="Times New Roman"/>
          <w:color w:val="000000"/>
          <w:szCs w:val="24"/>
          <w:shd w:val="clear" w:color="auto" w:fill="FFFFFF"/>
        </w:rPr>
        <w:t xml:space="preserve">During this period, pasture grass completely dries up and is consumed by bushfires. Points and planes of water become scarce or completely dry up. This situation is aggravated by the desertification of soils and spaces, which reduces productivity by pasture biomass </w:t>
      </w:r>
      <w:r>
        <w:rPr>
          <w:rFonts w:eastAsia="Calibri" w:cs="Times New Roman"/>
          <w:color w:val="000000"/>
          <w:szCs w:val="24"/>
          <w:shd w:val="clear" w:color="auto" w:fill="FFFFFF"/>
        </w:rPr>
        <w:fldChar w:fldCharType="begin" w:fldLock="1"/>
      </w:r>
      <w:r>
        <w:rPr>
          <w:rFonts w:eastAsia="Calibri" w:cs="Times New Roman"/>
          <w:color w:val="000000"/>
          <w:szCs w:val="24"/>
          <w:shd w:val="clear" w:color="auto" w:fill="FFFFFF"/>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eastAsia="Calibri" w:cs="Times New Roman"/>
          <w:color w:val="000000"/>
          <w:szCs w:val="24"/>
          <w:shd w:val="clear" w:color="auto" w:fill="FFFFFF"/>
        </w:rPr>
        <w:fldChar w:fldCharType="separate"/>
      </w:r>
      <w:r>
        <w:rPr>
          <w:rFonts w:eastAsia="Calibri" w:cs="Times New Roman"/>
          <w:noProof/>
          <w:color w:val="000000"/>
          <w:szCs w:val="24"/>
          <w:shd w:val="clear" w:color="auto" w:fill="FFFFFF"/>
        </w:rPr>
        <w:t>(Ouoba-Ima, 2018)</w:t>
      </w:r>
      <w:r>
        <w:rPr>
          <w:rFonts w:eastAsia="Calibri" w:cs="Times New Roman"/>
          <w:color w:val="000000"/>
          <w:szCs w:val="24"/>
          <w:shd w:val="clear" w:color="auto" w:fill="FFFFFF"/>
        </w:rPr>
        <w:fldChar w:fldCharType="end"/>
      </w:r>
      <w:r>
        <w:rPr>
          <w:rFonts w:eastAsia="Calibri" w:cs="Times New Roman"/>
          <w:color w:val="000000"/>
          <w:szCs w:val="24"/>
          <w:shd w:val="clear" w:color="auto" w:fill="FFFFFF"/>
        </w:rPr>
        <w:t xml:space="preserve">. </w:t>
      </w:r>
      <w:r>
        <w:rPr>
          <w:rFonts w:cs="Times New Roman"/>
          <w:szCs w:val="24"/>
        </w:rPr>
        <w:t xml:space="preserve">Pastoralists livestock production is affected during this period </w:t>
      </w:r>
      <w:r>
        <w:rPr>
          <w:rFonts w:eastAsia="Calibri" w:cs="Times New Roman"/>
          <w:color w:val="000000"/>
          <w:szCs w:val="24"/>
          <w:shd w:val="clear" w:color="auto" w:fill="FFFFFF"/>
        </w:rPr>
        <w:fldChar w:fldCharType="begin" w:fldLock="1"/>
      </w:r>
      <w:r>
        <w:rPr>
          <w:rFonts w:eastAsia="Calibri" w:cs="Times New Roman"/>
          <w:color w:val="000000"/>
          <w:szCs w:val="24"/>
          <w:shd w:val="clear" w:color="auto" w:fill="FFFFFF"/>
        </w:rPr>
        <w:instrText>ADDIN CSL_CITATION {"citationItems":[{"id":"ITEM-1","itemData":{"ISBN":"9781784318284","abstract":"Page 1. Farmer-herder conflict in sub-Saharan Africa? Saverio Krätli and Camilla Toulmin Page 2. www.iied.org 1 Farmer-herder conflict in sub-Saharan Africa? Saverio Krätli and Camilla Toulmin Page 3. FARMER-HERDER CONFLICT IN SUB-SAHARAN AFRICA? 2 …","author":[{"dropping-particle":"","family":"Toulmin","given":"Camilla","non-dropping-particle":"","parse-names":false,"suffix":""},{"dropping-particle":"","family":"Krätli","given":"Saverio","non-dropping-particle":"","parse-names":false,"suffix":""}],"id":"ITEM-1","issued":{"date-parts":[["2020"]]},"number-of-pages":"1-104","title":"Farmer-herder conflict in sub-Saharan Africa?","type":"book"},"uris":["http://www.mendeley.com/documents/?uuid=f4b6e487-30a2-417f-9b0d-01bae560d722"]}],"mendeley":{"formattedCitation":"(Toulmin &amp; Krätli, 2020)","plainTextFormattedCitation":"(Toulmin &amp; Krätli, 2020)","previouslyFormattedCitation":"(Toulmin &amp; Krätli, 2020)"},"properties":{"noteIndex":0},"schema":"https://github.com/citation-style-language/schema/raw/master/csl-citation.json"}</w:instrText>
      </w:r>
      <w:r>
        <w:rPr>
          <w:rFonts w:eastAsia="Calibri" w:cs="Times New Roman"/>
          <w:color w:val="000000"/>
          <w:szCs w:val="24"/>
          <w:shd w:val="clear" w:color="auto" w:fill="FFFFFF"/>
        </w:rPr>
        <w:fldChar w:fldCharType="separate"/>
      </w:r>
      <w:r>
        <w:rPr>
          <w:rFonts w:eastAsia="Calibri" w:cs="Times New Roman"/>
          <w:noProof/>
          <w:color w:val="000000"/>
          <w:szCs w:val="24"/>
          <w:shd w:val="clear" w:color="auto" w:fill="FFFFFF"/>
        </w:rPr>
        <w:t>(Toulmin &amp; Krätli, 2020)</w:t>
      </w:r>
      <w:r>
        <w:rPr>
          <w:rFonts w:eastAsia="Calibri" w:cs="Times New Roman"/>
          <w:color w:val="000000"/>
          <w:szCs w:val="24"/>
          <w:shd w:val="clear" w:color="auto" w:fill="FFFFFF"/>
        </w:rPr>
        <w:fldChar w:fldCharType="end"/>
      </w:r>
      <w:r>
        <w:rPr>
          <w:rFonts w:cs="Times New Roman"/>
          <w:szCs w:val="24"/>
        </w:rPr>
        <w:t xml:space="preserve">, forcing them to relocate to other places </w:t>
      </w:r>
      <w:r>
        <w:rPr>
          <w:rFonts w:cs="Times New Roman"/>
          <w:szCs w:val="24"/>
        </w:rPr>
        <w:fldChar w:fldCharType="begin" w:fldLock="1"/>
      </w:r>
      <w:r>
        <w:rPr>
          <w:rFonts w:cs="Times New Roman"/>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cs="Times New Roman"/>
          <w:szCs w:val="24"/>
        </w:rPr>
        <w:fldChar w:fldCharType="separate"/>
      </w:r>
      <w:r>
        <w:rPr>
          <w:rFonts w:cs="Times New Roman"/>
          <w:noProof/>
          <w:szCs w:val="24"/>
        </w:rPr>
        <w:t>(Ouoba-Ima, 2018)</w:t>
      </w:r>
      <w:r>
        <w:rPr>
          <w:rFonts w:cs="Times New Roman"/>
          <w:szCs w:val="24"/>
        </w:rPr>
        <w:fldChar w:fldCharType="end"/>
      </w:r>
      <w:r>
        <w:rPr>
          <w:rFonts w:cs="Times New Roman"/>
          <w:szCs w:val="24"/>
        </w:rPr>
        <w:t xml:space="preserve">. </w:t>
      </w:r>
      <w:r>
        <w:rPr>
          <w:rFonts w:eastAsia="Calibri" w:cs="Times New Roman"/>
          <w:color w:val="000000"/>
          <w:szCs w:val="24"/>
          <w:shd w:val="clear" w:color="auto" w:fill="FFFFFF"/>
        </w:rPr>
        <w:t xml:space="preserve">This mobility patterns are changing mainly due to the melee over the usage of land </w:t>
      </w:r>
      <w:r>
        <w:rPr>
          <w:rFonts w:eastAsia="Calibri" w:cs="Times New Roman"/>
          <w:color w:val="000000"/>
          <w:szCs w:val="24"/>
          <w:shd w:val="clear" w:color="auto" w:fill="FFFFFF"/>
        </w:rPr>
        <w:fldChar w:fldCharType="begin" w:fldLock="1"/>
      </w:r>
      <w:r>
        <w:rPr>
          <w:rFonts w:eastAsia="Calibri" w:cs="Times New Roman"/>
          <w:color w:val="000000"/>
          <w:szCs w:val="24"/>
          <w:shd w:val="clear" w:color="auto" w:fill="FFFFFF"/>
        </w:rPr>
        <w:instrText>ADDIN CSL_CITATION {"citationItems":[{"id":"ITEM-1","itemData":{"abstract":"The mandate of the Department of Rural Economy and Agriculture of the African Union Commission is to initiate and promote policies that can contribute to the development of rural economy and improve livelihoods through increasing agricultural productivity, ensuring food security, and enhancing sustainable use and management of Africa’s natural resources. African pastoralism is defined by a high reliance on livestock as a source of economic and social wellbeing, and various types of strategic mobility to access water and grazing resources in areas of high rainfall variability. Pastoralism is found in all regions of Africa and in some regions, is the dominant livelihoods system. Pastoralists supply very substantial numbers of livestock to domestic, regional and international markets and therefore, make crucial – but often undervalued – contributions to national and regional economies in Africa. Their production systems are highly adaptive, constantly responding to market and climatic trends. Pastoralist culture is part of the cultural heritage of Africa, and animal and plant resources in pastoral areas comprise one of the most important types of genetic resource on the continent. Against these positive aspects of pastoralism is the reality that human development and food security indicators for many pastoral areas of Africa are among the lowest on the continent, and in some cases, worsening. Drawing on extensive regional expert consultations conducted since 2007, the Policy Framework for Pastoralism in Africa is the first continent-wide policy initiative which aims to secure, protect and improve the lives, livelihoods and rights of African pastoralists. The policy framework is a platform for mobilizing and coordinating political commitment to pastoral development in Africa, and emphasizes the need to fully involve pastoralist women and men in the national and regional development processes from which they are supposed to benefit. The framework also emphasizes the regional nature of many pastoralist ecosystems in Africa and therefore, the need to support and harmonize policies across the Regional Economic Communities and Member States.","author":[{"dropping-particle":"","family":"African Union","given":"African","non-dropping-particle":"","parse-names":false,"suffix":""}],"container-title":"www.cta.int","id":"ITEM-1","issued":{"date-parts":[["2013"]]},"number-of-pages":"8-47","publisher-place":"Addis Ababa, Ethopia","title":"SECURING, PROTECTING AND IMPROVING THE LIVES, LIVELIHOODS AND RIGHTS OF PASTORALIST COMMUNITIES","type":"report"},"uris":["http://www.mendeley.com/documents/?uuid=782841ef-8fa0-4686-951e-2dde1b609cdd"]},{"id":"ITEM-2","itemData":{"DOI":"10.1155/2018/8710402","ISSN":"20423195","abstract":"This paper addresses the relationship between land use and mobility patterns. Since each particular zone directly feeds the global mobility once acting as origin of trips and others as destination, both roles are simultaneously used for predicting land uses. Specifically this investigation uses mobility data derived from mobile phones, a technology that emerges as a useful, quick data source on people's daily mobility, collected during two weeks over the urban area of Malaga (Spain). This allows exploring the relevance of integrating weekday-weekend trip information to better determine the category of land use. First, this work classifies patterns on trips originated and terminated in each zone into groups by means of a clustering approach. Based on identifiable relationships between activity and times when travel peaks appear, a preliminary categorization of uses is provided. Then, both grouping results are used as input variables in a K-nearest neighbors (KNN) classification model to determine the exact land use. The KNN method assumes that the category of an object must be similar to the category of the closest neighbors. After training the models, the findings reveal that this approach provides a precise land use categorization, yielding the best accuracy results for the major categories of land uses in the studied area. Moreover, as a result, the weekend data certainly contributes to finding more precise land uses as those obtained by just weekday data. In particular, the percentage of correctly predicted categories using both weekday and weekend is around 80%, while just weekday data reach 67%. The comparison with actual land uses also demonstrates that this approach is able to provide useful information, identifying zones with a specific clear dominant use (residential, industrial, and commercial), as well as multiactivity zones (mixed). This fact is especially useful in the context of urban environments where multiple activities coexist.","author":[{"dropping-particle":"","family":"Caceres","given":"Noelia","non-dropping-particle":"","parse-names":false,"suffix":""},{"dropping-particle":"","family":"Benitez","given":"Francisco G.","non-dropping-particle":"","parse-names":false,"suffix":""}],"container-title":"Journal of Advanced Transportation","id":"ITEM-2","issued":{"date-parts":[["2018"]]},"title":"Supervised Land Use Inference from Mobility Patterns","type":"article-journal","volume":"2018"},"uris":["http://www.mendeley.com/documents/?uuid=08d6657e-f807-46f2-97df-82b96aeed817"]}],"mendeley":{"formattedCitation":"(African Union, 2013; Caceres &amp; Benitez, 2018)","plainTextFormattedCitation":"(African Union, 2013; Caceres &amp; Benitez, 2018)","previouslyFormattedCitation":"(African Union, 2013; Caceres &amp; Benitez, 2018)"},"properties":{"noteIndex":0},"schema":"https://github.com/citation-style-language/schema/raw/master/csl-citation.json"}</w:instrText>
      </w:r>
      <w:r>
        <w:rPr>
          <w:rFonts w:eastAsia="Calibri" w:cs="Times New Roman"/>
          <w:color w:val="000000"/>
          <w:szCs w:val="24"/>
          <w:shd w:val="clear" w:color="auto" w:fill="FFFFFF"/>
        </w:rPr>
        <w:fldChar w:fldCharType="separate"/>
      </w:r>
      <w:r>
        <w:rPr>
          <w:rFonts w:eastAsia="Calibri" w:cs="Times New Roman"/>
          <w:noProof/>
          <w:color w:val="000000"/>
          <w:szCs w:val="24"/>
          <w:shd w:val="clear" w:color="auto" w:fill="FFFFFF"/>
        </w:rPr>
        <w:t>(African Union, 2013; Caceres &amp; Benitez, 2018)</w:t>
      </w:r>
      <w:r>
        <w:rPr>
          <w:rFonts w:eastAsia="Calibri" w:cs="Times New Roman"/>
          <w:color w:val="000000"/>
          <w:szCs w:val="24"/>
          <w:shd w:val="clear" w:color="auto" w:fill="FFFFFF"/>
        </w:rPr>
        <w:fldChar w:fldCharType="end"/>
      </w:r>
      <w:r>
        <w:rPr>
          <w:rFonts w:eastAsia="Calibri" w:cs="Times New Roman"/>
          <w:color w:val="000000"/>
          <w:szCs w:val="24"/>
          <w:shd w:val="clear" w:color="auto" w:fill="FFFFFF"/>
        </w:rPr>
        <w:t>.</w:t>
      </w:r>
      <w:r>
        <w:rPr>
          <w:rFonts w:cs="Times New Roman"/>
          <w:szCs w:val="24"/>
        </w:rPr>
        <w:t xml:space="preserve"> </w:t>
      </w:r>
      <w:r>
        <w:rPr>
          <w:rFonts w:eastAsia="Times New Roman" w:cs="Times New Roman"/>
          <w:color w:val="000000"/>
          <w:szCs w:val="24"/>
          <w:highlight w:val="white"/>
        </w:rPr>
        <w:t xml:space="preserve">Pastoral lifestyles vary, from nomads who have no permanent abode and migrate with their families and herds, to settled agro-pastoralists who have houses and farms but move their herds between grazing areas to access patchy resources </w:t>
      </w:r>
      <w:r>
        <w:rPr>
          <w:rFonts w:eastAsia="Times New Roman" w:cs="Times New Roman"/>
          <w:color w:val="000000"/>
          <w:szCs w:val="24"/>
          <w:highlight w:val="white"/>
        </w:rPr>
        <w:fldChar w:fldCharType="begin" w:fldLock="1"/>
      </w:r>
      <w:r>
        <w:rPr>
          <w:rFonts w:eastAsia="Times New Roman" w:cs="Times New Roman"/>
          <w:color w:val="000000"/>
          <w:szCs w:val="24"/>
          <w:highlight w:val="white"/>
        </w:rPr>
        <w:instrText>ADDIN CSL_CITATION {"citationItems":[{"id":"ITEM-1","itemData":{"author":[{"dropping-particle":"","family":"UNOWAS","given":"","non-dropping-particle":"","parse-names":false,"suffix":""}],"id":"ITEM-1","issued":{"date-parts":[["2018"]]},"page":"1-90","title":"Pastoralism and Security in West Africa and the Sahel Towards Peaceful Coexistence","type":"article-journal"},"uris":["http://www.mendeley.com/documents/?uuid=fad55a2b-c4ed-4e02-85c0-7a3784ec1d1d"]}],"mendeley":{"formattedCitation":"(UNOWAS, 2018)","plainTextFormattedCitation":"(UNOWAS, 2018)","previouslyFormattedCitation":"(UNOWAS, 2018)"},"properties":{"noteIndex":0},"schema":"https://github.com/citation-style-language/schema/raw/master/csl-citation.json"}</w:instrText>
      </w:r>
      <w:r>
        <w:rPr>
          <w:rFonts w:eastAsia="Times New Roman" w:cs="Times New Roman"/>
          <w:color w:val="000000"/>
          <w:szCs w:val="24"/>
          <w:highlight w:val="white"/>
        </w:rPr>
        <w:fldChar w:fldCharType="separate"/>
      </w:r>
      <w:r>
        <w:rPr>
          <w:rFonts w:eastAsia="Times New Roman" w:cs="Times New Roman"/>
          <w:noProof/>
          <w:color w:val="000000"/>
          <w:szCs w:val="24"/>
          <w:highlight w:val="white"/>
        </w:rPr>
        <w:t>(UNOWAS, 2018)</w:t>
      </w:r>
      <w:r>
        <w:rPr>
          <w:rFonts w:eastAsia="Times New Roman" w:cs="Times New Roman"/>
          <w:color w:val="000000"/>
          <w:szCs w:val="24"/>
          <w:highlight w:val="white"/>
        </w:rPr>
        <w:fldChar w:fldCharType="end"/>
      </w:r>
      <w:r>
        <w:rPr>
          <w:rFonts w:eastAsia="Times New Roman" w:cs="Times New Roman"/>
          <w:color w:val="000000"/>
          <w:szCs w:val="24"/>
          <w:highlight w:val="white"/>
        </w:rPr>
        <w:t xml:space="preserve">. </w:t>
      </w:r>
    </w:p>
    <w:p w:rsidR="00E53882" w:rsidRDefault="00E53882">
      <w:pPr>
        <w:spacing w:before="0" w:after="0" w:line="480" w:lineRule="auto"/>
        <w:rPr>
          <w:rFonts w:eastAsia="Times New Roman" w:cs="Times New Roman"/>
          <w:color w:val="000000"/>
          <w:szCs w:val="24"/>
          <w:highlight w:val="white"/>
        </w:rPr>
      </w:pPr>
    </w:p>
    <w:p w:rsidR="00E53882" w:rsidRPr="00204C37" w:rsidRDefault="00B16FF7" w:rsidP="00204C37">
      <w:pPr>
        <w:spacing w:before="0" w:after="0" w:line="480" w:lineRule="auto"/>
        <w:rPr>
          <w:rFonts w:cs="Times New Roman"/>
          <w:szCs w:val="24"/>
        </w:rPr>
      </w:pPr>
      <w:r>
        <w:rPr>
          <w:rFonts w:eastAsia="Times New Roman" w:cs="Times New Roman"/>
          <w:color w:val="000000"/>
          <w:szCs w:val="24"/>
        </w:rPr>
        <w:t>I</w:t>
      </w:r>
      <w:r>
        <w:rPr>
          <w:rFonts w:cs="Times New Roman"/>
          <w:szCs w:val="24"/>
        </w:rPr>
        <w:t xml:space="preserve">n Ghana, particularly in the Northern region, a significant number of pastoralists who started migrating from neighbouring countries like Mali, Burkina Faso, and Niger since the late 1980s, typically opt for permanent settlements </w:t>
      </w:r>
      <w:r>
        <w:rPr>
          <w:rFonts w:cs="Times New Roman"/>
          <w:szCs w:val="24"/>
        </w:rPr>
        <w:fldChar w:fldCharType="begin" w:fldLock="1"/>
      </w:r>
      <w:r w:rsidR="00900D2E">
        <w:rPr>
          <w:rFonts w:cs="Times New Roman"/>
          <w:szCs w:val="24"/>
        </w:rPr>
        <w:instrText>ADDIN CSL_CITATION {"citationItems":[{"id":"ITEM-1","itemData":{"ISSN":"10932658","abstract":"The phenomenon of farmer-herders conflict across West Africa has prompted management strategies by several governments across the subcontinent. One of the conflict resolution mechanisms has been the policy of expulsion, which the Ghanaian state adopted as a response to incessant conflict between the settled agriculturalists and migrating Fulani herders. This paper focuses on migration and conflict as well as the intrigues and politics of expulsion of Fulani pastoralist from Agogo town in Ghana since 2009. There are multiple factors responsible for the migration of Fulani herders to Agogo area that are linked to climate change. We also examine the social and political factors triggering the expulsion as well as agitation to expel the Fulani. Counter to this we examine the Fulani reactions towards this development. Through this we also critique the policy of expulsion as a means of dealing with the pastoralist question. By means of a critical assessment of the conflict we offer strategies for policy and reconciliation.","author":[{"dropping-particle":"","family":"Olaniyan","given":"Azeez","non-dropping-particle":"","parse-names":false,"suffix":""},{"dropping-particle":"","family":"Francis","given":"Michael","non-dropping-particle":"","parse-names":false,"suffix":""},{"dropping-particle":"","family":"Okeke-Uzodike","given":"Ufo","non-dropping-particle":"","parse-names":false,"suffix":""}],"container-title":"African Studies Quarterly","id":"ITEM-1","issue":"2","issued":{"date-parts":[["2015"]]},"page":"53-67","title":"The cattle are \"ghanaians\" but the herders are strangers: Farmer-herder conflicts, expulsion policy, and pastoralist question in agogo, Ghana","type":"article-journal","volume":"15"},"uris":["http://www.mendeley.com/documents/?uuid=262dce73-7bd3-4252-9bee-ef89f1eb147e"]},{"id":"ITEM-2","itemData":{"DOI":"10.1002/crq.21346","ISSN":"15411508","abstract":"Climate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Quarterly","id":"ITEM-2","issue":"4","issued":{"date-parts":[["2022"]]},"page":"421-439","title":"Climate change, migration and farmer–herder conflict in Ghana","type":"article-journal","volume":"39"},"uris":["http://www.mendeley.com/documents/?uuid=9040542a-42d0-4963-951f-59dbae297b95"]}],"mendeley":{"formattedCitation":"(Issifu et al., 2022; A. Olaniyan et al., 2015)","plainTextFormattedCitation":"(Issifu et al., 2022; A. Olaniyan et al., 2015)","previouslyFormattedCitation":"(Issifu et al., 2022; A. Olaniyan et al., 2015)"},"properties":{"noteIndex":0},"schema":"https://github.com/citation-style-language/schema/raw/master/csl-citation.json"}</w:instrText>
      </w:r>
      <w:r>
        <w:rPr>
          <w:rFonts w:cs="Times New Roman"/>
          <w:szCs w:val="24"/>
        </w:rPr>
        <w:fldChar w:fldCharType="separate"/>
      </w:r>
      <w:r>
        <w:rPr>
          <w:rFonts w:cs="Times New Roman"/>
          <w:noProof/>
          <w:szCs w:val="24"/>
        </w:rPr>
        <w:t>(Issifu et al., 2022; A. Olaniyan et al., 2015)</w:t>
      </w:r>
      <w:r>
        <w:rPr>
          <w:rFonts w:cs="Times New Roman"/>
          <w:szCs w:val="24"/>
        </w:rPr>
        <w:fldChar w:fldCharType="end"/>
      </w:r>
      <w:r>
        <w:rPr>
          <w:rFonts w:cs="Times New Roman"/>
          <w:szCs w:val="24"/>
        </w:rPr>
        <w:t xml:space="preserve">. Despite the gradual reduction in the area's vegetation cover, it continues to serve as a habitat for pastoralists and their livestock. </w:t>
      </w:r>
      <w:r>
        <w:rPr>
          <w:rFonts w:eastAsia="Calibri" w:cs="Times New Roman"/>
          <w:szCs w:val="24"/>
          <w:shd w:val="clear" w:color="auto" w:fill="FFFFFF"/>
        </w:rPr>
        <w:t xml:space="preserve">However, even though they have opted for permanent settlement in the study area, they continue to practice mobility both inside and outside the area, </w:t>
      </w:r>
      <w:r>
        <w:rPr>
          <w:rFonts w:cs="Times New Roman"/>
          <w:vanish/>
          <w:szCs w:val="24"/>
        </w:rPr>
        <w:t>Top of Form</w:t>
      </w:r>
      <w:r>
        <w:rPr>
          <w:rFonts w:eastAsia="Calibri" w:cs="Times New Roman"/>
          <w:szCs w:val="24"/>
          <w:shd w:val="clear" w:color="auto" w:fill="FFFFFF"/>
        </w:rPr>
        <w:t xml:space="preserve">but the role of climate change in </w:t>
      </w:r>
      <w:r>
        <w:rPr>
          <w:rFonts w:cs="Times New Roman"/>
          <w:szCs w:val="24"/>
        </w:rPr>
        <w:t xml:space="preserve">these movements has not been extensively established, </w:t>
      </w:r>
      <w:r>
        <w:rPr>
          <w:rFonts w:cs="Times New Roman"/>
          <w:szCs w:val="24"/>
        </w:rPr>
        <w:lastRenderedPageBreak/>
        <w:t>and the relationship between climate change and these movements remains unclear</w:t>
      </w:r>
      <w:r>
        <w:rPr>
          <w:rFonts w:eastAsia="Calibri" w:cs="Times New Roman"/>
          <w:szCs w:val="24"/>
          <w:shd w:val="clear" w:color="auto" w:fill="FFFFFF"/>
        </w:rPr>
        <w:t xml:space="preserve"> </w:t>
      </w:r>
      <w:r>
        <w:rPr>
          <w:rFonts w:eastAsia="Calibri" w:cs="Times New Roman"/>
          <w:szCs w:val="24"/>
          <w:shd w:val="clear" w:color="auto" w:fill="FFFFFF"/>
        </w:rPr>
        <w:fldChar w:fldCharType="begin" w:fldLock="1"/>
      </w:r>
      <w:r w:rsidR="00900D2E">
        <w:rPr>
          <w:rFonts w:eastAsia="Calibri" w:cs="Times New Roman"/>
          <w:szCs w:val="24"/>
          <w:shd w:val="clear" w:color="auto" w:fill="FFFFFF"/>
        </w:rPr>
        <w:instrText>ADDIN CSL_CITATION {"citationItems":[{"id":"ITEM-1","itemData":{"ISBN":"9987753922","abstract":"Cover; Title page; Copyright page; Contents; List of figures, pl ates and tables; Foreword; About the Authors; PART I -- Introduction; CHAPTER 1 -- Pastoralism for a Sustainable Future in East Africa -- An Introduction; An Overview; Understanding the Pastoral Production Systems; Vulnerability and Responses to Climate Change Shocks and Stresses in Pastoral Communities; Pastoral Knowledge Systems and Resilience to Climate Change; Policy Concerns in East Africa in Relation to Pastoralists; Contribution of Pastoralism to National Economies; References CHAPTER 2 -- A Photographic Introduction to Pastoralism in Tanzania by Vedasto Msungu, photographs taken in 2016 in northern TanzaniaCHAPTER 3 -- Understanding the Pastoral Production System of East Africa; Introduction; Understanding Rangeland Dynamics and their Variability in Semi-Arid Lands of East Africa; Pastoralism -- Its Importance and Negligence; Sustainability of the Pastoral Production System; Conclusion; References; CHAPTER 4 -- The Impacts of Climate Change on the Pastoral System in East Africa; Background; Climate Change Impacts on Rangelands Climate Change Impacts on Livestock ProductionClimate Change Impacts on Communities; Sustainability of Pastoralism under Climate Change; References; PART II -- Vulnerability and Responses to Climate Change Shocks and Stresses in Pastoral Communities; CHAPTER 5 -- Dimensions of Vulnerability to Climate Change and Variability in Pastoral Production Systems of East Africa; Introduction; Exposure to Climate Change and Variability; Sensitivity to Climate Change and Variability; Adaptive Capacity of East African Pastoral Systems; Conclusion; References CHAPTER 6 -- Role of Culture and Gender in Shaping Rangeland Management and AdaptationIntroduction; Pastoralists of East Africa; Culture and Pastoralism; Culture, Gender Roles and Responsibilities among Pastoral Societies in East Africa; Gender and Climate Change; Contribution of Culture and Gender to Climate Change Adaptation Traditional Coping Strategies for Pastoralists; Livestock mobility; Herd diversification; Livelihood diversification; Cultural Institutions for Climate Change Adaptation; References; PART III -- Pastoral Knowledge Systems and Resilience to Climate Change CHAPTER 7 -- The Technical and Social Knowledge Systems of Pastoral Mobility in East AfricaIntroduction; Pastoralism as a Livelihood System; Understanding the system; Perceptions of Pastoral Mobility Patterns; The Role of Pastoral Knowledge Sys…","author":[{"dropping-particle":"","family":"Nassef","given":"Magda","non-dropping-particle":"","parse-names":false,"suffix":""},{"dropping-particle":"","family":"Anderson","given":"Simon","non-dropping-particle":"","parse-names":false,"suffix":""},{"dropping-particle":"","family":"Ced Hesse","given":"","non-dropping-particle":"","parse-names":false,"suffix":""}],"id":"ITEM-1","issue":"April","issued":{"date-parts":[["2015"]]},"page":"259","title":"Pastoralism and Climate Change in East Africa","type":"article-journal"},"uris":["http://www.mendeley.com/documents/?uuid=c49d8579-1a37-4050-8f1a-3d94375bbb25"]}],"mendeley":{"formattedCitation":"(Nassef et al., 2015)","plainTextFormattedCitation":"(Nassef et al., 2015)","previouslyFormattedCitation":"(Nassef et al., 2015)"},"properties":{"noteIndex":0},"schema":"https://github.com/citation-style-language/schema/raw/master/csl-citation.json"}</w:instrText>
      </w:r>
      <w:r>
        <w:rPr>
          <w:rFonts w:eastAsia="Calibri" w:cs="Times New Roman"/>
          <w:szCs w:val="24"/>
          <w:shd w:val="clear" w:color="auto" w:fill="FFFFFF"/>
        </w:rPr>
        <w:fldChar w:fldCharType="separate"/>
      </w:r>
      <w:r>
        <w:rPr>
          <w:rFonts w:eastAsia="Calibri" w:cs="Times New Roman"/>
          <w:noProof/>
          <w:szCs w:val="24"/>
          <w:shd w:val="clear" w:color="auto" w:fill="FFFFFF"/>
        </w:rPr>
        <w:t>(Nassef et al., 2015)</w:t>
      </w:r>
      <w:r>
        <w:rPr>
          <w:rFonts w:eastAsia="Calibri" w:cs="Times New Roman"/>
          <w:szCs w:val="24"/>
          <w:shd w:val="clear" w:color="auto" w:fill="FFFFFF"/>
        </w:rPr>
        <w:fldChar w:fldCharType="end"/>
      </w:r>
      <w:r>
        <w:rPr>
          <w:rFonts w:eastAsia="Calibri" w:cs="Times New Roman"/>
          <w:szCs w:val="24"/>
          <w:shd w:val="clear" w:color="auto" w:fill="FFFFFF"/>
        </w:rPr>
        <w:t>. Also</w:t>
      </w:r>
      <w:r>
        <w:rPr>
          <w:rFonts w:eastAsia="Calibri" w:cs="Times New Roman"/>
          <w:color w:val="000000"/>
          <w:szCs w:val="24"/>
          <w:shd w:val="clear" w:color="auto" w:fill="FFFFFF"/>
        </w:rPr>
        <w:t xml:space="preserve">, despite recent attention in the literature on pastoralist’s mobility, there exists </w:t>
      </w:r>
      <w:r>
        <w:rPr>
          <w:rFonts w:cs="Times New Roman"/>
          <w:szCs w:val="24"/>
        </w:rPr>
        <w:t xml:space="preserve">limited knowledge on how pastoralists’ internal movement patterns have evolved, and how these patterns interact with cultural, socioeconomic factors, politics, and historical experiences with mobility. </w:t>
      </w:r>
      <w:r>
        <w:rPr>
          <w:rFonts w:eastAsia="Calibri" w:cs="Times New Roman"/>
          <w:color w:val="000000"/>
          <w:szCs w:val="24"/>
          <w:shd w:val="clear" w:color="auto" w:fill="FFFFFF"/>
        </w:rPr>
        <w:t>Thus, this research seeks to answer the question</w:t>
      </w:r>
      <w:r>
        <w:rPr>
          <w:rFonts w:cs="Times New Roman"/>
          <w:szCs w:val="24"/>
        </w:rPr>
        <w:t xml:space="preserve">; what is the role of climate change in the process, and how have pastoralists’ internal movement patterns evolved in </w:t>
      </w:r>
      <w:proofErr w:type="spellStart"/>
      <w:r>
        <w:rPr>
          <w:rFonts w:cs="Times New Roman"/>
          <w:szCs w:val="24"/>
        </w:rPr>
        <w:t>Gusheigu</w:t>
      </w:r>
      <w:proofErr w:type="spellEnd"/>
      <w:r>
        <w:rPr>
          <w:rFonts w:cs="Times New Roman"/>
          <w:szCs w:val="24"/>
        </w:rPr>
        <w:t xml:space="preserve"> in the northern region of Ghana?</w:t>
      </w:r>
      <w:bookmarkStart w:id="32" w:name="_Toc128438184"/>
    </w:p>
    <w:p w:rsidR="00E53882" w:rsidRDefault="00B16FF7">
      <w:pPr>
        <w:pStyle w:val="Heading2"/>
        <w:spacing w:before="0" w:after="0" w:line="480" w:lineRule="auto"/>
      </w:pPr>
      <w:bookmarkStart w:id="33" w:name="_Toc164261676"/>
      <w:r>
        <w:t>1.2 Research Questions</w:t>
      </w:r>
      <w:bookmarkEnd w:id="32"/>
      <w:bookmarkEnd w:id="33"/>
    </w:p>
    <w:p w:rsidR="00E53882" w:rsidRDefault="00B16FF7">
      <w:pPr>
        <w:spacing w:before="0" w:after="0" w:line="480" w:lineRule="auto"/>
        <w:rPr>
          <w:rFonts w:cs="Times New Roman"/>
          <w:szCs w:val="24"/>
        </w:rPr>
      </w:pPr>
      <w:r>
        <w:rPr>
          <w:rFonts w:cs="Times New Roman"/>
          <w:szCs w:val="24"/>
        </w:rPr>
        <w:t xml:space="preserve">The main research question is: </w:t>
      </w:r>
      <w:r>
        <w:rPr>
          <w:rFonts w:cs="Times New Roman"/>
          <w:iCs/>
          <w:szCs w:val="24"/>
        </w:rPr>
        <w:t xml:space="preserve">What is </w:t>
      </w:r>
      <w:bookmarkStart w:id="34" w:name="_Hlk151632225"/>
      <w:bookmarkStart w:id="35" w:name="_Hlk150598695"/>
      <w:r>
        <w:rPr>
          <w:rFonts w:cs="Times New Roman"/>
          <w:iCs/>
          <w:szCs w:val="24"/>
        </w:rPr>
        <w:t xml:space="preserve">the relationship between climate change and pastoralist’s mobility and how have their internal movement patterns </w:t>
      </w:r>
      <w:bookmarkEnd w:id="34"/>
      <w:r>
        <w:rPr>
          <w:rFonts w:cs="Times New Roman"/>
          <w:iCs/>
          <w:szCs w:val="24"/>
        </w:rPr>
        <w:t>evolved in the study area</w:t>
      </w:r>
      <w:bookmarkEnd w:id="35"/>
      <w:r>
        <w:rPr>
          <w:rFonts w:cs="Times New Roman"/>
          <w:iCs/>
          <w:szCs w:val="24"/>
        </w:rPr>
        <w:t>?</w:t>
      </w:r>
      <w:r>
        <w:rPr>
          <w:rFonts w:cs="Times New Roman"/>
          <w:szCs w:val="24"/>
        </w:rPr>
        <w:t xml:space="preserve"> A number of sub-research questions have been established in order to do this. Which are;</w:t>
      </w:r>
    </w:p>
    <w:p w:rsidR="009D0320" w:rsidRPr="003D1B3C" w:rsidRDefault="009D0320" w:rsidP="00091913">
      <w:pPr>
        <w:pStyle w:val="Heading2"/>
        <w:numPr>
          <w:ilvl w:val="0"/>
          <w:numId w:val="25"/>
        </w:numPr>
        <w:spacing w:after="0" w:line="480" w:lineRule="auto"/>
        <w:rPr>
          <w:rFonts w:cs="Times New Roman"/>
          <w:b w:val="0"/>
          <w:szCs w:val="24"/>
          <w:lang w:val="en-US"/>
        </w:rPr>
      </w:pPr>
      <w:bookmarkStart w:id="36" w:name="_Toc164261677"/>
      <w:bookmarkStart w:id="37" w:name="_Toc128438185"/>
      <w:r w:rsidRPr="003D1B3C">
        <w:rPr>
          <w:rFonts w:cs="Times New Roman"/>
          <w:b w:val="0"/>
          <w:szCs w:val="24"/>
          <w:lang w:val="en-US"/>
        </w:rPr>
        <w:t>What are the characteristics of pastoralists in the host communities?</w:t>
      </w:r>
      <w:bookmarkEnd w:id="36"/>
    </w:p>
    <w:p w:rsidR="003D1B3C" w:rsidRPr="003D1B3C" w:rsidRDefault="009D0320" w:rsidP="00091913">
      <w:pPr>
        <w:pStyle w:val="Heading2"/>
        <w:numPr>
          <w:ilvl w:val="0"/>
          <w:numId w:val="26"/>
        </w:numPr>
        <w:spacing w:after="0" w:line="480" w:lineRule="auto"/>
        <w:rPr>
          <w:rFonts w:cs="Times New Roman"/>
          <w:b w:val="0"/>
          <w:szCs w:val="24"/>
          <w:lang w:val="en-US"/>
        </w:rPr>
      </w:pPr>
      <w:bookmarkStart w:id="38" w:name="_Toc164261678"/>
      <w:r w:rsidRPr="003D1B3C">
        <w:rPr>
          <w:rFonts w:cs="Times New Roman"/>
          <w:b w:val="0"/>
          <w:szCs w:val="24"/>
          <w:lang w:val="en-US"/>
        </w:rPr>
        <w:t xml:space="preserve">What are </w:t>
      </w:r>
      <w:proofErr w:type="gramStart"/>
      <w:r w:rsidRPr="003D1B3C">
        <w:rPr>
          <w:rFonts w:cs="Times New Roman"/>
          <w:b w:val="0"/>
          <w:szCs w:val="24"/>
          <w:lang w:val="en-US"/>
        </w:rPr>
        <w:t>pastoralists</w:t>
      </w:r>
      <w:proofErr w:type="gramEnd"/>
      <w:r w:rsidRPr="003D1B3C">
        <w:rPr>
          <w:rFonts w:cs="Times New Roman"/>
          <w:b w:val="0"/>
          <w:szCs w:val="24"/>
          <w:lang w:val="en-US"/>
        </w:rPr>
        <w:t xml:space="preserve"> perceptions and experiences of climate change in the study area?</w:t>
      </w:r>
      <w:bookmarkEnd w:id="38"/>
    </w:p>
    <w:p w:rsidR="00091913" w:rsidRPr="003D1B3C" w:rsidRDefault="00091913" w:rsidP="00091913">
      <w:pPr>
        <w:pStyle w:val="Heading2"/>
        <w:numPr>
          <w:ilvl w:val="0"/>
          <w:numId w:val="26"/>
        </w:numPr>
        <w:spacing w:after="0" w:line="480" w:lineRule="auto"/>
        <w:rPr>
          <w:rFonts w:cs="Times New Roman"/>
          <w:b w:val="0"/>
          <w:szCs w:val="24"/>
          <w:lang w:val="en-US"/>
        </w:rPr>
      </w:pPr>
      <w:bookmarkStart w:id="39" w:name="_Toc164261679"/>
      <w:r w:rsidRPr="003D1B3C">
        <w:rPr>
          <w:rFonts w:cs="Times New Roman"/>
          <w:b w:val="0"/>
          <w:szCs w:val="24"/>
          <w:lang w:val="en-US"/>
        </w:rPr>
        <w:t>What is the role of climate change in pastoral mobility patterns in the study area?</w:t>
      </w:r>
      <w:bookmarkEnd w:id="39"/>
    </w:p>
    <w:p w:rsidR="00E53882" w:rsidRDefault="00E53882">
      <w:pPr>
        <w:pStyle w:val="Heading2"/>
        <w:spacing w:before="0" w:after="0" w:line="480" w:lineRule="auto"/>
      </w:pPr>
    </w:p>
    <w:p w:rsidR="00E53882" w:rsidRDefault="00B16FF7">
      <w:pPr>
        <w:pStyle w:val="Heading2"/>
        <w:spacing w:before="0" w:after="0" w:line="480" w:lineRule="auto"/>
      </w:pPr>
      <w:bookmarkStart w:id="40" w:name="_Toc164261680"/>
      <w:r>
        <w:t>1.3 Research Objectives</w:t>
      </w:r>
      <w:bookmarkEnd w:id="37"/>
      <w:bookmarkEnd w:id="40"/>
    </w:p>
    <w:p w:rsidR="00E53882" w:rsidRDefault="00B16FF7">
      <w:pPr>
        <w:spacing w:before="0" w:after="0" w:line="480" w:lineRule="auto"/>
        <w:rPr>
          <w:rFonts w:cs="Times New Roman"/>
          <w:szCs w:val="24"/>
        </w:rPr>
      </w:pPr>
      <w:r>
        <w:rPr>
          <w:rFonts w:cs="Times New Roman"/>
          <w:szCs w:val="24"/>
        </w:rPr>
        <w:t xml:space="preserve">The general research objective of the study is to investigate </w:t>
      </w:r>
      <w:bookmarkStart w:id="41" w:name="_Hlk150599974"/>
      <w:r>
        <w:rPr>
          <w:rFonts w:cs="Times New Roman"/>
          <w:szCs w:val="24"/>
        </w:rPr>
        <w:t xml:space="preserve">the relationship between climate change and pastoralist’s mobility and how </w:t>
      </w:r>
      <w:bookmarkEnd w:id="41"/>
      <w:r>
        <w:rPr>
          <w:rFonts w:cs="Times New Roman"/>
          <w:szCs w:val="24"/>
        </w:rPr>
        <w:t>their internal movement patterns evolved in the study. Specifically, the study sought to:</w:t>
      </w:r>
    </w:p>
    <w:p w:rsidR="00E53882" w:rsidRDefault="00B16FF7">
      <w:pPr>
        <w:numPr>
          <w:ilvl w:val="0"/>
          <w:numId w:val="2"/>
        </w:numPr>
        <w:spacing w:before="0" w:after="0" w:line="480" w:lineRule="auto"/>
        <w:rPr>
          <w:rFonts w:cs="Times New Roman"/>
          <w:szCs w:val="24"/>
        </w:rPr>
      </w:pPr>
      <w:r>
        <w:rPr>
          <w:rFonts w:cs="Times New Roman"/>
          <w:szCs w:val="24"/>
        </w:rPr>
        <w:t>Ascertain the characteristics of pastoralists in host communities </w:t>
      </w:r>
    </w:p>
    <w:p w:rsidR="00E53882" w:rsidRDefault="00B16FF7">
      <w:pPr>
        <w:numPr>
          <w:ilvl w:val="0"/>
          <w:numId w:val="2"/>
        </w:numPr>
        <w:spacing w:before="0" w:after="0" w:line="480" w:lineRule="auto"/>
        <w:rPr>
          <w:rFonts w:cs="Times New Roman"/>
          <w:szCs w:val="24"/>
        </w:rPr>
      </w:pPr>
      <w:r>
        <w:rPr>
          <w:rFonts w:cs="Times New Roman"/>
          <w:szCs w:val="24"/>
        </w:rPr>
        <w:t>Explore pastoralist’s perceptions</w:t>
      </w:r>
      <w:r w:rsidR="005040D9">
        <w:rPr>
          <w:rFonts w:cs="Times New Roman"/>
          <w:szCs w:val="24"/>
        </w:rPr>
        <w:t xml:space="preserve"> and experiences</w:t>
      </w:r>
      <w:r>
        <w:rPr>
          <w:rFonts w:cs="Times New Roman"/>
          <w:szCs w:val="24"/>
        </w:rPr>
        <w:t xml:space="preserve"> of climate change in the study area </w:t>
      </w:r>
    </w:p>
    <w:p w:rsidR="003D1B3C" w:rsidRPr="001343A3" w:rsidRDefault="00B16FF7" w:rsidP="001343A3">
      <w:pPr>
        <w:numPr>
          <w:ilvl w:val="0"/>
          <w:numId w:val="2"/>
        </w:numPr>
        <w:spacing w:before="0" w:after="0" w:line="480" w:lineRule="auto"/>
        <w:rPr>
          <w:rFonts w:cs="Times New Roman"/>
          <w:szCs w:val="24"/>
        </w:rPr>
      </w:pPr>
      <w:r>
        <w:rPr>
          <w:rFonts w:cs="Times New Roman"/>
          <w:szCs w:val="24"/>
        </w:rPr>
        <w:lastRenderedPageBreak/>
        <w:t xml:space="preserve">Understand the </w:t>
      </w:r>
      <w:r w:rsidR="003D1B3C">
        <w:rPr>
          <w:rFonts w:cs="Times New Roman"/>
          <w:szCs w:val="24"/>
        </w:rPr>
        <w:t xml:space="preserve">role of climate change in pastoral mobility </w:t>
      </w:r>
      <w:r>
        <w:rPr>
          <w:rFonts w:cs="Times New Roman"/>
          <w:szCs w:val="24"/>
        </w:rPr>
        <w:t>patterns</w:t>
      </w:r>
      <w:r w:rsidR="003D1B3C">
        <w:rPr>
          <w:rFonts w:cs="Times New Roman"/>
          <w:szCs w:val="24"/>
        </w:rPr>
        <w:t xml:space="preserve"> </w:t>
      </w:r>
      <w:r>
        <w:rPr>
          <w:rFonts w:cs="Times New Roman"/>
          <w:szCs w:val="24"/>
        </w:rPr>
        <w:t>in the study area</w:t>
      </w:r>
    </w:p>
    <w:p w:rsidR="00E53882" w:rsidRDefault="00B16FF7">
      <w:pPr>
        <w:pStyle w:val="Heading2"/>
        <w:spacing w:before="0" w:after="0" w:line="480" w:lineRule="auto"/>
      </w:pPr>
      <w:bookmarkStart w:id="42" w:name="_Toc164261681"/>
      <w:r>
        <w:t xml:space="preserve">1.4 </w:t>
      </w:r>
      <w:r>
        <w:rPr>
          <w:rStyle w:val="Heading3Char"/>
          <w:rFonts w:eastAsiaTheme="majorEastAsia" w:cstheme="majorBidi"/>
          <w:b/>
          <w:bCs w:val="0"/>
          <w:szCs w:val="26"/>
          <w:lang w:val="en-GB" w:bidi="ar-SA"/>
        </w:rPr>
        <w:t>Significance of the Study</w:t>
      </w:r>
      <w:bookmarkEnd w:id="42"/>
    </w:p>
    <w:p w:rsidR="00E53882" w:rsidRDefault="00B16FF7">
      <w:pPr>
        <w:spacing w:before="0" w:after="0" w:line="480" w:lineRule="auto"/>
        <w:rPr>
          <w:rFonts w:eastAsia="Calibri" w:cs="Times New Roman"/>
          <w:szCs w:val="24"/>
        </w:rPr>
      </w:pPr>
      <w:r>
        <w:rPr>
          <w:rFonts w:eastAsia="Calibri" w:cs="Times New Roman"/>
          <w:szCs w:val="24"/>
        </w:rPr>
        <w:t>One of the main forces driving pastoralists to move across state boundaries or within them in order to feed their livestock is climate change. The findings will help inform policy responses that are inclusive and proactively address the needs of very vulnerable groups in the study area (pastoralist and host-community). Additionally, the findings of this project will help policy maker to understand various climate change adaptation strategies that are locally effective and less expensive to implement. It is also to make a significant contribution to strategies and policy decisions involving the development of a regional mobility framework that seeks to address the needs of the pastoralist communities, focusing on the gaps in the cross-border protection of pastoralists. Moreover, the study will also contribute to addressing research gaps relating to how climate change shapes pastoralist movements when they cross state borders, which are largely absent in the existing literature on climate change related pastoralists mobility. Finally, the study will also enable us to understand how the movement patterns of pastoralist evolved. Also, little is known about how this movement interacts with other cultural and socioeconomic factors, border politics, and historical experience with mobility. </w:t>
      </w:r>
    </w:p>
    <w:p w:rsidR="00E53882" w:rsidRDefault="00E53882">
      <w:pPr>
        <w:pStyle w:val="Heading2"/>
        <w:spacing w:before="0" w:after="0" w:line="480" w:lineRule="auto"/>
        <w:rPr>
          <w:lang w:eastAsia="en-GB"/>
        </w:rPr>
      </w:pPr>
      <w:bookmarkStart w:id="43" w:name="_Toc128438200"/>
    </w:p>
    <w:p w:rsidR="00E53882" w:rsidRDefault="00B16FF7">
      <w:pPr>
        <w:pStyle w:val="Heading2"/>
        <w:spacing w:before="0" w:after="0" w:line="480" w:lineRule="auto"/>
        <w:rPr>
          <w:lang w:eastAsia="en-GB"/>
        </w:rPr>
      </w:pPr>
      <w:bookmarkStart w:id="44" w:name="_Toc164261682"/>
      <w:r>
        <w:rPr>
          <w:lang w:eastAsia="en-GB"/>
        </w:rPr>
        <w:t>1.5 Outline of the Dissertation</w:t>
      </w:r>
      <w:bookmarkEnd w:id="43"/>
      <w:bookmarkEnd w:id="44"/>
      <w:r>
        <w:rPr>
          <w:lang w:eastAsia="en-GB"/>
        </w:rPr>
        <w:t xml:space="preserve"> </w:t>
      </w:r>
      <w:bookmarkStart w:id="45" w:name="_Toc128438186"/>
    </w:p>
    <w:p w:rsidR="00E53882" w:rsidRDefault="00B16FF7">
      <w:pPr>
        <w:spacing w:before="0" w:after="0" w:line="480" w:lineRule="auto"/>
        <w:rPr>
          <w:rFonts w:eastAsia="Calibri" w:cs="Times New Roman"/>
          <w:szCs w:val="24"/>
        </w:rPr>
      </w:pPr>
      <w:r>
        <w:rPr>
          <w:rFonts w:eastAsia="Calibri" w:cs="Times New Roman"/>
          <w:szCs w:val="24"/>
        </w:rPr>
        <w:t xml:space="preserve">Chapter one sets the viewpoint of the study. It provides the background for undertaking the study. The objectives, questions, and relevance of the study are explained. Chapter two discusses the literature and theoretical orientation of the study. Literature on climate change, pastoralism, climate change, and mobility and the theories of mobility are discussed. The </w:t>
      </w:r>
      <w:r>
        <w:rPr>
          <w:rFonts w:eastAsia="Calibri" w:cs="Times New Roman"/>
          <w:szCs w:val="24"/>
        </w:rPr>
        <w:lastRenderedPageBreak/>
        <w:t>chapter ends by presenting a framework for the analysis of climate change and mobility. Chapter three provides information about the study area and also presents the methodology of the research. Chapter Four discusses the characteristics of pastoralists. Chapter five discusses pastoralists’ perceptions of climate change. Pastoralists’ perception of climate change offers an understanding of the peoples‟ understanding of climate change as an environmental phenomenon which inevitably provides a platform to investigate their responses to it. Chapter six discusses the patterns of mobility and the relationship between climate change and mobility in the study area are shown. Climate change-related mobility is expressed in existing patterns of migration. This makes it important to investigate the patterns of migration as a means of examining the relationship between climate change and mobility. Chapter seven provides the conclusions of the study. It gives a summary of the key findings of the work and also offers some suggestions for policy formulation and further research.</w:t>
      </w: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szCs w:val="24"/>
        </w:rPr>
      </w:pPr>
    </w:p>
    <w:p w:rsidR="00E53882" w:rsidRDefault="00E53882">
      <w:pPr>
        <w:spacing w:before="0" w:after="0" w:line="480" w:lineRule="auto"/>
        <w:rPr>
          <w:rFonts w:eastAsia="Calibri" w:cs="Times New Roman"/>
          <w:b/>
          <w:szCs w:val="24"/>
        </w:rPr>
      </w:pPr>
    </w:p>
    <w:p w:rsidR="00E53882" w:rsidRDefault="00B16FF7">
      <w:pPr>
        <w:pStyle w:val="Heading1"/>
        <w:spacing w:line="480" w:lineRule="auto"/>
        <w:rPr>
          <w:rFonts w:eastAsia="Calibri"/>
        </w:rPr>
      </w:pPr>
      <w:bookmarkStart w:id="46" w:name="_Toc164261683"/>
      <w:r>
        <w:rPr>
          <w:rFonts w:eastAsia="Calibri"/>
        </w:rPr>
        <w:lastRenderedPageBreak/>
        <w:t>CHAPTER TWO</w:t>
      </w:r>
      <w:bookmarkEnd w:id="46"/>
    </w:p>
    <w:p w:rsidR="00E53882" w:rsidRDefault="00B16FF7">
      <w:pPr>
        <w:pStyle w:val="Heading1"/>
        <w:spacing w:line="480" w:lineRule="auto"/>
        <w:rPr>
          <w:rFonts w:eastAsia="Calibri"/>
        </w:rPr>
      </w:pPr>
      <w:bookmarkStart w:id="47" w:name="_Toc164261684"/>
      <w:r>
        <w:rPr>
          <w:rFonts w:eastAsia="Calibri"/>
        </w:rPr>
        <w:t>LITERATURE REVIEW</w:t>
      </w:r>
      <w:bookmarkEnd w:id="47"/>
    </w:p>
    <w:p w:rsidR="00E53882" w:rsidRDefault="00B16FF7">
      <w:pPr>
        <w:pStyle w:val="Heading2"/>
        <w:spacing w:line="480" w:lineRule="auto"/>
        <w:rPr>
          <w:rFonts w:eastAsia="Calibri"/>
        </w:rPr>
      </w:pPr>
      <w:bookmarkStart w:id="48" w:name="_Toc164261685"/>
      <w:r>
        <w:rPr>
          <w:rFonts w:eastAsia="Calibri"/>
        </w:rPr>
        <w:t>2.0 Introduction</w:t>
      </w:r>
      <w:bookmarkEnd w:id="48"/>
    </w:p>
    <w:p w:rsidR="00E53882" w:rsidRDefault="00B16FF7">
      <w:pPr>
        <w:spacing w:after="0" w:line="480" w:lineRule="auto"/>
        <w:rPr>
          <w:rFonts w:cs="Times New Roman"/>
          <w:szCs w:val="24"/>
          <w:lang w:val="en-US"/>
        </w:rPr>
      </w:pPr>
      <w:r>
        <w:rPr>
          <w:rFonts w:cs="Times New Roman"/>
          <w:szCs w:val="24"/>
          <w:lang w:val="en-US"/>
        </w:rPr>
        <w:t xml:space="preserve">The examination of theories and concepts constitutes integral elements in research. Theoretical and conceptual frameworks, as defined by scholars, encompass the epistemological perspective guiding a researcher's approach to a research problem </w:t>
      </w:r>
      <w:r>
        <w:rPr>
          <w:rFonts w:cs="Times New Roman"/>
          <w:szCs w:val="24"/>
          <w:lang w:val="en-US"/>
        </w:rPr>
        <w:fldChar w:fldCharType="begin" w:fldLock="1"/>
      </w:r>
      <w:r>
        <w:rPr>
          <w:rFonts w:cs="Times New Roman"/>
          <w:szCs w:val="24"/>
          <w:lang w:val="en-US"/>
        </w:rPr>
        <w:instrText>ADDIN CSL_CITATION {"citationItems":[{"id":"ITEM-1","itemData":{"ISSN":"0161-9268","author":[{"dropping-particle":"","family":"Liehr","given":"Patricia","non-dropping-particle":"","parse-names":false,"suffix":""},{"dropping-particle":"","family":"Smith","given":"Mary Jane","non-dropping-particle":"","parse-names":false,"suffix":""}],"container-title":"Advances in Nursing Science","id":"ITEM-1","issue":"4","issued":{"date-parts":[["1999"]]},"page":"81-91","publisher":"LWW","title":"Middle range theory: Spinning research and practice to create knowledge for the new millennium","type":"article-journal","volume":"21"},"uris":["http://www.mendeley.com/documents/?uuid=ab34ccf1-f754-4dc6-ba9f-9c469fa358c9","http://www.mendeley.com/documents/?uuid=647eab3a-04c6-4bb1-ba28-1a4b4adcf122"]}],"mendeley":{"formattedCitation":"(Liehr &amp; Smith, 1999)","plainTextFormattedCitation":"(Liehr &amp; Smith, 1999)","previouslyFormattedCitation":"(Liehr &amp; Smith, 1999)"},"properties":{"noteIndex":0},"schema":"https://github.com/citation-style-language/schema/raw/master/csl-citation.json"}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(Liehr &amp; Smith, 1999)</w:t>
      </w:r>
      <w:r>
        <w:rPr>
          <w:rFonts w:cs="Times New Roman"/>
          <w:szCs w:val="24"/>
          <w:lang w:val="en-US"/>
        </w:rPr>
        <w:fldChar w:fldCharType="end"/>
      </w:r>
      <w:r>
        <w:rPr>
          <w:rFonts w:cs="Times New Roman"/>
          <w:szCs w:val="24"/>
          <w:lang w:val="en-US"/>
        </w:rPr>
        <w:t xml:space="preserve">. Theoretical framework serves as the guiding theory for a researcher's investigation </w:t>
      </w:r>
      <w:r>
        <w:rPr>
          <w:rFonts w:cs="Times New Roman"/>
          <w:szCs w:val="24"/>
          <w:lang w:val="en-US"/>
        </w:rPr>
        <w:fldChar w:fldCharType="begin" w:fldLock="1"/>
      </w:r>
      <w:r>
        <w:rPr>
          <w:rFonts w:cs="Times New Roman"/>
          <w:szCs w:val="24"/>
          <w:lang w:val="en-US"/>
        </w:rPr>
        <w:instrText>ADDIN CSL_CITATION {"citationItems":[{"id":"ITEM-1","itemData":{"ISSN":"0971-8923","author":[{"dropping-particle":"","family":"Imenda","given":"Sitwala","non-dropping-particle":"","parse-names":false,"suffix":""}],"container-title":"Journal of social sciences","id":"ITEM-1","issue":"2","issued":{"date-parts":[["2014"]]},"page":"185-195","publisher":"Taylor &amp; Francis","title":"Is there a conceptual difference between theoretical and conceptual frameworks?","type":"article-journal","volume":"38"},"uris":["http://www.mendeley.com/documents/?uuid=f931d73a-ba91-4ab0-b251-036884586c9c","http://www.mendeley.com/documents/?uuid=519f7cea-a97d-4d62-8539-5eeb8ae74948"]}],"mendeley":{"formattedCitation":"(Imenda, 2014)","plainTextFormattedCitation":"(Imenda, 2014)","previouslyFormattedCitation":"(Imenda, 2014)"},"properties":{"noteIndex":0},"schema":"https://github.com/citation-style-language/schema/raw/master/csl-citation.json"}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(Imenda, 2014)</w:t>
      </w:r>
      <w:r>
        <w:rPr>
          <w:rFonts w:cs="Times New Roman"/>
          <w:szCs w:val="24"/>
          <w:lang w:val="en-US"/>
        </w:rPr>
        <w:fldChar w:fldCharType="end"/>
      </w:r>
      <w:r>
        <w:rPr>
          <w:rFonts w:cs="Times New Roman"/>
          <w:szCs w:val="24"/>
          <w:lang w:val="en-US"/>
        </w:rPr>
        <w:t xml:space="preserve">. In a more detailed explanation, the theoretical standpoint is crucial as it forms the basis for the development of research knowledge, offering a structural foundation for elements such as the study rationale, problem statement, purpose, significance, and research questions </w:t>
      </w:r>
      <w:r>
        <w:rPr>
          <w:rFonts w:cs="Times New Roman"/>
          <w:szCs w:val="24"/>
          <w:lang w:val="en-US"/>
        </w:rPr>
        <w:fldChar w:fldCharType="begin" w:fldLock="1"/>
      </w:r>
      <w:r>
        <w:rPr>
          <w:rFonts w:cs="Times New Roman"/>
          <w:szCs w:val="24"/>
          <w:lang w:val="en-US"/>
        </w:rPr>
        <w:instrText>ADDIN CSL_CITATION {"citationItems":[{"id":"ITEM-1","itemData":{"ISSN":"1040-2446","author":[{"dropping-particle":"","family":"Neumann","given":"Melanie","non-dropping-particle":"","parse-names":false,"suffix":""},{"dropping-particle":"","family":"Edelhäuser","given":"Friedrich","non-dropping-particle":"","parse-names":false,"suffix":""},{"dropping-particle":"","family":"Tauschel","given":"Diethard","non-dropping-particle":"","parse-names":false,"suffix":""},{"dropping-particle":"","family":"Fischer","given":"Martin R","non-dropping-particle":"","parse-names":false,"suffix":""},{"dropping-particle":"","family":"Wirtz","given":"Markus","non-dropping-particle":"","parse-names":false,"suffix":""},{"dropping-particle":"","family":"Woopen","given":"Christiane","non-dropping-particle":"","parse-names":false,"suffix":""},{"dropping-particle":"","family":"Haramati","given":"Aviad","non-dropping-particle":"","parse-names":false,"suffix":""},{"dropping-particle":"","family":"Scheffer","given":"Christian","non-dropping-particle":"","parse-names":false,"suffix":""}],"container-title":"Academic medicine","id":"ITEM-1","issue":"8","issued":{"date-parts":[["2011"]]},"page":"996-1009","publisher":"LWW","title":"Empathy decline and its reasons: a systematic review of studies with medical students and residents","type":"article-journal","volume":"86"},"uris":["http://www.mendeley.com/documents/?uuid=4aba845f-292f-4c2a-8150-533d136b4f15","http://www.mendeley.com/documents/?uuid=dc152738-9904-4f1f-9e7e-f8aa418c9a4d"]}],"mendeley":{"formattedCitation":"(Neumann et al., 2011)","plainTextFormattedCitation":"(Neumann et al., 2011)","previouslyFormattedCitation":"(Neumann et al., 2011)"},"properties":{"noteIndex":0},"schema":"https://github.com/citation-style-language/schema/raw/master/csl-citation.json"}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(Neumann et al., 2011)</w:t>
      </w:r>
      <w:r>
        <w:rPr>
          <w:rFonts w:cs="Times New Roman"/>
          <w:szCs w:val="24"/>
          <w:lang w:val="en-US"/>
        </w:rPr>
        <w:fldChar w:fldCharType="end"/>
      </w:r>
      <w:r>
        <w:rPr>
          <w:rFonts w:cs="Times New Roman"/>
          <w:szCs w:val="24"/>
          <w:lang w:val="en-US"/>
        </w:rPr>
        <w:t xml:space="preserve">. According to </w:t>
      </w:r>
      <w:r>
        <w:rPr>
          <w:rFonts w:cs="Times New Roman"/>
          <w:szCs w:val="24"/>
          <w:lang w:val="en-US"/>
        </w:rPr>
        <w:fldChar w:fldCharType="begin" w:fldLock="1"/>
      </w:r>
      <w:r>
        <w:rPr>
          <w:rFonts w:cs="Times New Roman"/>
          <w:szCs w:val="24"/>
          <w:lang w:val="en-US"/>
        </w:rPr>
        <w:instrText>ADDIN CSL_CITATION {"citationItems":[{"id":"ITEM-1","itemData":{"abstract":"The main aim of the paper was to understand the different issues of unit of analysis in a business The main aim of the paper was to understand the different issues of unit of analysis in a business research. The qualitative approach was used different issues of unit of analysis in a business research. The qualitative approach was used to explore the different issues related to unit of research. The qualitative approach was used to explore the different issues related to unit of analysis through in-depth review of literature. to explore the different issues related to unit of analysis through in-depth review of literature. In this paper different levels of unit of analysis analysis through in-depth review of literature. In this paper different levels of unit of analysis are described. The relation between the unit of In this paper different levels of unit of analysis are described. The relation between the unit of analysis and unit of observation is explained. are described. The relation between the unit of analysis and unit of observation is explained. Faulty reasoning about the unit of analysis is analysis and unit of observation is explained. Faulty reasoning about the unit of analysis is discussed with suitable examples. The possible Faulty reasoning about the unit of analysis is discussed with suitable examples. The possible data analysis options are discussed taking into discussed with suitable examples. The possible data analysis options are discussed taking into consideration the unit of analysis. This paper will data analysis options are discussed taking into consideration the unit of analysis. This paper will be a good reference material for new researchers consideration the unit of analysis. This paper will be a good reference material for new researchers in understanding the unit of analysis for the be a good reference material for new researchers in understanding the unit of analysis for the planning and designing their research work at in understanding the unit of analysis for the planning and designing their research work at master’s and doctorate level. planning and designing their research work at master’s and doctorate level.","author":[{"dropping-particle":"","family":"Kumar","given":"Sanjay","non-dropping-particle":"","parse-names":false,"suffix":""}],"container-title":"Journal of General Management Research","id":"ITEM-1","issue":"2","issued":{"date-parts":[["2018"]]},"page":"70-82","title":"Analysis in a Business Research","type":"article-journal","volume":"5"},"uris":["http://www.mendeley.com/documents/?uuid=1d5427c2-4553-4101-8e34-e70cc4576e43"]}],"mendeley":{"formattedCitation":"(Kumar, 2018)","manualFormatting":"Kumar, (2018)","plainTextFormattedCitation":"(Kumar, 2018)","previouslyFormattedCitation":"(Kumar, 2018)"},"properties":{"noteIndex":0},"schema":"https://github.com/citation-style-language/schema/raw/master/csl-citation.json"}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Kumar, (2018)</w:t>
      </w:r>
      <w:r>
        <w:rPr>
          <w:rFonts w:cs="Times New Roman"/>
          <w:szCs w:val="24"/>
          <w:lang w:val="en-US"/>
        </w:rPr>
        <w:fldChar w:fldCharType="end"/>
      </w:r>
      <w:r>
        <w:rPr>
          <w:rFonts w:cs="Times New Roman"/>
          <w:szCs w:val="24"/>
          <w:lang w:val="en-US"/>
        </w:rPr>
        <w:t>, the absence of a theoretical review renders a study purposeless.</w:t>
      </w:r>
    </w:p>
    <w:p w:rsidR="00E53882" w:rsidRDefault="00B16FF7">
      <w:pPr>
        <w:spacing w:after="0" w:line="480" w:lineRule="auto"/>
        <w:rPr>
          <w:rFonts w:cs="Times New Roman"/>
          <w:szCs w:val="24"/>
          <w:lang w:val="en-US"/>
        </w:rPr>
      </w:pPr>
      <w:r>
        <w:rPr>
          <w:rFonts w:cs="Times New Roman"/>
          <w:szCs w:val="24"/>
          <w:lang w:val="en-US"/>
        </w:rPr>
        <w:t xml:space="preserve">On the other hand, a conceptual review is a pivotal aspect of research. It involves assembling a set of interconnected concepts to gain a more comprehensive understanding of the subject under investigation </w:t>
      </w:r>
      <w:r>
        <w:rPr>
          <w:rFonts w:cs="Times New Roman"/>
          <w:szCs w:val="24"/>
          <w:lang w:val="en-US"/>
        </w:rPr>
        <w:fldChar w:fldCharType="begin" w:fldLock="1"/>
      </w:r>
      <w:r>
        <w:rPr>
          <w:rFonts w:cs="Times New Roman"/>
          <w:szCs w:val="24"/>
          <w:lang w:val="en-US"/>
        </w:rPr>
        <w:instrText>ADDIN CSL_CITATION {"citationItems":[{"id":"ITEM-1","itemData":{"ISSN":"0971-8923","author":[{"dropping-particle":"","family":"Imenda","given":"Sitwala","non-dropping-particle":"","parse-names":false,"suffix":""}],"container-title":"Journal of social sciences","id":"ITEM-1","issue":"2","issued":{"date-parts":[["2014"]]},"page":"185-195","publisher":"Taylor &amp; Francis","title":"Is there a conceptual difference between theoretical and conceptual frameworks?","type":"article-journal","volume":"38"},"uris":["http://www.mendeley.com/documents/?uuid=519f7cea-a97d-4d62-8539-5eeb8ae74948","http://www.mendeley.com/documents/?uuid=f931d73a-ba91-4ab0-b251-036884586c9c"]}],"mendeley":{"formattedCitation":"(Imenda, 2014)","plainTextFormattedCitation":"(Imenda, 2014)","previouslyFormattedCitation":"(Imenda, 2014)"},"properties":{"noteIndex":0},"schema":"https://github.com/citation-style-language/schema/raw/master/csl-citation.json"}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(Imenda, 2014)</w:t>
      </w:r>
      <w:r>
        <w:rPr>
          <w:rFonts w:cs="Times New Roman"/>
          <w:szCs w:val="24"/>
          <w:lang w:val="en-US"/>
        </w:rPr>
        <w:fldChar w:fldCharType="end"/>
      </w:r>
      <w:r>
        <w:rPr>
          <w:rFonts w:cs="Times New Roman"/>
          <w:szCs w:val="24"/>
          <w:lang w:val="en-US"/>
        </w:rPr>
        <w:t xml:space="preserve">. This conceptual review aids in identifying crucial factors for knowledge development in the research field and brings clarity to the problem statement  </w:t>
      </w:r>
      <w:r>
        <w:rPr>
          <w:rFonts w:cs="Times New Roman"/>
          <w:szCs w:val="24"/>
          <w:lang w:val="en-US"/>
        </w:rPr>
        <w:fldChar w:fldCharType="begin" w:fldLock="1"/>
      </w:r>
      <w:r>
        <w:rPr>
          <w:rFonts w:cs="Times New Roman"/>
          <w:szCs w:val="24"/>
          <w:lang w:val="en-US"/>
        </w:rPr>
        <w:instrText>ADDIN CSL_CITATION {"citationItems":[{"id":"ITEM-1","itemData":{"author":[{"dropping-particle":"","family":"Griffee","given":"Dale T","non-dropping-particle":"","parse-names":false,"suffix":""}],"container-title":"TESL-EJ Publications","id":"ITEM-1","issued":{"date-parts":[["2012"]]},"title":"An introduction to second language research methods","type":"article-journal"},"uris":["http://www.mendeley.com/documents/?uuid=3364ee93-1632-4985-8808-ceaf1dd05bd1","http://www.mendeley.com/documents/?uuid=8f12bfef-bbc4-4259-8de3-75910a31905d"]},{"id":"ITEM-2","itemData":{"ISBN":"1849204624","author":[{"dropping-particle":"","family":"Walliman","given":"Nicholas","non-dropping-particle":"","parse-names":false,"suffix":""}],"id":"ITEM-2","issued":{"date-parts":[["2011"]]},"publisher":"Sage Publications","title":"Your research project: Designing and planning your work","type":"book"},"uris":["http://www.mendeley.com/documents/?uuid=21a12bb2-3117-4d27-800b-513c475ad9cb","http://www.mendeley.com/documents/?uuid=d42c2444-28f5-4481-81f1-a25b979ccd47"]}],"mendeley":{"formattedCitation":"(Griffee, 2012; Walliman, 2011)","plainTextFormattedCitation":"(Griffee, 2012; Walliman, 2011)","previouslyFormattedCitation":"(Griffee, 2012; Walliman, 2011)"},"properties":{"noteIndex":0},"schema":"https://github.com/citation-style-language/schema/raw/master/csl-citation.json"}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(Griffee, 2012; Walliman, 2011)</w:t>
      </w:r>
      <w:r>
        <w:rPr>
          <w:rFonts w:cs="Times New Roman"/>
          <w:szCs w:val="24"/>
          <w:lang w:val="en-US"/>
        </w:rPr>
        <w:fldChar w:fldCharType="end"/>
      </w:r>
      <w:r>
        <w:rPr>
          <w:rFonts w:cs="Times New Roman"/>
          <w:szCs w:val="24"/>
          <w:lang w:val="en-US"/>
        </w:rPr>
        <w:t>. Therefore, this chapter provides an overview of both conceptual and theoretical aspects, empirical reviews, lessons learned, and concludes with a conceptual framework elucidating the relationship between climate change and the mobility of pastoralists, delving into the evolution of their internal movement patterns.</w:t>
      </w:r>
    </w:p>
    <w:p w:rsidR="00E53882" w:rsidRDefault="00E53882">
      <w:pPr>
        <w:spacing w:after="0" w:line="480" w:lineRule="auto"/>
        <w:rPr>
          <w:rFonts w:eastAsia="Calibri" w:cs="Times New Roman"/>
          <w:szCs w:val="24"/>
        </w:rPr>
      </w:pPr>
    </w:p>
    <w:p w:rsidR="00E53882" w:rsidRDefault="00B16FF7">
      <w:pPr>
        <w:pStyle w:val="Heading2"/>
        <w:spacing w:line="480" w:lineRule="auto"/>
        <w:rPr>
          <w:rFonts w:eastAsia="Calibri"/>
        </w:rPr>
      </w:pPr>
      <w:bookmarkStart w:id="49" w:name="_Toc164261686"/>
      <w:r>
        <w:rPr>
          <w:rFonts w:eastAsia="Calibri"/>
        </w:rPr>
        <w:lastRenderedPageBreak/>
        <w:t>2.1. Theoretical Review</w:t>
      </w:r>
      <w:bookmarkEnd w:id="49"/>
      <w:r>
        <w:rPr>
          <w:rFonts w:eastAsia="Calibri"/>
        </w:rPr>
        <w:t xml:space="preserve">  </w:t>
      </w:r>
    </w:p>
    <w:p w:rsidR="00E53882" w:rsidRDefault="00B16FF7">
      <w:pPr>
        <w:spacing w:line="480" w:lineRule="auto"/>
        <w:rPr>
          <w:rFonts w:eastAsia="Calibri" w:cs="Times New Roman"/>
          <w:bCs/>
          <w:iCs/>
          <w:szCs w:val="24"/>
        </w:rPr>
      </w:pPr>
      <w:r>
        <w:rPr>
          <w:rFonts w:eastAsia="Calibri" w:cs="Times New Roman"/>
          <w:bCs/>
          <w:iCs/>
          <w:szCs w:val="24"/>
        </w:rPr>
        <w:t xml:space="preserve">The theories that comprise the theoretical framework for this study explain and describe why the research problem under study exists, while others provide a direction for where the research is headed or, more importantly, what the motivation for this study is. In this study, Push and Pull, the maximalist school of teaching, and migration Systems and Network Theories, were used to explain how climate change has influenced people’s movement in to host communities. </w:t>
      </w:r>
    </w:p>
    <w:p w:rsidR="00E53882" w:rsidRDefault="00B16FF7">
      <w:pPr>
        <w:pStyle w:val="Heading3"/>
      </w:pPr>
      <w:bookmarkStart w:id="50" w:name="_Toc164261687"/>
      <w:r>
        <w:t>2.1.1 Migration Theory of Push and Pull</w:t>
      </w:r>
      <w:bookmarkEnd w:id="50"/>
    </w:p>
    <w:p w:rsidR="00E53882" w:rsidRDefault="00B16FF7">
      <w:pPr>
        <w:spacing w:line="480" w:lineRule="auto"/>
        <w:rPr>
          <w:rFonts w:eastAsia="Calibri" w:cs="Times New Roman"/>
          <w:bCs/>
          <w:iCs/>
          <w:szCs w:val="24"/>
        </w:rPr>
      </w:pPr>
      <w:r>
        <w:rPr>
          <w:rFonts w:eastAsia="Calibri" w:cs="Times New Roman"/>
          <w:bCs/>
          <w:iCs/>
          <w:szCs w:val="24"/>
        </w:rPr>
        <w:t xml:space="preserve">In the first place, it would be advantageous to develop the scholarly basis from which the empirical arguments regarding pastoralist mobility, and climate change have emerged. Ernst </w:t>
      </w:r>
      <w:proofErr w:type="spellStart"/>
      <w:r>
        <w:rPr>
          <w:rFonts w:eastAsia="Calibri" w:cs="Times New Roman"/>
          <w:bCs/>
          <w:iCs/>
          <w:szCs w:val="24"/>
        </w:rPr>
        <w:t>Ravenstein's</w:t>
      </w:r>
      <w:proofErr w:type="spellEnd"/>
      <w:r>
        <w:rPr>
          <w:rFonts w:eastAsia="Calibri" w:cs="Times New Roman"/>
          <w:bCs/>
          <w:iCs/>
          <w:szCs w:val="24"/>
        </w:rPr>
        <w:t xml:space="preserve"> (1880) push-and-pull migration theory, credited as the father of migration, was published in the 19th century in order to enlighten migration patterns in and outside countries. Based on the push-and-pull migration model, people migrate as a result of greater economic opportunities, such as increased revenues and better employment outcomes in destination areas, which allow them to fully realize their desire to enhance their well-being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{"citationItems":[{"id":"ITEM-1","itemData":{"author":[{"dropping-particle":"","family":"Tymore","given":"Maganga","non-dropping-particle":"","parse-names":false,"suffix":""}],"id":"ITEM-1","issued":{"date-parts":[["2020"]]},"title":"Climate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Maganga","type":"thesis"},"uris":["http://www.mendeley.com/documents/?uuid=19f7e569-3bf6-43d7-a26f-742026d16e0a"]}],"mendeley":{"formattedCitation":"(Tymore, 2020)","plainTextFormattedCitation":"(Tymore, 2020)","previouslyFormattedCitation":"(Tymore,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(Tymore, 2020)</w:t>
      </w:r>
      <w:r>
        <w:rPr>
          <w:rFonts w:eastAsia="Calibri" w:cs="Times New Roman"/>
          <w:bCs/>
          <w:iCs/>
          <w:szCs w:val="24"/>
        </w:rPr>
        <w:fldChar w:fldCharType="end"/>
      </w:r>
      <w:r>
        <w:rPr>
          <w:rFonts w:eastAsia="Calibri" w:cs="Times New Roman"/>
          <w:bCs/>
          <w:iCs/>
          <w:szCs w:val="24"/>
        </w:rPr>
        <w:t xml:space="preserve">. In this situation, pull factors like higher wages, job opportunities, better living conditions, and the availability of land in target areas tend to entice people to leave their homes, while push factors like poverty, low income, high unemployment, poor health care, and a lack of human security compel emigration in the regions of origin </w:t>
      </w:r>
      <w:r>
        <w:rPr>
          <w:rFonts w:eastAsia="Calibri" w:cs="Times New Roman"/>
          <w:bCs/>
          <w:iCs/>
          <w:szCs w:val="24"/>
        </w:rPr>
        <w:fldChar w:fldCharType="begin" w:fldLock="1"/>
      </w:r>
      <w:r>
        <w:rPr>
          <w:rFonts w:eastAsia="Calibri" w:cs="Times New Roman"/>
          <w:bCs/>
          <w:iCs/>
          <w:szCs w:val="24"/>
        </w:rPr>
        <w:instrText>ADDIN CSL_CITATION {"citationItems":[{"id":"ITEM-1","itemData":{"DOI":"10.1002/pts.2770010308","ISBN":"9781315623399","ISSN":"10991522","author":[{"dropping-particle":"","family":"Katan","given":"L. L.","non-dropping-particle":"","parse-names":false,"suffix":""}],"container-title":"Packaging Technology and Science","id":"ITEM-1","issue":"3","issued":{"date-parts":[["1988"]]},"page":"169-169","title":"Global migration","type":"article-journal","volume":"1"},"uris":["http://www.mendeley.com/documents/?uuid=b613047a-26bc-4e8c-b188-bfdfeb67df56"]}],"mendeley":{"formattedCitation":"(Katan, 1988)","plainTextFormattedCitation":"(Katan, 1988)","previouslyFormattedCitation":"(Katan, 1988)"},"properties":{"noteIndex":0},"schema":"https://github.com/citation-style-language/schema/raw/master/csl-citation.json"}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(Katan, 1988)</w:t>
      </w:r>
      <w:r>
        <w:rPr>
          <w:rFonts w:eastAsia="Calibri" w:cs="Times New Roman"/>
          <w:bCs/>
          <w:iCs/>
          <w:szCs w:val="24"/>
        </w:rPr>
        <w:fldChar w:fldCharType="end"/>
      </w:r>
      <w:r>
        <w:rPr>
          <w:rFonts w:eastAsia="Calibri" w:cs="Times New Roman"/>
          <w:bCs/>
          <w:iCs/>
          <w:szCs w:val="24"/>
        </w:rPr>
        <w:t xml:space="preserve">. This theory is useful in explaining pastoralist mobility patterns that occur around the world, especially during times of climatic stress. In this context, the inability of pastoralists to get enough feed for their animals during the dry season has led to the increased mobility of </w:t>
      </w:r>
      <w:r>
        <w:rPr>
          <w:rFonts w:eastAsia="Calibri" w:cs="Times New Roman"/>
          <w:bCs/>
          <w:iCs/>
          <w:szCs w:val="24"/>
        </w:rPr>
        <w:lastRenderedPageBreak/>
        <w:t xml:space="preserve">pastoralists from their states of origin to other countries to get access to better fodder and water for their animals, which are essential for their livelihood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{"citationItems":[{"id":"ITEM-1","itemData":{"DOI":"10.1186/s13570-021-00210-8","ISSN":"20417136","abstract":"Finding sufficient natural fodder resources to feed livestock has become a challenge for herders in the Sahel zone of Burkina Faso. Despite the existence of pastoral reserves, the issue of fodder shortage remains unsolved. This article highlights the changes in behaviour and the evolution of pastoral practices caused by the scarcity of forage resources. These changes are defined and classified as resilience strategies. Thus, this paper aims to analyse these strategies using new semantics that calls for other forms of perceptions or approach to the questions of pastoralists’ resilience strategies. Interviews (semi-structured and casual conversations), ethnographic observations and ethnobotanical surveys were used to collect data. In rangelands, such high value fodder species as Andropogon gayanus, Pennisetum pedicellatum and Dactyloctenium aegyptium that were abundant herbaceous plants during the last decades are disappearing. Concomitantly, species with lower forage value, such as Senna obtusifolia, which are more resilient to ecological disturbance factors, are colonizing rangelands. Faced with these ecological changes, pastoralists are trying to redefine and reconfigure their practices, and this implies a redefinition of their identity. They use resilience strategies such as mowing grasses, building up fodder bundles, conserving crop residues, exploiting Senna obtusifolia (a previously neglected species), using woody fodder and adapting the type of livestock and the size of the herds to the ability of pastoralists to feed them. Strategies that are older than these are the integration of agriculture with livestock and decollectivized transhumance. It is these resilience strategies that this article exposes and analyses as defence mechanisms of Sahelian pastoralists in the face of the depletion of forage resources in their environments.","author":[{"dropping-particle":"","family":"Ouédraogo","given":"Karim","non-dropping-particle":"","parse-names":false,"suffix":""},{"dropping-particle":"","family":"Zaré","given":"Alhassane","non-dropping-particle":"","parse-names":false,"suffix":""},{"dropping-particle":"","family":"Korbéogo","given":"Gabin","non-dropping-particle":"","parse-names":false,"suffix":""},{"dropping-particle":"","family":"Ouédraogo","given":"Oumarou","non-dropping-particle":"","parse-names":false,"suffix":""},{"dropping-particle":"","family":"Linstädter","given":"Anja","non-dropping-particle":"","parse-names":false,"suffix":""}],"container-title":"Pastoralism","id":"ITEM-1","issue":"1","issued":{"date-parts":[["2021"]]},"publisher":"Pastoralism","title":"Resilience strategies of West African pastoralists in response to scarce forage resources","type":"article-journal","volume":"11"},"uris":["http://www.mendeley.com/documents/?uuid=f1b1e9ff-7059-46f1-895c-f5e84f7746c1"]}],"mendeley":{"formattedCitation":"(Ouédraogo et al., 2021)","plainTextFormattedCitation":"(Ouédraogo et al., 2021)","previouslyFormattedCitation":"(Ouédraogo et al.,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(Ouédraogo et al., 2021)</w:t>
      </w:r>
      <w:r>
        <w:rPr>
          <w:rFonts w:eastAsia="Calibri" w:cs="Times New Roman"/>
          <w:bCs/>
          <w:iCs/>
          <w:szCs w:val="24"/>
        </w:rPr>
        <w:fldChar w:fldCharType="end"/>
      </w:r>
      <w:r>
        <w:rPr>
          <w:rFonts w:eastAsia="Calibri" w:cs="Times New Roman"/>
          <w:bCs/>
          <w:iCs/>
          <w:szCs w:val="24"/>
        </w:rPr>
        <w:t xml:space="preserve">. In such extreme environments, places with good access to food and water become their preferred choice as they offer conditions favourable to the pastoralist. For instance, grass and water, which are lacking in their place of origin </w:t>
      </w:r>
      <w:r>
        <w:rPr>
          <w:rFonts w:eastAsia="Calibri" w:cs="Times New Roman"/>
          <w:bCs/>
          <w:iCs/>
          <w:szCs w:val="24"/>
        </w:rPr>
        <w:fldChar w:fldCharType="begin" w:fldLock="1"/>
      </w:r>
      <w:r>
        <w:rPr>
          <w:rFonts w:eastAsia="Calibri" w:cs="Times New Roman"/>
          <w:bCs/>
          <w:iCs/>
          <w:szCs w:val="24"/>
        </w:rPr>
        <w:instrText>ADDIN CSL_CITATION {"citationItems":[{"id":"ITEM-1","itemData":{"DOI":"10.1177/20530196211007512","ISSN":"2053-0196","abstract":"During the last decades, pastoralist, and agropastoralist populations of the world?s drylands have become exceedingly vulnerable to regional and global changes. Specifically, exacerbated stressors imposed on these populations have adversely affected their food security status, causing humanitarian emergencies and catastrophes. Of these stressors, climate variability and change, land-use and management practices, and dynamics of human demography are of a special importance. These factors affect all four pillars of food security, namely, food availability, access to food, food utilization, and food stability. The objective of this study was to critically review relevant literature to assess the complex web of interrelations and feedbacks that affect these factors. The increasing pressures on the world?s drylands necessitate a comprehensive analysis to advise policy makers regarding the complexity and linkages among factors, and to improve global action. The acquired insights may be the basis for alleviating food insecurity of vulnerable dryland populations.","author":[{"dropping-particle":"","family":"Stavi","given":"Ilan","non-dropping-particle":"","parse-names":false,"suffix":""},{"dropping-particle":"","family":"Roque de Pinho","given":"Joana","non-dropping-particle":"","parse-names":false,"suffix":""},{"dropping-particle":"","family":"Paschalidou","given":"Anastasia K","non-dropping-particle":"","parse-names":false,"suffix":""},{"dropping-particle":"","family":"Adamo","given":"Susana B","non-dropping-particle":"","parse-names":false,"suffix":""},{"dropping-particle":"","family":"Galvin","given":"Kathleen","non-dropping-particle":"","parse-names":false,"suffix":""},{"dropping-particle":"","family":"Sherbinin","given":"Alex","non-dropping-particle":"de","parse-names":false,"suffix":""},{"dropping-particle":"","family":"Even","given":"Trevor","non-dropping-particle":"","parse-names":false,"suffix":""},{"dropping-particle":"","family":"Heaviside","given":"Clare","non-dropping-particle":"","parse-names":false,"suffix":""},{"dropping-particle":"","family":"Geest","given":"Kees","non-dropping-particle":"van der","parse-names":false,"suffix":""}],"container-title":"The Anthropocene Review","id":"ITEM-1","issue":"3","issued":{"date-parts":[["2021","4","6"]]},"note":"doi: 10.1177/20530196211007512","page":"299-323","publisher":"SAGE Publications","title":"Food security among dryland pastoralists and agropastoralists: The climate, land-use change, and population dynamics nexus","type":"article-journal","volume":"9"},"uris":["http://www.mendeley.com/documents/?uuid=bcbeaa44-19cd-4f2b-8619-ed847e74177d"]}],"mendeley":{"formattedCitation":"(Stavi et al., 2021)","plainTextFormattedCitation":"(Stavi et al., 2021)","previouslyFormattedCitation":"(Stavi et al.,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(Stavi et al., 2021)</w:t>
      </w:r>
      <w:r>
        <w:rPr>
          <w:rFonts w:eastAsia="Calibri" w:cs="Times New Roman"/>
          <w:bCs/>
          <w:iCs/>
          <w:szCs w:val="24"/>
        </w:rPr>
        <w:fldChar w:fldCharType="end"/>
      </w:r>
      <w:r>
        <w:rPr>
          <w:rFonts w:eastAsia="Calibri" w:cs="Times New Roman"/>
          <w:bCs/>
          <w:iCs/>
          <w:szCs w:val="24"/>
        </w:rPr>
        <w:t>.</w:t>
      </w:r>
    </w:p>
    <w:p w:rsidR="00E53882" w:rsidRDefault="00B16FF7">
      <w:pPr>
        <w:spacing w:line="480" w:lineRule="auto"/>
        <w:rPr>
          <w:rFonts w:eastAsia="Calibri" w:cs="Times New Roman"/>
          <w:bCs/>
          <w:iCs/>
          <w:szCs w:val="24"/>
        </w:rPr>
      </w:pPr>
      <w:r>
        <w:rPr>
          <w:rFonts w:eastAsia="Calibri" w:cs="Times New Roman"/>
          <w:bCs/>
          <w:iCs/>
          <w:szCs w:val="24"/>
        </w:rPr>
        <w:t xml:space="preserve">The descriptive nature of the push-and-pull theory is notable, lacking a comprehensive framework to elucidate the complex interplay of various factors influencing human mobility decisions, as emphasized by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Migration","type":"chapter"},"uris":["http://www.mendeley.com/documents/?uuid=7e31c964-1627-41e8-b634-ff2f3325d12a"]}],"mendeley":{"formattedCitation":"(Castles et al., 2014)","manualFormatting":"Castles et al., (2014)","plainTextFormattedCitation":"(Castles et al., 2014)","previouslyFormattedCitation":"(Castles et al., 2014)"},"properties":{"noteIndex":0},"schema":"https://github.com/citation-style-language/schema/raw/master/csl-citation.json"}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Castles</w:t>
      </w:r>
      <w:r w:rsidR="00214D12">
        <w:rPr>
          <w:rFonts w:eastAsia="Calibri" w:cs="Times New Roman"/>
          <w:bCs/>
          <w:iCs/>
          <w:noProof/>
          <w:szCs w:val="24"/>
        </w:rPr>
        <w:t xml:space="preserve"> et al.,</w:t>
      </w:r>
      <w:r>
        <w:rPr>
          <w:rFonts w:eastAsia="Calibri" w:cs="Times New Roman"/>
          <w:bCs/>
          <w:iCs/>
          <w:noProof/>
          <w:szCs w:val="24"/>
        </w:rPr>
        <w:t xml:space="preserve"> (2014)</w:t>
      </w:r>
      <w:r>
        <w:rPr>
          <w:rFonts w:eastAsia="Calibri" w:cs="Times New Roman"/>
          <w:bCs/>
          <w:iCs/>
          <w:szCs w:val="24"/>
        </w:rPr>
        <w:fldChar w:fldCharType="end"/>
      </w:r>
      <w:r>
        <w:rPr>
          <w:rFonts w:eastAsia="Calibri" w:cs="Times New Roman"/>
          <w:bCs/>
          <w:iCs/>
          <w:szCs w:val="24"/>
        </w:rPr>
        <w:t xml:space="preserve">. Furthermore, critiques have been raised, challenging the theory's broad assertion that factors like population growth and environmental degradation unilaterally lead to human mobility. Such critiques underscore the oversight of essential influences, particularly the role of improved agricultural knowledge in influencing individuals to remain in their current locations </w:t>
      </w:r>
      <w:r>
        <w:rPr>
          <w:rFonts w:eastAsia="Calibri" w:cs="Times New Roman"/>
          <w:bCs/>
          <w:iCs/>
          <w:szCs w:val="24"/>
        </w:rPr>
        <w:fldChar w:fldCharType="begin" w:fldLock="1"/>
      </w:r>
      <w:r>
        <w:rPr>
          <w:rFonts w:eastAsia="Calibri" w:cs="Times New Roman"/>
          <w:bCs/>
          <w:iCs/>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id":"ITEM-2","itemData":{"author":[{"dropping-particle":"","family":"Tymore","given":"Maganga","non-dropping-particle":"","parse-names":false,"suffix":""}],"id":"ITEM-2","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Maganga","type":"thesis"},"uris":["http://www.mendeley.com/documents/?uuid=19f7e569-3bf6-43d7-a26f-742026d16e0a"]}],"mendeley":{"formattedCitation":"(Castles et al., 2014; Tymore, 2020)","plainTextFormattedCitation":"(Castles et al., 2014; Tymore, 2020)","previouslyFormattedCitation":"(Castles et al., 2014; Tymore,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(Castles et al., 2014; Tymore, 2020)</w:t>
      </w:r>
      <w:r>
        <w:rPr>
          <w:rFonts w:eastAsia="Calibri" w:cs="Times New Roman"/>
          <w:bCs/>
          <w:iCs/>
          <w:szCs w:val="24"/>
        </w:rPr>
        <w:fldChar w:fldCharType="end"/>
      </w:r>
      <w:r>
        <w:rPr>
          <w:rFonts w:eastAsia="Calibri" w:cs="Times New Roman"/>
          <w:bCs/>
          <w:iCs/>
          <w:szCs w:val="24"/>
        </w:rPr>
        <w:t xml:space="preserve">. Moreover, the suitability of the push-and-pull model for explaining movements driven by non-economic factors, such as rapid-onset disasters, has been questioned in numerous studies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{"citationItems":[{"id":"ITEM-1","itemData":{"author":[{"dropping-particle":"","family":"IDMC","given":"","non-dropping-particle":"","parse-names":false,"suffix":""}],"id":"ITEM-1","issue":"Idmc","issued":{"date-parts":[["2018"]]},"title":"THE WARSAW INTERNATIONAL MECHANISM FOR LOSS AND DAMAGE Synthesizing the state of knowledge to better understand displacement related to slow onset events Internal Displacement Monitoring Centre ( IDMC ) Task Force on Displacement Activity I . 2","type":"article-journal"},"uris":["http://www.mendeley.com/documents/?uuid=3399b869-ad5a-4ee6-9641-28b0bc99a65e"]}],"mendeley":{"formattedCitation":"(IDMC, 2018)","plainTextFormattedCitation":"(IDMC, 2018)","previouslyFormattedCitation":"(IDMC, 2018)"},"properties":{"noteIndex":0},"schema":"https://github.com/citation-style-language/schema/raw/master/csl-citation.json"}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(IDMC, 2018)</w:t>
      </w:r>
      <w:r>
        <w:rPr>
          <w:rFonts w:eastAsia="Calibri" w:cs="Times New Roman"/>
          <w:bCs/>
          <w:iCs/>
          <w:szCs w:val="24"/>
        </w:rPr>
        <w:fldChar w:fldCharType="end"/>
      </w:r>
      <w:r>
        <w:rPr>
          <w:rFonts w:eastAsia="Calibri" w:cs="Times New Roman"/>
          <w:bCs/>
          <w:iCs/>
          <w:szCs w:val="24"/>
        </w:rPr>
        <w:t xml:space="preserve">. In instances where mobility serves as a proactive measure to secure livelihoods amidst challenging economic conditions, it is argued that mobility functions more as a coping strategy employed by economically disadvantaged individuals to diversify income sources and provide financial support to families during periods of crop failure </w:t>
      </w:r>
      <w:r>
        <w:rPr>
          <w:rFonts w:eastAsia="Calibri" w:cs="Times New Roman"/>
          <w:bCs/>
          <w:iCs/>
          <w:szCs w:val="24"/>
        </w:rPr>
        <w:fldChar w:fldCharType="begin" w:fldLock="1"/>
      </w:r>
      <w:r>
        <w:rPr>
          <w:rFonts w:eastAsia="Calibri" w:cs="Times New Roman"/>
          <w:bCs/>
          <w:iCs/>
          <w:szCs w:val="24"/>
        </w:rPr>
        <w:instrText>ADDIN CSL_CITATION {"citationItems":[{"id":"ITEM-1","itemData":{"DOI":"10.1017/9781009325844.010.1171","ISBN":"9781009325844","author":[{"dropping-particle":"","family":"Birkmann","given":"J","non-dropping-particle":"","parse-names":false,"suffix":""},{"dropping-particle":"","family":"Liwenga","given":"E","non-dropping-particle":"","parse-names":false,"suffix":""},{"dropping-particle":"","family":"Pandey","given":"R","non-dropping-particle":"","parse-names":false,"suffix":""},{"dropping-particle":"","family":"Boyd","given":"E","non-dropping-particle":"","parse-names":false,"suffix":""},{"dropping-particle":"","family":"Djalante","given":"R","non-dropping-particle":"","parse-names":false,"suffix":""},{"dropping-particle":"","family":"Gemenne","given":"F","non-dropping-particle":"","parse-names":false,"suffix":""},{"dropping-particle":"","family":"Filho","given":"W Leal","non-dropping-particle":"","parse-names":false,"suffix":""},{"dropping-particle":"","family":"Pinho","given":"P F","non-dropping-particle":"","parse-names":false,"suffix":""},{"dropping-particle":"","family":"Stringer","given":"L","non-dropping-particle":"","parse-names":false,"suffix":""},{"dropping-particle":"","family":"Wrathall","given":"D","non-dropping-particle":"","parse-names":false,"suffix":""}],"container-title":"Climate Change 2022: Impacts, Adaptation and Vulnerability. Contribution of Working Group II to the Sixth Assessment Report of the Intergovernmental Panel on Climate Change","id":"ITEM-1","issued":{"date-parts":[["2022"]]},"number-of-pages":"1171-1274","title":"Poverty, Livelihoods and Sustainable Development","type":"book"},"uris":["http://www.mendeley.com/documents/?uuid=d08ab39b-ebd5-4c7a-bc65-b7874714b259"]}],"mendeley":{"formattedCitation":"(Birkmann et al., 2022)","plainTextFormattedCitation":"(Birkmann et al., 2022)","previouslyFormattedCitation":"(Birkmann et al., 2022)"},"properties":{"noteIndex":0},"schema":"https://github.com/citation-style-language/schema/raw/master/csl-citation.json"}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(Birkmann et al., 2022)</w:t>
      </w:r>
      <w:r>
        <w:rPr>
          <w:rFonts w:eastAsia="Calibri" w:cs="Times New Roman"/>
          <w:bCs/>
          <w:iCs/>
          <w:szCs w:val="24"/>
        </w:rPr>
        <w:fldChar w:fldCharType="end"/>
      </w:r>
      <w:r>
        <w:rPr>
          <w:rFonts w:eastAsia="Calibri" w:cs="Times New Roman"/>
          <w:bCs/>
          <w:iCs/>
          <w:szCs w:val="24"/>
        </w:rPr>
        <w:t>.</w:t>
      </w:r>
    </w:p>
    <w:p w:rsidR="00E53882" w:rsidRDefault="00B16FF7">
      <w:pPr>
        <w:spacing w:line="480" w:lineRule="auto"/>
        <w:rPr>
          <w:rFonts w:eastAsia="Calibri" w:cs="Times New Roman"/>
          <w:bCs/>
          <w:iCs/>
          <w:szCs w:val="24"/>
        </w:rPr>
      </w:pPr>
      <w:r>
        <w:rPr>
          <w:rFonts w:eastAsia="Calibri" w:cs="Times New Roman"/>
          <w:bCs/>
          <w:iCs/>
          <w:szCs w:val="24"/>
        </w:rPr>
        <w:t xml:space="preserve">Critically, push-and-pull migration theories tend to overlook various influential factors in mobility decisions, including historical relationships, cultural considerations, family and community dynamics, the role of intermediaries facilitating mobility logistics, and the involvement of states in </w:t>
      </w:r>
      <w:proofErr w:type="spellStart"/>
      <w:r>
        <w:rPr>
          <w:rFonts w:eastAsia="Calibri" w:cs="Times New Roman"/>
          <w:bCs/>
          <w:iCs/>
          <w:szCs w:val="24"/>
        </w:rPr>
        <w:t>labor</w:t>
      </w:r>
      <w:proofErr w:type="spellEnd"/>
      <w:r>
        <w:rPr>
          <w:rFonts w:eastAsia="Calibri" w:cs="Times New Roman"/>
          <w:bCs/>
          <w:iCs/>
          <w:szCs w:val="24"/>
        </w:rPr>
        <w:t xml:space="preserve"> recruitment.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{"citationItems":[{"id":"ITEM-1","itemData":{"author":[{"dropping-particle":"","family":"Tymore","given":"Maganga","non-dropping-particle":"","parse-names":false,"suffix":""}],"id":"ITEM-1","issued":{"date-parts":[["2020"]]},"title":"Climate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Maganga","type":"thesis"},"uris":["http://www.mendeley.com/documents/?uuid=19f7e569-3bf6-43d7-a26f-742026d16e0a"]}],"mendeley":{"formattedCitation":"(Tymore, 2020)","manualFormatting":"Tymore, (2020)","plainTextFormattedCitation":"(Tymore, 2020)","previouslyFormattedCitation":"(Tymore,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Tymore, (2020)</w:t>
      </w:r>
      <w:r>
        <w:rPr>
          <w:rFonts w:eastAsia="Calibri" w:cs="Times New Roman"/>
          <w:bCs/>
          <w:iCs/>
          <w:szCs w:val="24"/>
        </w:rPr>
        <w:fldChar w:fldCharType="end"/>
      </w:r>
      <w:r>
        <w:rPr>
          <w:rFonts w:eastAsia="Calibri" w:cs="Times New Roman"/>
          <w:bCs/>
          <w:iCs/>
          <w:szCs w:val="24"/>
        </w:rPr>
        <w:t xml:space="preserve"> emphasizes that human mobility </w:t>
      </w:r>
      <w:r>
        <w:rPr>
          <w:rFonts w:eastAsia="Calibri" w:cs="Times New Roman"/>
          <w:bCs/>
          <w:iCs/>
          <w:szCs w:val="24"/>
        </w:rPr>
        <w:lastRenderedPageBreak/>
        <w:t>explanations should encompass these factors beyond a simplistic push-and-pull framework. It is essential to acknowledge that while the push-and-pull theory has been a foundational concept in migration studies, serving as the basis for numerous other migration theories, it falls short in capturing the complexity of global human mobility patterns. Despite its limitations, a substantial portion of global human mobility patterns continues to be interpreted through the lens of this model.</w:t>
      </w:r>
      <w:r>
        <w:rPr>
          <w:rFonts w:eastAsia="Calibri" w:cs="Times New Roman"/>
          <w:b/>
          <w:bCs/>
          <w:iCs/>
          <w:vanish/>
          <w:szCs w:val="24"/>
        </w:rPr>
        <w:t>Top of Form</w:t>
      </w:r>
    </w:p>
    <w:p w:rsidR="00E53882" w:rsidRDefault="00B16FF7">
      <w:pPr>
        <w:spacing w:after="0" w:line="480" w:lineRule="auto"/>
        <w:rPr>
          <w:rFonts w:eastAsia="Calibri" w:cs="Times New Roman"/>
          <w:bCs/>
          <w:iCs/>
          <w:szCs w:val="24"/>
        </w:rPr>
      </w:pPr>
      <w:r>
        <w:rPr>
          <w:b/>
        </w:rPr>
        <w:t>2.1.2.</w:t>
      </w:r>
      <w:r>
        <w:t xml:space="preserve"> </w:t>
      </w:r>
      <w:r>
        <w:rPr>
          <w:b/>
        </w:rPr>
        <w:t>The Maximalist School of Thought</w:t>
      </w:r>
    </w:p>
    <w:p w:rsidR="00E53882" w:rsidRDefault="00B16FF7">
      <w:pPr>
        <w:spacing w:line="480" w:lineRule="auto"/>
        <w:rPr>
          <w:rFonts w:eastAsia="Calibri" w:cs="Times New Roman"/>
          <w:bCs/>
          <w:iCs/>
          <w:szCs w:val="24"/>
        </w:rPr>
      </w:pPr>
      <w:r>
        <w:rPr>
          <w:rFonts w:eastAsia="Calibri" w:cs="Times New Roman"/>
          <w:bCs/>
          <w:iCs/>
          <w:szCs w:val="24"/>
        </w:rPr>
        <w:t xml:space="preserve">Etienne </w:t>
      </w:r>
      <w:proofErr w:type="spellStart"/>
      <w:r>
        <w:rPr>
          <w:rFonts w:eastAsia="Calibri" w:cs="Times New Roman"/>
          <w:bCs/>
          <w:iCs/>
          <w:szCs w:val="24"/>
        </w:rPr>
        <w:t>Piguet</w:t>
      </w:r>
      <w:proofErr w:type="spellEnd"/>
      <w:r>
        <w:rPr>
          <w:rFonts w:eastAsia="Calibri" w:cs="Times New Roman"/>
          <w:bCs/>
          <w:iCs/>
          <w:szCs w:val="24"/>
        </w:rPr>
        <w:t xml:space="preserve"> emphasizes the significance of the natural environment as a fundamental factor in migration studies. Piquet’s restoring the role of the natural environment in the studies of migration was the first effort of geographers between the late and early nineteenth and twentieth centuries, respectively, who admired Ernst </w:t>
      </w:r>
      <w:proofErr w:type="spellStart"/>
      <w:r>
        <w:rPr>
          <w:rFonts w:eastAsia="Calibri" w:cs="Times New Roman"/>
          <w:bCs/>
          <w:iCs/>
          <w:szCs w:val="24"/>
        </w:rPr>
        <w:t>Ravenstein</w:t>
      </w:r>
      <w:proofErr w:type="spellEnd"/>
      <w:r>
        <w:rPr>
          <w:rFonts w:eastAsia="Calibri" w:cs="Times New Roman"/>
          <w:bCs/>
          <w:iCs/>
          <w:szCs w:val="24"/>
        </w:rPr>
        <w:t xml:space="preserve"> and Ellsworth Huntington </w:t>
      </w:r>
      <w:r>
        <w:rPr>
          <w:rFonts w:eastAsia="Calibri" w:cs="Times New Roman"/>
          <w:bCs/>
          <w:iCs/>
          <w:szCs w:val="24"/>
        </w:rPr>
        <w:fldChar w:fldCharType="begin" w:fldLock="1"/>
      </w:r>
      <w:r>
        <w:rPr>
          <w:rFonts w:eastAsia="Calibri" w:cs="Times New Roman"/>
          <w:bCs/>
          <w:iCs/>
          <w:szCs w:val="24"/>
        </w:rPr>
        <w:instrText>ADDIN CSL_CITATION {"citationItems":[{"id":"ITEM-1","itemData":{"DOI":"10.1080/00045608.2012.696233","ISSN":"0004-5608","author":[{"dropping-particle":"","family":"Etienne","given":"Piguet","non-dropping-particle":"","parse-names":false,"suffix":""}],"container-title":"Annals of the Association of American Geographers","id":"ITEM-1","issue":"1","issued":{"date-parts":[["2013","1","1"]]},"note":"doi: 10.1080/00045608.2012.696233","page":"148-162","publisher":"Routledge","title":"From “Primitive Migration” to “Climate Refugees”: The Curious Fate of the Natural Environment in Migration Studies","type":"article-journal","volume":"103"},"uris":["http://www.mendeley.com/documents/?uuid=75249557-bd08-4e05-8c50-19c3b42eff51"]}],"mendeley":{"formattedCitation":"(Etienne, 2013)","plainTextFormattedCitation":"(Etienne, 2013)","previouslyFormattedCitation":"(Etienne, 2013)"},"properties":{"noteIndex":0},"schema":"https://github.com/citation-style-language/schema/raw/master/csl-citation.json"}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(Etienne, 2013)</w:t>
      </w:r>
      <w:r>
        <w:rPr>
          <w:rFonts w:eastAsia="Calibri" w:cs="Times New Roman"/>
          <w:bCs/>
          <w:iCs/>
          <w:szCs w:val="24"/>
        </w:rPr>
        <w:fldChar w:fldCharType="end"/>
      </w:r>
      <w:r>
        <w:rPr>
          <w:rFonts w:eastAsia="Calibri" w:cs="Times New Roman"/>
          <w:bCs/>
          <w:iCs/>
          <w:szCs w:val="24"/>
        </w:rPr>
        <w:t xml:space="preserve">. In this well-established literature, we may discover pieces of evidence like empirical assertions regarding climate change-induced mobility, where in explaining the concept of mobility, the dominating aspect was the natural environment. According to Huntington, climate change was the major reason that resulted in the "barbaric" attacks on Europeans during the latter years of the western empire. Huntington further maintained that the "untold hordes of nomads" from the central plains of Asia migrated to Europe because of the lack of rain, where the climate was becoming warm and bearable. Horde after horde descended on Rome, crumbling it to the ground in front of the wanderers. According to him, nations that were strong enough could live wherever there was a favourable climatic condition. He thought that the environment was the driving force behind history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{"citationItems":[{"id":"ITEM-1","itemData":{"DOI":"10.1093/oso/9780195078701.003.0013","ISBN":"9780195078701","abstract":"The climate work of the unrestrained and undisciplined geographic determinist, eugenicist, and popular writer Ellsworth Huntington (1876–1947) can be categorized into three large themes: the influence of weather and weather changes on workers and students, the influence of climate on world civilizations, and the influence of solar variations on climate change. The first represented a sort of meteorological Taylorism, the second a reprise of enlightenment determinism, and the third a simplistic and wholly unrealistic pseudoscientific theory. Why, then, should we bother with him? One answer was provided by the historian Arnold Toynbee, who was “enormously influenced” by Huntington’s ideas about the relation between human beings and their physical environments. It was Toynbee’s opinion that “[s]tudents of human affairs may agree or disagree with Huntington, but in either case they will be influenced by him, so it is better that they should be aware of him.” Although Huntington’s thought was indeed influential in its time, since then his racial bias and crude determinisms have been largely rejected. Nonetheless, his categorical errors seem destined to be repeated by those who make overly dramatic claims for weather and climatic influences. Ellsworth Huntington was born in Galesburg, Illinois, on September 16, 1876, the third child and eldest son of Henry Strong Huntington, a Congregationalist minister, and Mary Lawrence Herbert. The Huntingtons were proud of their Puritan ancestry, which they traced to 1633. Following the call of the ministry, the family moved to Gorham, Maine, in 1877 and then in 1889 to Milton, Massachusetts, a wealthy suburb of Boston. Ellsworth attended the public high school, where he excelled in athletics and academics. His biographers have called him reclusive, but his brother suggested that perhaps he was humble rather than shy. Huntington passed the Harvard entrance examinations, but family finances precluded his enrollment there. Instead, he attended Beloit College, where he boarded with a maternal aunt, from 1893 to 1897. Following in the footsteps of T. C. Chamberlin (Beloit 1866), Huntington studied both classics and geology, publishing his first article, on local road-making materials, in the Transactions of the Wisconsin Academy of Sciences.","author":[{"dropping-particle":"","family":"Fleming","given":"James R","non-dropping-particle":"","parse-names":false,"suffix":""}],"container-title":"Historical Perspectives on Climate Change","editor":[{"dropping-particle":"","family":"Fleming","given":"James Rodger","non-dropping-particle":"","parse-names":false,"suffix":""}],"id":"ITEM-1","issued":{"date-parts":[["1998","10","15"]]},"page":"0","publisher":"Oxford University Press","title":"The Climatic Determinism of Ellsworth Huntington","type":"article"},"uris":["http://www.mendeley.com/documents/?uuid=756a356d-7018-4625-a0ad-b08f281a3421"]}],"mendeley":{"formattedCitation":"(Fleming, 1998)","plainTextFormattedCitation":"(Fleming, 1998)","previouslyFormattedCitation":"(Fleming, 1998)"},"properties":{"noteIndex":0},"schema":"https://github.com/citation-style-language/schema/raw/master/csl-citation.json"}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(Fleming, 1998)</w:t>
      </w:r>
      <w:r>
        <w:rPr>
          <w:rFonts w:eastAsia="Calibri" w:cs="Times New Roman"/>
          <w:bCs/>
          <w:iCs/>
          <w:szCs w:val="24"/>
        </w:rPr>
        <w:fldChar w:fldCharType="end"/>
      </w:r>
      <w:r>
        <w:rPr>
          <w:rFonts w:eastAsia="Calibri" w:cs="Times New Roman"/>
          <w:bCs/>
          <w:iCs/>
          <w:szCs w:val="24"/>
        </w:rPr>
        <w:t xml:space="preserve">. At the time, however, the conventional wisdom about how the environment influences human mobility was no longer in favour of many scholars. Geographers in the 1970s ignored the </w:t>
      </w:r>
      <w:r>
        <w:rPr>
          <w:rFonts w:eastAsia="Calibri" w:cs="Times New Roman"/>
          <w:bCs/>
          <w:iCs/>
          <w:szCs w:val="24"/>
        </w:rPr>
        <w:lastRenderedPageBreak/>
        <w:t xml:space="preserve">natural environment in favour of a very theoretical approach to enlightened the causes of migration </w:t>
      </w:r>
      <w:r>
        <w:rPr>
          <w:rFonts w:eastAsia="Calibri" w:cs="Times New Roman"/>
          <w:bCs/>
          <w:iCs/>
          <w:szCs w:val="24"/>
        </w:rPr>
        <w:fldChar w:fldCharType="begin" w:fldLock="1"/>
      </w:r>
      <w:r>
        <w:rPr>
          <w:rFonts w:eastAsia="Calibri" w:cs="Times New Roman"/>
          <w:bCs/>
          <w:iCs/>
          <w:szCs w:val="24"/>
        </w:rPr>
        <w:instrText>ADDIN CSL_CITATION {"citationItems":[{"id":"ITEM-1","itemData":{"DOI":"10.1146/annurev.so.02.080176.002051","author":[{"dropping-particle":"","family":"Ritchey","given":"Phillip","non-dropping-particle":"","parse-names":false,"suffix":""}],"container-title":"Annual Review of Sociology","id":"ITEM-1","issued":{"date-parts":[["2003","11","28"]]},"page":"363-404","title":"Explanation of Migration","type":"article-journal","volume":"2"},"uris":["http://www.mendeley.com/documents/?uuid=d53f9497-c82d-45fa-acfc-e41201ce13a0"]}],"mendeley":{"formattedCitation":"(Ritchey, 2003)","plainTextFormattedCitation":"(Ritchey, 2003)","previouslyFormattedCitation":"(Ritchey, 2003)"},"properties":{"noteIndex":0},"schema":"https://github.com/citation-style-language/schema/raw/master/csl-citation.json"}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(Ritchey, 2003)</w:t>
      </w:r>
      <w:r>
        <w:rPr>
          <w:rFonts w:eastAsia="Calibri" w:cs="Times New Roman"/>
          <w:bCs/>
          <w:iCs/>
          <w:szCs w:val="24"/>
        </w:rPr>
        <w:fldChar w:fldCharType="end"/>
      </w:r>
      <w:r>
        <w:rPr>
          <w:rFonts w:eastAsia="Calibri" w:cs="Times New Roman"/>
          <w:bCs/>
          <w:iCs/>
          <w:szCs w:val="24"/>
        </w:rPr>
        <w:t xml:space="preserve">. In this context, there has been a resurgence of interest in the connections between mobility and the natural environment, owing to increased global concern about the effects of phylogenetic climate change. Researchers like Piquet believe that the improvements made during the writing of this publication will be recognized as a "reappearance" of the original environmental effort </w:t>
      </w:r>
      <w:r>
        <w:rPr>
          <w:rFonts w:eastAsia="Calibri" w:cs="Times New Roman"/>
          <w:bCs/>
          <w:iCs/>
          <w:szCs w:val="24"/>
        </w:rPr>
        <w:fldChar w:fldCharType="begin" w:fldLock="1"/>
      </w:r>
      <w:r>
        <w:rPr>
          <w:rFonts w:eastAsia="Calibri" w:cs="Times New Roman"/>
          <w:bCs/>
          <w:iCs/>
          <w:szCs w:val="24"/>
        </w:rPr>
        <w:instrText>ADDIN CSL_CITATION {"citationItems":[{"id":"ITEM-1","itemData":{"DOI":"10.1080/00045608.2012.696233","ISSN":"0004-5608","author":[{"dropping-particle":"","family":"Etienne","given":"Piguet","non-dropping-particle":"","parse-names":false,"suffix":""}],"container-title":"Annals of the Association of American Geographers","id":"ITEM-1","issue":"1","issued":{"date-parts":[["2013","1","1"]]},"note":"doi: 10.1080/00045608.2012.696233","page":"148-162","publisher":"Routledge","title":"From “Primitive Migration” to “Climate Refugees”: The Curious Fate of the Natural Environment in Migration Studies","type":"article-journal","volume":"103"},"uris":["http://www.mendeley.com/documents/?uuid=75249557-bd08-4e05-8c50-19c3b42eff51"]}],"mendeley":{"formattedCitation":"(Etienne, 2013)","plainTextFormattedCitation":"(Etienne, 2013)","previouslyFormattedCitation":"(Etienne, 2013)"},"properties":{"noteIndex":0},"schema":"https://github.com/citation-style-language/schema/raw/master/csl-citation.json"}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(Etienne, 2013)</w:t>
      </w:r>
      <w:r>
        <w:rPr>
          <w:rFonts w:eastAsia="Calibri" w:cs="Times New Roman"/>
          <w:bCs/>
          <w:iCs/>
          <w:szCs w:val="24"/>
        </w:rPr>
        <w:fldChar w:fldCharType="end"/>
      </w:r>
      <w:r>
        <w:rPr>
          <w:rFonts w:eastAsia="Calibri" w:cs="Times New Roman"/>
          <w:bCs/>
          <w:iCs/>
          <w:szCs w:val="24"/>
        </w:rPr>
        <w:t xml:space="preserve">. The term "environmental refugee" was introduced into policy scope by the United Nations Environment Programme (UNEP) in 1985, in response to growing concerns about global warming. “who have been forced to leave their traditional habitat, temporarily or permanently, because of a marked environmental disruption (natural and/or triggered by people) that jeopardized their existence and/or seriously affected the quality of their life” </w:t>
      </w:r>
      <w:r>
        <w:rPr>
          <w:rFonts w:eastAsia="Calibri" w:cs="Times New Roman"/>
          <w:bCs/>
          <w:iCs/>
          <w:szCs w:val="24"/>
        </w:rPr>
        <w:fldChar w:fldCharType="begin" w:fldLock="1"/>
      </w:r>
      <w:r>
        <w:rPr>
          <w:rFonts w:eastAsia="Calibri" w:cs="Times New Roman"/>
          <w:bCs/>
          <w:iCs/>
          <w:szCs w:val="24"/>
        </w:rPr>
        <w:instrText>ADDIN CSL_CITATION {"citationItems":[{"id":"ITEM-1","itemData":{"ISBN":"9280711032","author":[{"dropping-particle":"","family":"UNEP","given":"","non-dropping-particle":"","parse-names":false,"suffix":""}],"container-title":"</w:instrText>
      </w:r>
      <w:r>
        <w:rPr>
          <w:rFonts w:ascii="Tahoma" w:eastAsia="Calibri" w:hAnsi="Tahoma" w:cs="Tahoma"/>
          <w:szCs w:val="24"/>
          <w:cs/>
          <w:lang w:val="th-TH" w:bidi="th-TH"/>
        </w:rPr>
        <w:instrText>วารสารวิชาการมหาวิทยาลัยอีสเทิร์นเอเชีย</w:instrText>
      </w:r>
      <w:r>
        <w:rPr>
          <w:rFonts w:eastAsia="Calibri" w:cs="Times New Roman"/>
          <w:bCs/>
          <w:iCs/>
          <w:szCs w:val="24"/>
        </w:rPr>
        <w:instrText>","id":"ITEM-1","issue":"1","issued":{"date-parts":[["1985"]]},"number-of-pages":"88-100","publisher":"Bibliography: p. 41.","publisher-place":"Nairobi : UNEP, 1985.","title":"Environmental Refugees","type":"book","volume":"4"},"uris":["http://www.mendeley.com/documents/?uuid=04c7ab4f-4e0b-426b-8641-35bded764452"]}],"mendeley":{"formattedCitation":"(UNEP, 1985)","plainTextFormattedCitation":"(UNEP, 1985)","previouslyFormattedCitation":"(UNEP, 1985)"},"properties":{"noteIndex":0},"schema":"https://github.com/citation-style-language/schema/raw/master/csl-citation.json"}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(UNEP, 1985)</w:t>
      </w:r>
      <w:r>
        <w:rPr>
          <w:rFonts w:eastAsia="Calibri" w:cs="Times New Roman"/>
          <w:bCs/>
          <w:iCs/>
          <w:szCs w:val="24"/>
        </w:rPr>
        <w:fldChar w:fldCharType="end"/>
      </w:r>
      <w:r>
        <w:rPr>
          <w:rFonts w:eastAsia="Calibri" w:cs="Times New Roman"/>
          <w:bCs/>
          <w:iCs/>
          <w:szCs w:val="24"/>
        </w:rPr>
        <w:t>.</w:t>
      </w:r>
    </w:p>
    <w:p w:rsidR="00E53882" w:rsidRDefault="00B16FF7">
      <w:pPr>
        <w:spacing w:line="480" w:lineRule="auto"/>
        <w:rPr>
          <w:rFonts w:eastAsia="Calibri" w:cs="Times New Roman"/>
          <w:iCs/>
          <w:szCs w:val="24"/>
        </w:rPr>
      </w:pPr>
      <w:r>
        <w:rPr>
          <w:rFonts w:eastAsia="Calibri" w:cs="Times New Roman"/>
          <w:bCs/>
          <w:iCs/>
          <w:szCs w:val="24"/>
        </w:rPr>
        <w:t xml:space="preserve">Following the release of this publication, the term gained popularity, and modern academic work that attempted to foresee and quantify environmental movements (often focused entirely on environmental technologies as opposed to migration studies) arose. Through the paintings of environmental scientist Norman Myers, this piece promotes the maximalist explanation regarding the influence of change in the environment on migration. He predicted that there would be 150 million environmental refugees by 2050, and that number had risen to 200 million by 2002 such details were noted in each section of the Stern Review. The broad-spectrum resourcefulness and coverage circles have unquestionably been taken over by the maximalist interpretation, which has highlighted "climate refugees" as "the human face of climate change"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{"citationItems":[{"id":"ITEM-1","itemData":{"author":[{"dropping-particle":"","family":"Draper","given":"Jamie","non-dropping-particle":"","parse-names":false,"suffix":""}],"id":"ITEM-1","issue":"December","issued":{"date-parts":[["2019"]]},"title":"Justice in Climate-Induced Migration and Displacement","type":"article-journal"},"uris":["http://www.mendeley.com/documents/?uuid=8dbb1bd5-461f-42f5-9e77-03f76053bd17"]}],"mendeley":{"formattedCitation":"(Draper, 2019)","plainTextFormattedCitation":"(Draper, 2019)","previouslyFormattedCitation":"(Draper,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(Draper, 2019)</w:t>
      </w:r>
      <w:r>
        <w:rPr>
          <w:rFonts w:eastAsia="Calibri" w:cs="Times New Roman"/>
          <w:bCs/>
          <w:iCs/>
          <w:szCs w:val="24"/>
        </w:rPr>
        <w:fldChar w:fldCharType="end"/>
      </w:r>
      <w:r>
        <w:rPr>
          <w:rFonts w:eastAsia="Calibri" w:cs="Times New Roman"/>
          <w:bCs/>
          <w:iCs/>
          <w:szCs w:val="24"/>
        </w:rPr>
        <w:t>.</w:t>
      </w:r>
      <w:r>
        <w:rPr>
          <w:rFonts w:eastAsia="Calibri" w:cs="Times New Roman"/>
          <w:iCs/>
          <w:szCs w:val="24"/>
        </w:rPr>
        <w:t xml:space="preserve">The maximalist viewpoint has drawn a lot of criticism for relying on flimsy mono-causal presumptions on the link between mobility and climatic changes. For example, it questions Myers' "doubtful" facts and his claim that "all residents of </w:t>
      </w:r>
      <w:r>
        <w:rPr>
          <w:rFonts w:eastAsia="Calibri" w:cs="Times New Roman"/>
          <w:iCs/>
          <w:szCs w:val="24"/>
        </w:rPr>
        <w:lastRenderedPageBreak/>
        <w:t>an area plagued by sea level rise may become "environmental refugees"</w:t>
      </w:r>
      <w:r w:rsidR="00900D2E">
        <w:rPr>
          <w:rFonts w:eastAsia="Calibri" w:cs="Times New Roman"/>
          <w:iCs/>
          <w:szCs w:val="24"/>
        </w:rPr>
        <w:t xml:space="preserve"> </w:t>
      </w:r>
      <w:r w:rsidR="00900D2E">
        <w:rPr>
          <w:rFonts w:eastAsia="Calibri" w:cs="Times New Roman"/>
          <w:iCs/>
          <w:szCs w:val="24"/>
        </w:rPr>
        <w:fldChar w:fldCharType="begin" w:fldLock="1"/>
      </w:r>
      <w:r w:rsidR="009B24A3">
        <w:rPr>
          <w:rFonts w:eastAsia="Calibri" w:cs="Times New Roman"/>
          <w:iCs/>
          <w:szCs w:val="24"/>
        </w:rPr>
        <w:instrText>ADDIN CSL_CITATION {"citationItems":[{"id":"ITEM-1","itemData":{"ISBN":"978-1-107-01485-5","author":[{"dropping-particle":"","family":"Piguet;","given":"Etienne","non-dropping-particle":"","parse-names":false,"suffix":""},{"dropping-particle":"","family":"Antoine;","given":"","non-dropping-particle":"","parse-names":false,"suffix":""},{"dropping-particle":"De","family":"Guchteneire","given":"Paul","non-dropping-particle":"","parse-names":false,"suffix":""}],"id":"ITEM-1","issue":"2007","issued":{"date-parts":[["2010"]]},"number-of-pages":"428","publisher":"cambridge university press","publisher-place":"cambridge university press Cambridge, New York,","title":"Migration and climate change","type":"book"},"uris":["http://www.mendeley.com/documents/?uuid=e2f7957e-a882-4db6-85eb-696374677f1b"]}],"mendeley":{"formattedCitation":"(Piguet; et al., 2010)","manualFormatting":"(Piguet et al., 2010)","plainTextFormattedCitation":"(Piguet; et al., 2010)","previouslyFormattedCitation":"(Piguet; et al., 2010)"},"properties":{"noteIndex":0},"schema":"https://github.com/citation-style-language/schema/raw/master/csl-citation.json"}</w:instrText>
      </w:r>
      <w:r w:rsidR="00900D2E">
        <w:rPr>
          <w:rFonts w:eastAsia="Calibri" w:cs="Times New Roman"/>
          <w:iCs/>
          <w:szCs w:val="24"/>
        </w:rPr>
        <w:fldChar w:fldCharType="separate"/>
      </w:r>
      <w:r w:rsidR="00900D2E" w:rsidRPr="00900D2E">
        <w:rPr>
          <w:rFonts w:eastAsia="Calibri" w:cs="Times New Roman"/>
          <w:iCs/>
          <w:noProof/>
          <w:szCs w:val="24"/>
        </w:rPr>
        <w:t>(Piguet et al., 2010)</w:t>
      </w:r>
      <w:r w:rsidR="00900D2E">
        <w:rPr>
          <w:rFonts w:eastAsia="Calibri" w:cs="Times New Roman"/>
          <w:iCs/>
          <w:szCs w:val="24"/>
        </w:rPr>
        <w:fldChar w:fldCharType="end"/>
      </w:r>
      <w:r>
        <w:rPr>
          <w:rFonts w:eastAsia="Calibri" w:cs="Times New Roman"/>
          <w:iCs/>
          <w:szCs w:val="24"/>
        </w:rPr>
        <w:t xml:space="preserve">. </w:t>
      </w:r>
      <w:proofErr w:type="spellStart"/>
      <w:r>
        <w:rPr>
          <w:rFonts w:eastAsia="Calibri" w:cs="Times New Roman"/>
          <w:iCs/>
          <w:szCs w:val="24"/>
        </w:rPr>
        <w:t>Gaim</w:t>
      </w:r>
      <w:proofErr w:type="spellEnd"/>
      <w:r>
        <w:rPr>
          <w:rFonts w:eastAsia="Calibri" w:cs="Times New Roman"/>
          <w:iCs/>
          <w:szCs w:val="24"/>
        </w:rPr>
        <w:t xml:space="preserve"> </w:t>
      </w:r>
      <w:proofErr w:type="spellStart"/>
      <w:r>
        <w:rPr>
          <w:rFonts w:eastAsia="Calibri" w:cs="Times New Roman"/>
          <w:iCs/>
          <w:szCs w:val="24"/>
        </w:rPr>
        <w:t>Kibreab's</w:t>
      </w:r>
      <w:proofErr w:type="spellEnd"/>
      <w:r>
        <w:rPr>
          <w:rFonts w:eastAsia="Calibri" w:cs="Times New Roman"/>
          <w:iCs/>
          <w:szCs w:val="24"/>
        </w:rPr>
        <w:t xml:space="preserve"> influential work also attempted to "de-mythologize" the expanding body of research on "environmental refugees," and it asserted that the efforts to isolate the environment as a driving force behind mobility had been "methodologically difficult and analytically sterile" </w:t>
      </w:r>
      <w:r>
        <w:rPr>
          <w:rFonts w:eastAsia="Calibri" w:cs="Times New Roman"/>
          <w:iCs/>
          <w:szCs w:val="24"/>
        </w:rPr>
        <w:fldChar w:fldCharType="begin" w:fldLock="1"/>
      </w:r>
      <w:r>
        <w:rPr>
          <w:rFonts w:eastAsia="Calibri" w:cs="Times New Roman"/>
          <w:iCs/>
          <w:szCs w:val="24"/>
        </w:rPr>
        <w:instrText>ADDIN CSL_CITATION {"citationItems":[{"id":"ITEM-1","itemData":{"DOI":"10.1177/0022343305052015","ISSN":"0022-3433","abstract":"Much of the existing environmental security literature examines the causal linkages between environmental scarcity and violent conflict. Such research is clearly useful for exploring the causes of violence but less useful for exploring the causes of peace. This article adopts a theoretical approach to the environment-conflict nexus that considers a range of local variables that shape the ways in which actors socially construct resource use competition. The basic approach is to accept that any resource use competition can be constructed in ways that engender either cooperative solutions or unproductive forms of conflict, including violence. The local variables that shape actors? constructions of conflicts are, therefore, viewed as the determinants of the kind of outcomes that result from a resource use conflict. This theoretical approach is developed with reference to environmental conflicts in areas hosting refugees. The variable of resource management regimes is explored in more detail, illustrated by a case study from an Ethiopian refugee camp. The article finds theoretical and empirical evidence to support the view that participatory and inclusive resource management regimes may enable communities to construct resource use conflicts in ways that help to prevent unproductive conflict. Such forms of governance can potentially be initiated in places where the state is failing to mitigate conflict through its own institutional resources. Thus, there may be an opportunity to respond to the ?ingenuity gap? that Homer-Dixon identifies as a key linkage between scarcity and conflict.","author":[{"dropping-particle":"","family":"Martin","given":"Adrian","non-dropping-particle":"","parse-names":false,"suffix":""}],"container-title":"Journal of Peace Research","id":"ITEM-1","issue":"3","issued":{"date-parts":[["2005","5","1"]]},"note":"doi: 10.1177/0022343305052015","page":"329-346","publisher":"SAGE Publications Ltd","title":"Environmental Conflict Between Refugee and Host Communities","type":"article-journal","volume":"42"},"uris":["http://www.mendeley.com/documents/?uuid=b2987e95-0c8e-4a86-9b07-55ad9cf98d8e"]}],"mendeley":{"formattedCitation":"(A. Martin, 2005)","plainTextFormattedCitation":"(A. Martin, 2005)","previouslyFormattedCitation":"(A. Martin, 2005)"},"properties":{"noteIndex":0},"schema":"https://github.com/citation-style-language/schema/raw/master/csl-citation.json"}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(A. Martin, 2005)</w:t>
      </w:r>
      <w:r>
        <w:rPr>
          <w:rFonts w:eastAsia="Calibri" w:cs="Times New Roman"/>
          <w:iCs/>
          <w:szCs w:val="24"/>
        </w:rPr>
        <w:fldChar w:fldCharType="end"/>
      </w:r>
      <w:r>
        <w:rPr>
          <w:rFonts w:eastAsia="Calibri" w:cs="Times New Roman"/>
          <w:iCs/>
          <w:szCs w:val="24"/>
        </w:rPr>
        <w:t>. In a 2001 research paper, Richard Black argued for the United Nations High Commissioner for Refugees (UNHCR) that the mono-causal connection amid change in the environment and migration in the policies of maximalists should be confronted because it strikes at the middle of environmental refugees' writings.</w:t>
      </w:r>
    </w:p>
    <w:p w:rsidR="00E53882" w:rsidRDefault="00B16FF7">
      <w:pPr>
        <w:spacing w:line="480" w:lineRule="auto"/>
        <w:rPr>
          <w:rFonts w:eastAsia="Calibri" w:cs="Times New Roman"/>
          <w:iCs/>
          <w:szCs w:val="24"/>
        </w:rPr>
      </w:pPr>
      <w:r>
        <w:rPr>
          <w:rFonts w:eastAsia="Calibri" w:cs="Times New Roman"/>
          <w:iCs/>
          <w:szCs w:val="24"/>
        </w:rPr>
        <w:t xml:space="preserve">The information age, including the data provided by Myers, "largely depends on the notion of "environmental refugees," a situation that can be thought of as impractical given the multiple, interrelated causes of the majority of migrant streams </w:t>
      </w:r>
      <w:r>
        <w:rPr>
          <w:rFonts w:eastAsia="Calibri" w:cs="Times New Roman"/>
          <w:iCs/>
          <w:szCs w:val="24"/>
        </w:rPr>
        <w:fldChar w:fldCharType="begin" w:fldLock="1"/>
      </w:r>
      <w:r>
        <w:rPr>
          <w:rFonts w:eastAsia="Calibri" w:cs="Times New Roman"/>
          <w:iCs/>
          <w:szCs w:val="24"/>
        </w:rPr>
        <w:instrText>ADDIN CSL_CITATION {"citationItems":[{"id":"ITEM-1","itemData":{"author":[{"dropping-particle":"","family":"Black","given":"Richard","non-dropping-particle":"","parse-names":false,"suffix":""}],"container-title":"New Issues in Refugee Research","id":"ITEM-1","issued":{"date-parts":[["2001","1","1"]]},"title":"Environmental refugees : myth or reality ?","type":"book"},"uris":["http://www.mendeley.com/documents/?uuid=5fb51ea7-49ca-4cf9-88cf-356db8c39db7"]}],"mendeley":{"formattedCitation":"(Black, 2001)","plainTextFormattedCitation":"(Black, 2001)","previouslyFormattedCitation":"(Black, 2001)"},"properties":{"noteIndex":0},"schema":"https://github.com/citation-style-language/schema/raw/master/csl-citation.json"}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(Black, 2001)</w:t>
      </w:r>
      <w:r>
        <w:rPr>
          <w:rFonts w:eastAsia="Calibri" w:cs="Times New Roman"/>
          <w:iCs/>
          <w:szCs w:val="24"/>
        </w:rPr>
        <w:fldChar w:fldCharType="end"/>
      </w:r>
      <w:r>
        <w:rPr>
          <w:rFonts w:eastAsia="Calibri" w:cs="Times New Roman"/>
          <w:iCs/>
          <w:szCs w:val="24"/>
        </w:rPr>
        <w:t xml:space="preserve">. The concept of an "environmental refugee" is deceptive and does little to assist us in understanding the intricate procedure at play in the exact circumstances of poverty, mobility, and conflict. However, this does not mean that environmental factors are no longer important under these circumstances. Instead, they might be a component of complex forms of several causalities in which environmental factors are carefully connected to ones that are socioeconomic and political. In order to deal with the root causes of forced migration, we need far more in-depth research and expertise </w:t>
      </w:r>
      <w:r>
        <w:rPr>
          <w:rFonts w:eastAsia="Calibri" w:cs="Times New Roman"/>
          <w:iCs/>
          <w:szCs w:val="24"/>
        </w:rPr>
        <w:fldChar w:fldCharType="begin" w:fldLock="1"/>
      </w:r>
      <w:r>
        <w:rPr>
          <w:rFonts w:eastAsia="Calibri" w:cs="Times New Roman"/>
          <w:iCs/>
          <w:szCs w:val="24"/>
        </w:rPr>
        <w:instrText>ADDIN CSL_CITATION {"citationItems":[{"id":"ITEM-1","itemData":{"author":[{"dropping-particle":"","family":"Castles","given":"Stephen","non-dropping-particle":"","parse-names":false,"suffix":""}],"container-title":"New Issues in Refugee Research","id":"ITEM-1","issued":{"date-parts":[["2002","1","1"]]},"title":"Environmental Change and Forced Migration: Making Sense of the Debate","type":"article-journal"},"uris":["http://www.mendeley.com/documents/?uuid=cec06087-7b07-4332-ac85-d9a45b1b3c3a"]}],"mendeley":{"formattedCitation":"(Castles, 2002)","plainTextFormattedCitation":"(Castles, 2002)","previouslyFormattedCitation":"(Castles, 2002)"},"properties":{"noteIndex":0},"schema":"https://github.com/citation-style-language/schema/raw/master/csl-citation.json"}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(Castles, 2002)</w:t>
      </w:r>
      <w:r>
        <w:rPr>
          <w:rFonts w:eastAsia="Calibri" w:cs="Times New Roman"/>
          <w:iCs/>
          <w:szCs w:val="24"/>
        </w:rPr>
        <w:fldChar w:fldCharType="end"/>
      </w:r>
      <w:r>
        <w:rPr>
          <w:rFonts w:eastAsia="Calibri" w:cs="Times New Roman"/>
          <w:iCs/>
          <w:szCs w:val="24"/>
        </w:rPr>
        <w:t>.</w:t>
      </w:r>
    </w:p>
    <w:p w:rsidR="00E53882" w:rsidRDefault="00B16FF7">
      <w:pPr>
        <w:spacing w:line="480" w:lineRule="auto"/>
        <w:rPr>
          <w:rFonts w:eastAsia="Calibri" w:cs="Times New Roman"/>
          <w:iCs/>
          <w:szCs w:val="24"/>
        </w:rPr>
      </w:pPr>
      <w:r>
        <w:rPr>
          <w:rFonts w:eastAsia="Calibri" w:cs="Times New Roman"/>
          <w:iCs/>
          <w:szCs w:val="24"/>
        </w:rPr>
        <w:t xml:space="preserve">Due to this issue, the Intergovernmental Panel on Climate Change (IPCC) report emphasizes that there is little confidence in quantitative predictions of changes in mobility due to its multifaceted, multi-cause nature </w:t>
      </w:r>
      <w:r>
        <w:rPr>
          <w:rFonts w:eastAsia="Calibri" w:cs="Times New Roman"/>
          <w:iCs/>
          <w:szCs w:val="24"/>
        </w:rPr>
        <w:fldChar w:fldCharType="begin" w:fldLock="1"/>
      </w:r>
      <w:r>
        <w:rPr>
          <w:rFonts w:eastAsia="Calibri" w:cs="Times New Roman"/>
          <w:iCs/>
          <w:szCs w:val="24"/>
        </w:rPr>
        <w:instrText>ADDIN CSL_CITATION {"citationItems":[{"id":"ITEM-1","itemData":{"ISBN":"9789291691432","ISSN":"00220248","author":[{"dropping-particle":"","family":"IPCC","given":"","non-dropping-particle":"","parse-names":false,"suffix":""}],"container-title":"Journal of Crystal Growth","id":"ITEM-1","issued":{"date-parts":[["2014"]]},"title":"Climate Change 2014 Synthesis Report","type":"book","volume":"Fifth Asse"},"uris":["http://www.mendeley.com/documents/?uuid=81fa4ecb-17e4-4ddf-87a9-d00b7f5d9a6e"]}],"mendeley":{"formattedCitation":"(IPCC, 2014)","plainTextFormattedCitation":"(IPCC, 2014)","previouslyFormattedCitation":"(IPCC, 2014)"},"properties":{"noteIndex":0},"schema":"https://github.com/citation-style-language/schema/raw/master/csl-citation.json"}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(IPCC, 2014)</w:t>
      </w:r>
      <w:r>
        <w:rPr>
          <w:rFonts w:eastAsia="Calibri" w:cs="Times New Roman"/>
          <w:iCs/>
          <w:szCs w:val="24"/>
        </w:rPr>
        <w:fldChar w:fldCharType="end"/>
      </w:r>
      <w:r>
        <w:rPr>
          <w:rFonts w:eastAsia="Calibri" w:cs="Times New Roman"/>
          <w:iCs/>
          <w:szCs w:val="24"/>
        </w:rPr>
        <w:t xml:space="preserve">. The criticism of the maximalist faculty has been heard, and this is now the accepted viewpoint. Studies have been completed in the years </w:t>
      </w:r>
      <w:r>
        <w:rPr>
          <w:rFonts w:eastAsia="Calibri" w:cs="Times New Roman"/>
          <w:iCs/>
          <w:szCs w:val="24"/>
        </w:rPr>
        <w:lastRenderedPageBreak/>
        <w:t>since this discussion peaked in an effort to provide a more comprehensive explanation of where environmental changes fit into dynamics, displacement, and mobility. Despite the criticisms, one cannot dispute the fact that this theory is still relevant in contemporary studies, especially when we try to understand the underlying factors that drives pastoralist mobility. Environmental crises play a key role in this regard. Therefore, this theory is still relevant to this study, because pastoralist depends on the environment for their survival and they may be tempted to exhibit climate-induced mobility as a coping strategy to the changes in environment.</w:t>
      </w:r>
    </w:p>
    <w:p w:rsidR="00E53882" w:rsidRDefault="00B16FF7">
      <w:pPr>
        <w:spacing w:line="480" w:lineRule="auto"/>
        <w:rPr>
          <w:rFonts w:eastAsia="Calibri" w:cs="Times New Roman"/>
          <w:bCs/>
          <w:iCs/>
          <w:szCs w:val="24"/>
        </w:rPr>
      </w:pPr>
      <w:r>
        <w:rPr>
          <w:rFonts w:eastAsia="Calibri" w:cs="Times New Roman"/>
          <w:bCs/>
          <w:iCs/>
          <w:szCs w:val="24"/>
        </w:rPr>
        <w:t xml:space="preserve">Although researchers of migration have had a positive influence on the investigation of the connection between migration and climate change, scholarly criticism of the maximalist school of thought has been crucial in bringing it to light. According to Castles, the maximalist school initially received criticism for its questionable procedural presumptions. Nevertheless, the recent perspective of anthropogenic climate change should have included migration scholars. According to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{"citationItems":[{"id":"ITEM-1","itemData":{"author":[{"dropping-particle":"","family":"Castles","given":"Stephen","non-dropping-particle":"","parse-names":false,"suffix":""}],"container-title":"New Issues in Refugee Research","id":"ITEM-1","issued":{"date-parts":[["2002","1","1"]]},"title":"Environmental Change and Forced Migration: Making Sense of the Debate","type":"article-journal"},"uris":["http://www.mendeley.com/documents/?uuid=cec06087-7b07-4332-ac85-d9a45b1b3c3a"]}],"mendeley":{"formattedCitation":"(Castles, 2002)","manualFormatting":"Castles, (2002)","plainTextFormattedCitation":"(Castles, 2002)","previouslyFormattedCitation":"(Castles, 2002)"},"properties":{"noteIndex":0},"schema":"https://github.com/citation-style-language/schema/raw/master/csl-citation.json"}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Castles, (2002)</w:t>
      </w:r>
      <w:r>
        <w:rPr>
          <w:rFonts w:eastAsia="Calibri" w:cs="Times New Roman"/>
          <w:bCs/>
          <w:iCs/>
          <w:szCs w:val="24"/>
        </w:rPr>
        <w:fldChar w:fldCharType="end"/>
      </w:r>
      <w:r>
        <w:rPr>
          <w:rFonts w:eastAsia="Calibri" w:cs="Times New Roman"/>
          <w:bCs/>
          <w:iCs/>
          <w:szCs w:val="24"/>
        </w:rPr>
        <w:t>, environmentalists may have erred in their use of overstated and intimidating pictures of mass movements to focus public attention on climate change. However, self-justifying carriages accepted by migrants and migration researchers have also slowed down systematic investigation and, possibly, the improvement of suitable approaches in order to address the tests of climate change-related mobility. Scholars of migration need to pinpoint the many complex variables that influence certain individuals to accept mobility as one of their survival strategies since climate change has the potential to generate significant vagaries in human mobility. Migration researchers have redoubled their attempts to discover the appropriate place of the natural environment in fundamental clarifications of migration in response to criticism of the maximalist school's illogic.</w:t>
      </w:r>
    </w:p>
    <w:p w:rsidR="00E53882" w:rsidRDefault="00B16FF7">
      <w:pPr>
        <w:spacing w:line="480" w:lineRule="auto"/>
        <w:rPr>
          <w:rFonts w:eastAsia="Calibri" w:cs="Times New Roman"/>
          <w:bCs/>
          <w:iCs/>
          <w:szCs w:val="24"/>
        </w:rPr>
      </w:pPr>
      <w:r>
        <w:rPr>
          <w:rFonts w:eastAsia="Calibri" w:cs="Times New Roman"/>
          <w:bCs/>
          <w:iCs/>
          <w:szCs w:val="24"/>
        </w:rPr>
        <w:lastRenderedPageBreak/>
        <w:t xml:space="preserve">In order to comprehend the influence of climate change on various manifestations of migration, academics have progressively attempted to use micro-level studies </w:t>
      </w:r>
      <w:r>
        <w:rPr>
          <w:rFonts w:eastAsia="Calibri" w:cs="Times New Roman"/>
          <w:bCs/>
          <w:iCs/>
          <w:szCs w:val="24"/>
        </w:rPr>
        <w:fldChar w:fldCharType="begin" w:fldLock="1"/>
      </w:r>
      <w:r w:rsidR="009B24A3">
        <w:rPr>
          <w:rFonts w:eastAsia="Calibri" w:cs="Times New Roman"/>
          <w:bCs/>
          <w:iCs/>
          <w:szCs w:val="24"/>
        </w:rPr>
        <w:instrText>ADDIN CSL_CITATION {"citationItems":[{"id":"ITEM-1","itemData":{"ISBN":"978-1-107-01485-5","author":[{"dropping-particle":"","family":"Piguet;","given":"Etienne","non-dropping-particle":"","parse-names":false,"suffix":""},{"dropping-particle":"","family":"Antoine;","given":"","non-dropping-particle":"","parse-names":false,"suffix":""},{"dropping-particle":"De","family":"Guchteneire","given":"Paul","non-dropping-particle":"","parse-names":false,"suffix":""}],"id":"ITEM-1","issue":"2007","issued":{"date-parts":[["2010"]]},"number-of-pages":"428","publisher":"cambridge university press","publisher-place":"cambridge university press Cambridge, New York,","title":"Migration and climate change","type":"book"},"uris":["http://www.mendeley.com/documents/?uuid=e2f7957e-a882-4db6-85eb-696374677f1b"]}],"mendeley":{"formattedCitation":"(Piguet; et al., 2010)","plainTextFormattedCitation":"(Piguet; et al., 2010)","previouslyFormattedCitation":"(Piguet; et al., 2010)"},"properties":{"noteIndex":0},"schema":"https://github.com/citation-style-language/schema/raw/master/csl-citation.json"}</w:instrText>
      </w:r>
      <w:r>
        <w:rPr>
          <w:rFonts w:eastAsia="Calibri" w:cs="Times New Roman"/>
          <w:bCs/>
          <w:iCs/>
          <w:szCs w:val="24"/>
        </w:rPr>
        <w:fldChar w:fldCharType="separate"/>
      </w:r>
      <w:r w:rsidR="00900D2E" w:rsidRPr="00900D2E">
        <w:rPr>
          <w:rFonts w:eastAsia="Calibri" w:cs="Times New Roman"/>
          <w:bCs/>
          <w:iCs/>
          <w:noProof/>
          <w:szCs w:val="24"/>
        </w:rPr>
        <w:t>(Piguet; et al., 2010)</w:t>
      </w:r>
      <w:r>
        <w:rPr>
          <w:rFonts w:eastAsia="Calibri" w:cs="Times New Roman"/>
          <w:bCs/>
          <w:iCs/>
          <w:szCs w:val="24"/>
        </w:rPr>
        <w:fldChar w:fldCharType="end"/>
      </w:r>
      <w:r>
        <w:rPr>
          <w:rFonts w:eastAsia="Calibri" w:cs="Times New Roman"/>
          <w:bCs/>
          <w:iCs/>
          <w:szCs w:val="24"/>
        </w:rPr>
        <w:t xml:space="preserve">. This more in-depth research has also led to the development of new conceptual frameworks that emphasize the intricate relationships between the effects of climate change and the current migration-related drivers. For instance, Robert </w:t>
      </w:r>
      <w:proofErr w:type="spellStart"/>
      <w:r>
        <w:rPr>
          <w:rFonts w:eastAsia="Calibri" w:cs="Times New Roman"/>
          <w:bCs/>
          <w:iCs/>
          <w:szCs w:val="24"/>
        </w:rPr>
        <w:t>McLeman</w:t>
      </w:r>
      <w:proofErr w:type="spellEnd"/>
      <w:r>
        <w:rPr>
          <w:rFonts w:eastAsia="Calibri" w:cs="Times New Roman"/>
          <w:bCs/>
          <w:iCs/>
          <w:szCs w:val="24"/>
        </w:rPr>
        <w:t xml:space="preserve"> and Lori Hunter have highlighted how social institutions operate as a buffer against the effects of climate change </w:t>
      </w:r>
      <w:r>
        <w:rPr>
          <w:rFonts w:eastAsia="Calibri" w:cs="Times New Roman"/>
          <w:bCs/>
          <w:iCs/>
          <w:szCs w:val="24"/>
        </w:rPr>
        <w:fldChar w:fldCharType="begin" w:fldLock="1"/>
      </w:r>
      <w:r>
        <w:rPr>
          <w:rFonts w:eastAsia="Calibri" w:cs="Times New Roman"/>
          <w:bCs/>
          <w:iCs/>
          <w:szCs w:val="24"/>
        </w:rPr>
        <w:instrText>ADDIN CSL_CITATION {"citationItems":[{"id":"ITEM-1","itemData":{"DOI":"10.4324/9780203092170-32","ISBN":"9781136202001","ISSN":"0740-2775","author":[{"dropping-particle":"","family":"Kaplan","given":"Robert D.","non-dropping-particle":"","parse-names":false,"suffix":""}],"container-title":"Geopolitics: An Introductory Reader","id":"ITEM-1","issue":"February 1994","issued":{"date-parts":[["2014"]]},"page":"195-202","title":"The coming anarchy","type":"article-journal"},"uris":["http://www.mendeley.com/documents/?uuid=6d887c36-90f4-4c9e-aaa3-f035c0c446ad"]}],"mendeley":{"formattedCitation":"(Kaplan, 2014)","plainTextFormattedCitation":"(Kaplan, 2014)","previouslyFormattedCitation":"(Kaplan, 2014)"},"properties":{"noteIndex":0},"schema":"https://github.com/citation-style-language/schema/raw/master/csl-citation.json"}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(Kaplan, 2014)</w:t>
      </w:r>
      <w:r>
        <w:rPr>
          <w:rFonts w:eastAsia="Calibri" w:cs="Times New Roman"/>
          <w:bCs/>
          <w:iCs/>
          <w:szCs w:val="24"/>
        </w:rPr>
        <w:fldChar w:fldCharType="end"/>
      </w:r>
      <w:r>
        <w:rPr>
          <w:rFonts w:eastAsia="Calibri" w:cs="Times New Roman"/>
          <w:bCs/>
          <w:iCs/>
          <w:szCs w:val="24"/>
        </w:rPr>
        <w:t xml:space="preserve">. They follow a similar strategy to </w:t>
      </w:r>
      <w:proofErr w:type="spellStart"/>
      <w:r>
        <w:rPr>
          <w:rFonts w:eastAsia="Calibri" w:cs="Times New Roman"/>
          <w:bCs/>
          <w:iCs/>
          <w:szCs w:val="24"/>
        </w:rPr>
        <w:t>Amartya</w:t>
      </w:r>
      <w:proofErr w:type="spellEnd"/>
      <w:r>
        <w:rPr>
          <w:rFonts w:eastAsia="Calibri" w:cs="Times New Roman"/>
          <w:bCs/>
          <w:iCs/>
          <w:szCs w:val="24"/>
        </w:rPr>
        <w:t xml:space="preserve"> </w:t>
      </w:r>
      <w:proofErr w:type="spellStart"/>
      <w:r>
        <w:rPr>
          <w:rFonts w:eastAsia="Calibri" w:cs="Times New Roman"/>
          <w:bCs/>
          <w:iCs/>
          <w:szCs w:val="24"/>
        </w:rPr>
        <w:t>Sen</w:t>
      </w:r>
      <w:proofErr w:type="spellEnd"/>
      <w:r>
        <w:rPr>
          <w:rFonts w:eastAsia="Calibri" w:cs="Times New Roman"/>
          <w:bCs/>
          <w:iCs/>
          <w:szCs w:val="24"/>
        </w:rPr>
        <w:t xml:space="preserve">, who famously argued that famines are not solely caused by a complete scarcity of food; rather, they are mediated by the institutions of politics. They focus on the social intervention of the effects of climate change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{"citationItems":[{"id":"ITEM-1","itemData":{"author":[{"dropping-particle":"","family":"Sen","given":"Amartya","non-dropping-particle":"","parse-names":false,"suffix":""}],"container-title":"Clarendon Press, Oxford University Press, Oxford, UK","id":"ITEM-1","issue":"1","issued":{"date-parts":[["1981"]]},"page":"88-100","title":"Poverty and Famine","type":"article-journal","volume":"4"},"uris":["http://www.mendeley.com/documents/?uuid=6e3b6575-e827-4bf9-96d4-c4849a2c6498"]}],"mendeley":{"formattedCitation":"(Sen, 1981)","plainTextFormattedCitation":"(Sen, 1981)","previouslyFormattedCitation":"(Sen, 1981)"},"properties":{"noteIndex":0},"schema":"https://github.com/citation-style-language/schema/raw/master/csl-citation.json"}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(Sen, 1981)</w:t>
      </w:r>
      <w:r>
        <w:rPr>
          <w:rFonts w:eastAsia="Calibri" w:cs="Times New Roman"/>
          <w:bCs/>
          <w:iCs/>
          <w:szCs w:val="24"/>
        </w:rPr>
        <w:fldChar w:fldCharType="end"/>
      </w:r>
      <w:r>
        <w:rPr>
          <w:rFonts w:eastAsia="Calibri" w:cs="Times New Roman"/>
          <w:bCs/>
          <w:iCs/>
          <w:szCs w:val="24"/>
        </w:rPr>
        <w:t xml:space="preserve">. Other researchers have described mobility as a resilient response to climate effects, which relies, at least to some degree, on vulnerability, comprehended as a function of both exposure (the extent to which a system is likely to be exposed to the effects of climate change) and adaptation strategies (the potential of the affected system to "cope" with changes) </w:t>
      </w:r>
      <w:r>
        <w:rPr>
          <w:rFonts w:eastAsia="Calibri" w:cs="Times New Roman"/>
          <w:bCs/>
          <w:iCs/>
          <w:szCs w:val="24"/>
        </w:rPr>
        <w:fldChar w:fldCharType="begin" w:fldLock="1"/>
      </w:r>
      <w:r>
        <w:rPr>
          <w:rFonts w:eastAsia="Calibri" w:cs="Times New Roman"/>
          <w:bCs/>
          <w:iCs/>
          <w:szCs w:val="24"/>
        </w:rPr>
        <w:instrText>ADDIN CSL_CITATION {"citationItems":[{"id":"ITEM-1","itemData":{"DOI":"10.4324/9780203092170-32","ISBN":"9781136202001","ISSN":"0740-2775","author":[{"dropping-particle":"","family":"Kaplan","given":"Robert D.","non-dropping-particle":"","parse-names":false,"suffix":""}],"container-title":"Geopolitics: An Introductory Reader","id":"ITEM-1","issue":"February 1994","issued":{"date-parts":[["2014"]]},"page":"195-202","title":"The coming anarchy","type":"article-journal"},"uris":["http://www.mendeley.com/documents/?uuid=6d887c36-90f4-4c9e-aaa3-f035c0c446ad"]}],"mendeley":{"formattedCitation":"(Kaplan, 2014)","plainTextFormattedCitation":"(Kaplan, 2014)","previouslyFormattedCitation":"(Kaplan, 2014)"},"properties":{"noteIndex":0},"schema":"https://github.com/citation-style-language/schema/raw/master/csl-citation.json"}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(Kaplan, 2014)</w:t>
      </w:r>
      <w:r>
        <w:rPr>
          <w:rFonts w:eastAsia="Calibri" w:cs="Times New Roman"/>
          <w:bCs/>
          <w:iCs/>
          <w:szCs w:val="24"/>
        </w:rPr>
        <w:fldChar w:fldCharType="end"/>
      </w:r>
      <w:r>
        <w:rPr>
          <w:rFonts w:eastAsia="Calibri" w:cs="Times New Roman"/>
          <w:bCs/>
          <w:iCs/>
          <w:szCs w:val="24"/>
        </w:rPr>
        <w:t xml:space="preserve">. The research team led by Richard Black has produced some of the well-developed writing in the field, working to formalize the multi-causality that several scholars of migration have emphasized in responding to the idea of maximalist. In Richard Black's work, mobility is seen as an adaptation strategy to the effects of climate change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{"citationItems":[{"id":"ITEM-1","itemData":{"author":[{"dropping-particle":"","family":"Black","given":"Richard","non-dropping-particle":"","parse-names":false,"suffix":""}],"container-title":"New Issues in Refugee Research","id":"ITEM-1","issued":{"date-parts":[["2001","1","1"]]},"title":"Environmental refugees : myth or reality ?","type":"book"},"uris":["http://www.mendeley.com/documents/?uuid=5fb51ea7-49ca-4cf9-88cf-356db8c39db7"]}],"mendeley":{"formattedCitation":"(Black, 2001)","plainTextFormattedCitation":"(Black, 2001)","previouslyFormattedCitation":"(Black, 2001)"},"properties":{"noteIndex":0},"schema":"https://github.com/citation-style-language/schema/raw/master/csl-citation.json"}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(Black, 2001)</w:t>
      </w:r>
      <w:r>
        <w:rPr>
          <w:rFonts w:eastAsia="Calibri" w:cs="Times New Roman"/>
          <w:bCs/>
          <w:iCs/>
          <w:szCs w:val="24"/>
        </w:rPr>
        <w:fldChar w:fldCharType="end"/>
      </w:r>
      <w:r>
        <w:rPr>
          <w:rFonts w:eastAsia="Calibri" w:cs="Times New Roman"/>
          <w:bCs/>
          <w:iCs/>
          <w:szCs w:val="24"/>
        </w:rPr>
        <w:t>.</w:t>
      </w:r>
    </w:p>
    <w:p w:rsidR="00E53882" w:rsidRDefault="00B16FF7">
      <w:pPr>
        <w:spacing w:line="480" w:lineRule="auto"/>
        <w:rPr>
          <w:rFonts w:eastAsia="Calibri" w:cs="Times New Roman"/>
          <w:bCs/>
          <w:iCs/>
          <w:szCs w:val="24"/>
        </w:rPr>
      </w:pPr>
      <w:r>
        <w:rPr>
          <w:rFonts w:eastAsia="Calibri" w:cs="Times New Roman"/>
          <w:bCs/>
          <w:iCs/>
          <w:szCs w:val="24"/>
        </w:rPr>
        <w:t xml:space="preserve">The report his research team produced for the government of Britain, which put forward a comprehensive framework explaining the manner in which climate change mediates with other drivers of mobility such as socioeconomic, political, and demographic characteristics, represents the most significant contribution made by his team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{"citationItems":[{"id":"ITEM-1","itemData":{"author":[{"dropping-particle":"","family":"Draper","given":"Jamie","non-dropping-particle":"","parse-names":false,"suffix":""}],"id":"ITEM-1","issue":"December","issued":{"date-parts":[["2019"]]},"title":"Justice in Climate-Induced Migration and Displacement","type":"article-journal"},"uris":["http://www.mendeley.com/documents/?uuid=8dbb1bd5-461f-42f5-9e77-03f76053bd17"]}],"mendeley":{"formattedCitation":"(Draper, 2019)","plainTextFormattedCitation":"(Draper, 2019)","previouslyFormattedCitation":"(Draper,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(Draper, 2019)</w:t>
      </w:r>
      <w:r>
        <w:rPr>
          <w:rFonts w:eastAsia="Calibri" w:cs="Times New Roman"/>
          <w:bCs/>
          <w:iCs/>
          <w:szCs w:val="24"/>
        </w:rPr>
        <w:fldChar w:fldCharType="end"/>
      </w:r>
      <w:r>
        <w:rPr>
          <w:rFonts w:eastAsia="Calibri" w:cs="Times New Roman"/>
          <w:bCs/>
          <w:iCs/>
          <w:szCs w:val="24"/>
        </w:rPr>
        <w:t xml:space="preserve">. This concept emphasizes that, rather than directly driving migration or displacement, climate change </w:t>
      </w:r>
      <w:r>
        <w:rPr>
          <w:rFonts w:eastAsia="Calibri" w:cs="Times New Roman"/>
          <w:bCs/>
          <w:iCs/>
          <w:szCs w:val="24"/>
        </w:rPr>
        <w:lastRenderedPageBreak/>
        <w:t xml:space="preserve">impacts typically serve to amplify the influence of pre-existing migration or displacement causes. Also in its infancy, a growing body of research has attempted to create more precise quantitative evaluations of mobility and displacement related to climate change that take into account the lessons from these theoretical frameworks </w:t>
      </w:r>
      <w:r>
        <w:rPr>
          <w:rFonts w:eastAsia="Calibri" w:cs="Times New Roman"/>
          <w:bCs/>
          <w:iCs/>
          <w:szCs w:val="24"/>
        </w:rPr>
        <w:fldChar w:fldCharType="begin" w:fldLock="1"/>
      </w:r>
      <w:r>
        <w:rPr>
          <w:rFonts w:eastAsia="Calibri" w:cs="Times New Roman"/>
          <w:bCs/>
          <w:iCs/>
          <w:szCs w:val="24"/>
        </w:rPr>
        <w:instrText>ADDIN CSL_CITATION {"citationItems":[{"id":"ITEM-1","itemData":{"DOI":"10.4324/9780203092170-32","ISBN":"9781136202001","ISSN":"0740-2775","author":[{"dropping-particle":"","family":"Kaplan","given":"Robert D.","non-dropping-particle":"","parse-names":false,"suffix":""}],"container-title":"Geopolitics: An Introductory Reader","id":"ITEM-1","issue":"February 1994","issued":{"date-parts":[["2014"]]},"page":"195-202","title":"The coming anarchy","type":"article-journal"},"uris":["http://www.mendeley.com/documents/?uuid=6d887c36-90f4-4c9e-aaa3-f035c0c446ad"]},{"id":"ITEM-2","itemData":{"author":[{"dropping-particle":"","family":"Draper","given":"Jamie","non-dropping-particle":"","parse-names":false,"suffix":""}],"id":"ITEM-2","issue":"December","issued":{"date-parts":[["2019"]]},"title":"Justice in Climate-Induced Migration and Displacement","type":"article-journal"},"uris":["http://www.mendeley.com/documents/?uuid=8dbb1bd5-461f-42f5-9e77-03f76053bd17"]}],"mendeley":{"formattedCitation":"(Draper, 2019; Kaplan, 2014)","plainTextFormattedCitation":"(Draper, 2019; Kaplan, 2014)","previouslyFormattedCitation":"(Draper, 2019; Kaplan, 2014)"},"properties":{"noteIndex":0},"schema":"https://github.com/citation-style-language/schema/raw/master/csl-citation.json"}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(Draper, 2019; Kaplan, 2014)</w:t>
      </w:r>
      <w:r>
        <w:rPr>
          <w:rFonts w:eastAsia="Calibri" w:cs="Times New Roman"/>
          <w:bCs/>
          <w:iCs/>
          <w:szCs w:val="24"/>
        </w:rPr>
        <w:fldChar w:fldCharType="end"/>
      </w:r>
      <w:r>
        <w:rPr>
          <w:rFonts w:eastAsia="Calibri" w:cs="Times New Roman"/>
          <w:bCs/>
          <w:iCs/>
          <w:szCs w:val="24"/>
        </w:rPr>
        <w:t>. For our purposes, one crucial finding from recent research that resulted from discussions about the role the environment plays in mobility studies remains that attributing any given movement to climate change is extremely challenging. Importantly, this makes it very challenging to distinguish between people who have been relocated by the effects of climate change. Given the causative complexity of mobility in relation to climate change, it is inadequate to use mono-causal explanations. However, we are not saying that mobility is unrelated to climate change. Although they are difficult, environmental variables definitely influence migration. Apart from climatic factors, this brings out other factors underpinning people’s movement. They argue that climatic factors are not the only driving force behind human mobility; there is an interplay of socioeconomic drivers. Therefore, it is appropriate to include scholars view when explaining pastoralist mobility.</w:t>
      </w:r>
    </w:p>
    <w:p w:rsidR="00E53882" w:rsidRDefault="00B16FF7">
      <w:pPr>
        <w:pStyle w:val="Heading3"/>
      </w:pPr>
      <w:bookmarkStart w:id="51" w:name="_Toc164261688"/>
      <w:r>
        <w:t>2.1.3 The Migration Systems and Network Theories</w:t>
      </w:r>
      <w:bookmarkEnd w:id="51"/>
      <w:r>
        <w:t xml:space="preserve"> </w:t>
      </w:r>
    </w:p>
    <w:p w:rsidR="00E53882" w:rsidRDefault="00B16FF7">
      <w:pPr>
        <w:spacing w:before="100" w:beforeAutospacing="1" w:after="100" w:afterAutospacing="1" w:line="480" w:lineRule="auto"/>
        <w:rPr>
          <w:rFonts w:eastAsia="Times New Roman" w:cs="Times New Roman"/>
          <w:szCs w:val="24"/>
        </w:rPr>
      </w:pPr>
      <w:r>
        <w:rPr>
          <w:rFonts w:eastAsia="Times New Roman" w:cs="Times New Roman"/>
          <w:szCs w:val="24"/>
        </w:rPr>
        <w:t xml:space="preserve">This theory explains the role of the social system, networks, and social capital in explaining human mobility in underdeveloped countries. Migration networks refer to interconnected relationships among migrants or individuals who have migrated previously and non-migrants in both origin and destination regions. These connections are established through familial, friendship, and communal ties </w:t>
      </w:r>
      <w:r>
        <w:rPr>
          <w:rFonts w:eastAsia="Times New Roman" w:cs="Times New Roman"/>
          <w:szCs w:val="24"/>
        </w:rPr>
        <w:fldChar w:fldCharType="begin" w:fldLock="1"/>
      </w:r>
      <w:r>
        <w:rPr>
          <w:rFonts w:eastAsia="Times New Roman" w:cs="Times New Roman"/>
          <w:szCs w:val="24"/>
        </w:rPr>
        <w:instrText>ADDIN CSL_CITATION {"citationItems":[{"id":"ITEM-1","itemData":{"DOI":"10.2307/2938462","ISSN":"00987921","abstract":"This article surveys contemporary theories of international migration in order to illuminate their leading propositions, assumptions, and hypotheses. It hopes to pave the way for a systematic empirical evaluation of their guiding tenets. The authors divide the theories conceptually into those advanced to explain the initiation of international migration and those put forth to account for the persistence of migration across space and time. Because they are specified at such different levels of analysis, the theories are not inherently logically inconsistent. The task of selecting between theories and propositions thus becomes an empirical exercise, one that must occur before a truly integrated theoretical framework can be fully realized. -Authors","author":[{"dropping-particle":"","family":"Massey","given":"D. S.","non-dropping-particle":"","parse-names":false,"suffix":""},{"dropping-particle":"","family":"Arango","given":"J.","non-dropping-particle":"","parse-names":false,"suffix":""},{"dropping-particle":"","family":"Hugo","given":"G.","non-dropping-particle":"","parse-names":false,"suffix":""},{"dropping-particle":"","family":"Kouaouci","given":"A.","non-dropping-particle":"","parse-names":false,"suffix":""},{"dropping-particle":"","family":"Pellegrino","given":"A.","non-dropping-particle":"","parse-names":false,"suffix":""},{"dropping-particle":"","family":"Taylor","given":"J. E.","non-dropping-particle":"","parse-names":false,"suffix":""}],"container-title":"Population &amp; Development Review","id":"ITEM-1","issue":"3","issued":{"date-parts":[["1993"]]},"page":"431-466","title":"Theories of international migration: a review and appraisal","type":"article-journal","volume":"19"},"uris":["http://www.mendeley.com/documents/?uuid=25d163d5-7161-40bf-9c35-847447a368ad"]}],"mendeley":{"formattedCitation":"(Massey et al., 1993)","plainTextFormattedCitation":"(Massey et al., 1993)","previouslyFormattedCitation":"(Massey et al., 1993)"},"properties":{"noteIndex":0},"schema":"https://github.com/citation-style-language/schema/raw/master/csl-citation.json"}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(Massey et al., 1993)</w:t>
      </w:r>
      <w:r>
        <w:rPr>
          <w:rFonts w:eastAsia="Times New Roman" w:cs="Times New Roman"/>
          <w:szCs w:val="24"/>
        </w:rPr>
        <w:fldChar w:fldCharType="end"/>
      </w:r>
      <w:r>
        <w:rPr>
          <w:rFonts w:eastAsia="Times New Roman" w:cs="Times New Roman"/>
          <w:szCs w:val="24"/>
        </w:rPr>
        <w:t xml:space="preserve">. Hence, people use their migration networks and social capital "to gain access to resources everywhere" </w:t>
      </w:r>
      <w:r>
        <w:rPr>
          <w:rFonts w:eastAsia="Times New Roman" w:cs="Times New Roman"/>
          <w:szCs w:val="24"/>
        </w:rPr>
        <w:fldChar w:fldCharType="begin" w:fldLock="1"/>
      </w:r>
      <w:r>
        <w:rPr>
          <w:rFonts w:eastAsia="Times New Roman" w:cs="Times New Roman"/>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Migration","type":"chapter"},"uris":["http://www.mendeley.com/documents/?uuid=7e31c964-1627-41e8-b634-ff2f3325d12a"]}],"mendeley":{"formattedCitation":"(Castles et al., 2014)","plainTextFormattedCitation":"(Castles et al., 2014)","previouslyFormattedCitation":"(Castles et al., 2014)"},"properties":{"noteIndex":0},"schema":"https://github.com/citation-style-language/schema/raw/master/csl-citation.json"}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w:t>
      </w:r>
      <w:r>
        <w:rPr>
          <w:rFonts w:eastAsia="Times New Roman" w:cs="Times New Roman"/>
          <w:szCs w:val="24"/>
        </w:rPr>
        <w:fldChar w:fldCharType="end"/>
      </w:r>
      <w:r>
        <w:rPr>
          <w:rFonts w:eastAsia="Times New Roman" w:cs="Times New Roman"/>
          <w:szCs w:val="24"/>
        </w:rPr>
        <w:t xml:space="preserve">. In </w:t>
      </w:r>
      <w:r>
        <w:rPr>
          <w:rFonts w:eastAsia="Times New Roman" w:cs="Times New Roman"/>
          <w:szCs w:val="24"/>
        </w:rPr>
        <w:lastRenderedPageBreak/>
        <w:t xml:space="preserve">this circumstance, networks and social capital that are available in our environment play a key role in mobility decisions. In addition to this, social networks make available the essential financial needs within the household that are required for transport, logistics, and employment networks in to host places </w:t>
      </w:r>
      <w:r>
        <w:rPr>
          <w:rFonts w:eastAsia="Times New Roman" w:cs="Times New Roman"/>
          <w:szCs w:val="24"/>
        </w:rPr>
        <w:fldChar w:fldCharType="begin" w:fldLock="1"/>
      </w:r>
      <w:r>
        <w:rPr>
          <w:rFonts w:eastAsia="Times New Roman" w:cs="Times New Roman"/>
          <w:szCs w:val="24"/>
        </w:rPr>
        <w:instrText>ADDIN CSL_CITATION {"citationItems":[{"id":"ITEM-1","itemData":{"DOI":"10.1007/978-94-007-6208-4","ISBN":"9789400762084","abstract":"This book addresses environmental and climate change induced migration from the vantage point of migration studies, offering a broad spectrum of approaches for considering the environment/climate/migration nexus. Research on the subject is still frequently narrowed down to climate change vulnerability and the environmental push factor. The book establishes the interconnections between societal and environmental vulnerability, and migration and capability, allowing appreciation of migration in the frame of climate as a case of spatial and social mobility, that is, as a strategy of persons and groups to deal with a grossly unequal distribution of life chances across the world. In their introduction, the editors fan out the current debate and state the need to transcend predominantly policy-oriented approaches to migration. The first section of the volume focuses on \"Methodologies and Methods\" and presents very distinct approaches to think climate induced migration. Subsequent chapters explore the sensitivity of existing migration flows to climate change in Ghana and Bangladesh, the complex relationship between migration, demographic change and coping capacities in Canada, methodological challenges of a household survey on the significance of migration and remittances for adaptation in the Hindu Kush region and an econometric study of the aftermath of the 1998 floods in Bangladesh. The second part, \"Areas of Concern: Politics and Human Rights\", deepens the analysis of discourses as well as of the implications of proposed and implemented policies. Contributors discuss such topics as environmental migration as a multi-causal problem, climate migration as a consequence in an alarmist discourse and climate migration as a solution. A study of an integrated relocation program in Papua New Guinea is followed by chapters on the promise and the flaws of planned relocation policy, global policy on protection of environmental migrants including both internally displaced peoples and those who cross international borders. A concluding chapter places human agency at centre stage and explores the interplay between human rights, capability and migration.","author":[{"dropping-particle":"","family":"Faist","given":"Thomas","non-dropping-particle":"","parse-names":false,"suffix":""},{"dropping-particle":"","family":"Schade","given":"Jeanette","non-dropping-particle":"","parse-names":false,"suffix":""}],"container-title":"Disentangling Migration and Climate Change: Methodologies, Political Discourses and Human Rights","id":"ITEM-1","issued":{"date-parts":[["2015"]]},"page":"1-259","title":"Disentangling Migration and Climate Change: Methodologies, political discourses and human rights","type":"article-journal"},"uris":["http://www.mendeley.com/documents/?uuid=70e385a5-66e1-4831-bb78-f9b83a7d669e"]}],"mendeley":{"formattedCitation":"(Faist &amp; Schade, 2015)","plainTextFormattedCitation":"(Faist &amp; Schade, 2015)","previouslyFormattedCitation":"(Faist &amp; Schade, 2015)"},"properties":{"noteIndex":0},"schema":"https://github.com/citation-style-language/schema/raw/master/csl-citation.json"}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(Faist &amp; Schade, 2015)</w:t>
      </w:r>
      <w:r>
        <w:rPr>
          <w:rFonts w:eastAsia="Times New Roman" w:cs="Times New Roman"/>
          <w:szCs w:val="24"/>
        </w:rPr>
        <w:fldChar w:fldCharType="end"/>
      </w:r>
      <w:r>
        <w:rPr>
          <w:rFonts w:eastAsia="Times New Roman" w:cs="Times New Roman"/>
          <w:szCs w:val="24"/>
        </w:rPr>
        <w:t xml:space="preserve">. Literature has demonstrated that there is a strong relationship between migration networks and the low cost of migration, as people use available social networks within their society to reduce the socioeconomic and emotional cost related to the process of migration. This marvel is clear when we observe how mobility is manifested by pastoralists utilizing their prevailing migration networks and social capital with the already existing migrants in the target destination to access employment in the host areas </w:t>
      </w:r>
      <w:r>
        <w:rPr>
          <w:rFonts w:eastAsia="Times New Roman" w:cs="Times New Roman"/>
          <w:szCs w:val="24"/>
        </w:rPr>
        <w:fldChar w:fldCharType="begin" w:fldLock="1"/>
      </w:r>
      <w:r>
        <w:rPr>
          <w:rFonts w:eastAsia="Times New Roman" w:cs="Times New Roman"/>
          <w:szCs w:val="24"/>
        </w:rPr>
        <w:instrText>ADDIN CSL_CITATION {"citationItems":[{"id":"ITEM-1","itemData":{"author":[{"dropping-particle":"","family":"Tymore","given":"Maganga","non-dropping-particle":"","parse-names":false,"suffix":""}],"id":"ITEM-1","issued":{"date-parts":[["2020"]]},"title":"Climate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Maganga","type":"thesis"},"uris":["http://www.mendeley.com/documents/?uuid=19f7e569-3bf6-43d7-a26f-742026d16e0a"]}],"mendeley":{"formattedCitation":"(Tymore, 2020)","plainTextFormattedCitation":"(Tymore, 2020)","previouslyFormattedCitation":"(Tymore, 2020)"},"properties":{"noteIndex":0},"schema":"https://github.com/citation-style-language/schema/raw/master/csl-citation.json"}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(Tymore, 2020)</w:t>
      </w:r>
      <w:r>
        <w:rPr>
          <w:rFonts w:eastAsia="Times New Roman" w:cs="Times New Roman"/>
          <w:szCs w:val="24"/>
        </w:rPr>
        <w:fldChar w:fldCharType="end"/>
      </w:r>
      <w:r>
        <w:rPr>
          <w:rFonts w:eastAsia="Times New Roman" w:cs="Times New Roman"/>
          <w:szCs w:val="24"/>
        </w:rPr>
        <w:t xml:space="preserve">. Also, advocates for migration system theory maintain that mobility is an outcome of both micro and macrostructures functioning as one, hence, playing a key role in the movement of people between countries. The macro structure has to do with the relationships that exist between nations and the world political and economic system </w:t>
      </w:r>
      <w:r>
        <w:rPr>
          <w:rFonts w:eastAsia="Times New Roman" w:cs="Times New Roman"/>
          <w:szCs w:val="24"/>
        </w:rPr>
        <w:fldChar w:fldCharType="begin" w:fldLock="1"/>
      </w:r>
      <w:r>
        <w:rPr>
          <w:rFonts w:eastAsia="Times New Roman" w:cs="Times New Roman"/>
          <w:szCs w:val="24"/>
        </w:rPr>
        <w:instrText>ADDIN CSL_CITATION {"citationItems":[{"id":"ITEM-1","itemData":{"author":[{"dropping-particle":"","family":"Tymore","given":"Maganga","non-dropping-particle":"","parse-names":false,"suffix":""}],"id":"ITEM-1","issued":{"date-parts":[["2020"]]},"title":"Climate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Maganga","type":"thesis"},"uris":["http://www.mendeley.com/documents/?uuid=19f7e569-3bf6-43d7-a26f-742026d16e0a"]}],"mendeley":{"formattedCitation":"(Tymore, 2020)","plainTextFormattedCitation":"(Tymore, 2020)","previouslyFormattedCitation":"(Tymore, 2020)"},"properties":{"noteIndex":0},"schema":"https://github.com/citation-style-language/schema/raw/master/csl-citation.json"}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(Tymore, 2020)</w:t>
      </w:r>
      <w:r>
        <w:rPr>
          <w:rFonts w:eastAsia="Times New Roman" w:cs="Times New Roman"/>
          <w:szCs w:val="24"/>
        </w:rPr>
        <w:fldChar w:fldCharType="end"/>
      </w:r>
      <w:r>
        <w:rPr>
          <w:rFonts w:eastAsia="Times New Roman" w:cs="Times New Roman"/>
          <w:szCs w:val="24"/>
        </w:rPr>
        <w:t xml:space="preserve">. The microstructure, on the other hand, has to do with informal relations and networks that are available between the migrants in sending and host areas </w:t>
      </w:r>
      <w:r>
        <w:rPr>
          <w:rFonts w:eastAsia="Times New Roman" w:cs="Times New Roman"/>
          <w:szCs w:val="24"/>
        </w:rPr>
        <w:fldChar w:fldCharType="begin" w:fldLock="1"/>
      </w:r>
      <w:r>
        <w:rPr>
          <w:rFonts w:eastAsia="Times New Roman" w:cs="Times New Roman"/>
          <w:szCs w:val="24"/>
        </w:rPr>
        <w:instrText>ADDIN CSL_CITATION {"citationItems":[{"id":"ITEM-1","itemData":{"DOI":"10.1007/978-1-349-26846-7_8","abstract":"Castles in 2013, and should be read in conjunction with Chapters, 11, 12 and 13 of the Fifth edition of The Age of Migration, which present broader dimensions of the process of immigrant settlement and incorporation into receiving societies. This text presents comparative case studies of the migratory process in two countries with very different traditions and institutional frameworks. Despite these differences, there are significant parallels in the development of migration and ethnic diversity, as will become apparent. This leads to the conjecture that the dynamics of the migratory process (as discussed theoretically in Chapters 2 and 3) can be powerful enough to override political structures, government policies and the intentions of the migrants. It does not mean, however, that these factors are unimportant: although settlement and ethnic group formation have taken place in both cases, they have done so under very different conditions. There have also been differing outcomes, which can be characterized as the formation of ethnic communities in the Australian case, as against ethnic minorities in Germany. The examples gain additional interest through the major changes in attitudes and policies towards migration in both countries since the mid-1990s. Australia and Germany: two opposing cases? Australia and the Federal Republic of Germany (FRG) have both experienced mass population movements since 1945. In both cases, foreign immigration started through the official recruitment of migrant workers. Early on, the areas of origin of migrants were partly the same. However, there the similarities seem to end, and the two countries are often seen as opposite poles on the migration spectrum. Australia is considered one of the classical countries of immigration: a new nation, which has been built through colonization and immigration over the last two centuries. Like the USA and Canada, it is a sparsely populated country, which has","author":[{"dropping-particle":"","family":"Castles","given":"Stephen","non-dropping-particle":"","parse-names":false,"suffix":""},{"dropping-particle":"","family":"Miller","given":"Mark J.","non-dropping-particle":"","parse-names":false,"suffix":""}],"container-title":"The Age of Migration","id":"ITEM-1","issued":{"date-parts":[["1998"]]},"page":"185-211","title":"The Migratory Process: A Comparison of Australia and Germany","type":"article-journal"},"uris":["http://www.mendeley.com/documents/?uuid=e4a44b23-200e-40e1-b941-44d054b05c21"]}],"mendeley":{"formattedCitation":"(Castles &amp; Miller, 1998)","plainTextFormattedCitation":"(Castles &amp; Miller, 1998)","previouslyFormattedCitation":"(Castles &amp; Miller, 1998)"},"properties":{"noteIndex":0},"schema":"https://github.com/citation-style-language/schema/raw/master/csl-citation.json"}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&amp; Miller, 1998)</w:t>
      </w:r>
      <w:r>
        <w:rPr>
          <w:rFonts w:eastAsia="Times New Roman" w:cs="Times New Roman"/>
          <w:szCs w:val="24"/>
        </w:rPr>
        <w:fldChar w:fldCharType="end"/>
      </w:r>
      <w:r>
        <w:rPr>
          <w:rFonts w:eastAsia="Times New Roman" w:cs="Times New Roman"/>
          <w:szCs w:val="24"/>
        </w:rPr>
        <w:t xml:space="preserve">. In this situation, the already existing migrants within the host areas communicate the available opportunities, living conditions, as well as how to adjust to the changing environment within the destination area </w:t>
      </w:r>
      <w:r>
        <w:rPr>
          <w:rFonts w:eastAsia="Times New Roman" w:cs="Times New Roman"/>
          <w:szCs w:val="24"/>
        </w:rPr>
        <w:fldChar w:fldCharType="begin" w:fldLock="1"/>
      </w:r>
      <w:r>
        <w:rPr>
          <w:rFonts w:eastAsia="Times New Roman" w:cs="Times New Roman"/>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Migration","type":"chapter"},"uris":["http://www.mendeley.com/documents/?uuid=7e31c964-1627-41e8-b634-ff2f3325d12a"]}],"mendeley":{"formattedCitation":"(Castles et al., 2014)","plainTextFormattedCitation":"(Castles et al., 2014)","previouslyFormattedCitation":"(Castles et al., 2014)"},"properties":{"noteIndex":0},"schema":"https://github.com/citation-style-language/schema/raw/master/csl-citation.json"}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w:t>
      </w:r>
      <w:r>
        <w:rPr>
          <w:rFonts w:eastAsia="Times New Roman" w:cs="Times New Roman"/>
          <w:szCs w:val="24"/>
        </w:rPr>
        <w:fldChar w:fldCharType="end"/>
      </w:r>
      <w:r>
        <w:rPr>
          <w:rFonts w:eastAsia="Times New Roman" w:cs="Times New Roman"/>
          <w:szCs w:val="24"/>
        </w:rPr>
        <w:t xml:space="preserve">. </w:t>
      </w:r>
    </w:p>
    <w:p w:rsidR="00E53882" w:rsidRDefault="00B16FF7">
      <w:pPr>
        <w:spacing w:before="100" w:beforeAutospacing="1" w:after="100" w:afterAutospacing="1" w:line="480" w:lineRule="auto"/>
        <w:rPr>
          <w:rFonts w:eastAsia="Times New Roman" w:cs="Times New Roman"/>
          <w:szCs w:val="24"/>
        </w:rPr>
      </w:pPr>
      <w:r>
        <w:rPr>
          <w:rFonts w:eastAsia="Times New Roman" w:cs="Times New Roman"/>
          <w:szCs w:val="24"/>
        </w:rPr>
        <w:t xml:space="preserve">The attractiveness of the information received from the destination area plays a vital role in motivating potential migrants to move out of their place of origin to the new destination. According to the theory, the availability of information and social capital to migrants not only facilitates the process of migration but also lowers the cost of this movement, increasing people's desire to relocate to a new location </w:t>
      </w:r>
      <w:r>
        <w:rPr>
          <w:rFonts w:eastAsia="Times New Roman" w:cs="Times New Roman"/>
          <w:szCs w:val="24"/>
        </w:rPr>
        <w:fldChar w:fldCharType="begin" w:fldLock="1"/>
      </w:r>
      <w:r>
        <w:rPr>
          <w:rFonts w:eastAsia="Times New Roman" w:cs="Times New Roman"/>
          <w:szCs w:val="24"/>
        </w:rPr>
        <w:instrText>ADDIN CSL_CITATION {"citationItems":[{"id":"ITEM-1","itemData":{"DOI":"10.1007/978-1-349-26846-7_8","abstract":"Castles in 2013, and should be read in conjunction with Chapters, 11, 12 and 13 of the Fifth edition of The Age of Migration, which present broader dimensions of the process of immigrant settlement and incorporation into receiving societies. This text presents comparative case studies of the migratory process in two countries with very different traditions and institutional frameworks. Despite these differences, there are significant parallels in the development of migration and ethnic diversity, as will become apparent. This leads to the conjecture that the dynamics of the migratory process (as discussed theoretically in Chapters 2 and 3) can be powerful enough to override political structures, government policies and the intentions of the migrants. It does not mean, however, that these factors are unimportant: although settlement and ethnic group formation have taken place in both cases, they have done so under very different conditions. There have also been differing outcomes, which can be characterized as the formation of ethnic communities in the Australian case, as against ethnic minorities in Germany. The examples gain additional interest through the major changes in attitudes and policies towards migration in both countries since the mid-1990s. Australia and Germany: two opposing cases? Australia and the Federal Republic of Germany (FRG) have both experienced mass population movements since 1945. In both cases, foreign immigration started through the official recruitment of migrant workers. Early on, the areas of origin of migrants were partly the same. However, there the similarities seem to end, and the two countries are often seen as opposite poles on the migration spectrum. Australia is considered one of the classical countries of immigration: a new nation, which has been built through colonization and immigration over the last two centuries. Like the USA and Canada, it is a sparsely populated country, which has","author":[{"dropping-particle":"","family":"Castles","given":"Stephen","non-dropping-particle":"","parse-names":false,"suffix":""},{"dropping-particle":"","family":"Miller","given":"Mark J.","non-dropping-particle":"","parse-names":false,"suffix":""}],"container-title":"The Age of Migration","id":"ITEM-1","issued":{"date-parts":[["1998"]]},"page":"185-211","title":"The Migratory Process: A Comparison of Australia and Germany","type":"article-journal"},"uris":["http://www.mendeley.com/documents/?uuid=e4a44b23-200e-40e1-b941-44d054b05c21"]},{"id":"ITEM-2","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-2","issued":{"date-parts":[["2014","1","1"]]},"page":"25-54","title":"Theories of Migration","type":"chapter"},"uris":["http://www.mendeley.com/documents/?uuid=7e31c964-1627-41e8-b634-ff2f3325d12a"]}],"mendeley":{"formattedCitation":"(Castles et al., 2014; Castles &amp; Miller, 1998)","plainTextFormattedCitation":"(Castles et al., 2014; Castles &amp; Miller, 1998)","previouslyFormattedCitation":"(Castles et al., 2014; Castles &amp; Miller, 1998)"},"properties":{"noteIndex":0},"schema":"https://github.com/citation-style-language/schema/raw/master/csl-citation.json"}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 Castles &amp; Miller, 1998)</w:t>
      </w:r>
      <w:r>
        <w:rPr>
          <w:rFonts w:eastAsia="Times New Roman" w:cs="Times New Roman"/>
          <w:szCs w:val="24"/>
        </w:rPr>
        <w:fldChar w:fldCharType="end"/>
      </w:r>
      <w:r>
        <w:rPr>
          <w:rFonts w:eastAsia="Times New Roman" w:cs="Times New Roman"/>
          <w:szCs w:val="24"/>
        </w:rPr>
        <w:t xml:space="preserve">. </w:t>
      </w:r>
      <w:r>
        <w:rPr>
          <w:rFonts w:eastAsia="Times New Roman" w:cs="Times New Roman"/>
          <w:szCs w:val="24"/>
        </w:rPr>
        <w:lastRenderedPageBreak/>
        <w:t xml:space="preserve">From the investigation, it can be concluded that the systems of migration connect individuals and society over the universe, and information received is not only helpful in enhancing the capabilities of migration but also serves as new ideas and acquaintances to innovative ways of life carried by migrants may also adjust people's cultural ranges, favourites, and aspirations" </w:t>
      </w:r>
      <w:r>
        <w:rPr>
          <w:rFonts w:eastAsia="Times New Roman" w:cs="Times New Roman"/>
          <w:szCs w:val="24"/>
        </w:rPr>
        <w:fldChar w:fldCharType="begin" w:fldLock="1"/>
      </w:r>
      <w:r>
        <w:rPr>
          <w:rFonts w:eastAsia="Times New Roman" w:cs="Times New Roman"/>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Migration","type":"chapter"},"uris":["http://www.mendeley.com/documents/?uuid=7e31c964-1627-41e8-b634-ff2f3325d12a"]}],"mendeley":{"formattedCitation":"(Castles et al., 2014)","plainTextFormattedCitation":"(Castles et al., 2014)","previouslyFormattedCitation":"(Castles et al., 2014)"},"properties":{"noteIndex":0},"schema":"https://github.com/citation-style-language/schema/raw/master/csl-citation.json"}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w:t>
      </w:r>
      <w:r>
        <w:rPr>
          <w:rFonts w:eastAsia="Times New Roman" w:cs="Times New Roman"/>
          <w:szCs w:val="24"/>
        </w:rPr>
        <w:fldChar w:fldCharType="end"/>
      </w:r>
      <w:r>
        <w:rPr>
          <w:rFonts w:eastAsia="Times New Roman" w:cs="Times New Roman"/>
          <w:szCs w:val="24"/>
        </w:rPr>
        <w:t xml:space="preserve">. This is true in the pastoralist mobility pattern, as pastoralists follow the past routes that were typically determined by solid social and universal networks that made it easy for them to gain access to other countries to search for food and water for their animals </w:t>
      </w:r>
      <w:r>
        <w:rPr>
          <w:rFonts w:eastAsia="Times New Roman" w:cs="Times New Roman"/>
          <w:szCs w:val="24"/>
        </w:rPr>
        <w:fldChar w:fldCharType="begin" w:fldLock="1"/>
      </w:r>
      <w:r>
        <w:rPr>
          <w:rFonts w:eastAsia="Times New Roman" w:cs="Times New Roman"/>
          <w:szCs w:val="24"/>
        </w:rPr>
        <w:instrText>ADDIN CSL_CITATION {"citationItems":[{"id":"ITEM-1","itemData":{"DOI":"10.1007/s10584-012-0578-2","ISSN":"1573-1480","abstract":"Climatic variability and change is known to influence human migration patterns. Researchers increasingly see migration as one of a range of potential means by which populations may adapt to the future impacts of climate change. Modelling of climate change-related migration is a relatively new undertaking. This article provides a brief overview of current scholarly understanding of climate change-related migration processes, identifies recent developments and current challenges in modelling, and suggests opportunities for enhancing future modelling efforts. Given the lack of reliable global datasets on environmentally related migration, regional and sub-regional modelling of climate change effects on migration is where most developments are likely to emerge in the short-run. Such models, which can draw on a range of GIS-based and statistical approaches, at present make use of fairly general assumptions about migration behavior, and therefore best serve as gauges of potential trends and migration hotspots, and not as absolute predictors of future migrant numbers. Models will become increasingly sophisticated as scholarly understanding of underlying factors influencing migration behavior, such as risk perception, social networks, and labor market connections, is improved. Obtaining reliable data for use in such models will remain a significant challenge in coming years. International policymakers seeking to expand the predictive capacity of models are encouraged to use existing mechanisms such as the UN Framework Convention on Climate Change to develop protocols and mechanisms for collecting and sharing reliable data on climate-related population movements.","author":[{"dropping-particle":"","family":"McLeman","given":"Robert","non-dropping-particle":"","parse-names":false,"suffix":""}],"container-title":"Climatic Change","id":"ITEM-1","issue":"3","issued":{"date-parts":[["2013"]]},"page":"599-611","title":"Developments in modelling of climate change-related migration","type":"article-journal","volume":"117"},"uris":["http://www.mendeley.com/documents/?uuid=e767371c-3583-411d-b9f7-d92e642bf183"]},{"id":"ITEM-2","itemData":{"DOI":"10.1007/978-94-007-6208-4","ISBN":"9789400762084","abstract":"This book addresses environmental and climate change induced migration from the vantage point of migration studies, offering a broad spectrum of approaches for considering the environment/climate/migration nexus. Research on the subject is still frequently narrowed down to climate change vulnerability and the environmental push factor. The book establishes the interconnections between societal and environmental vulnerability, and migration and capability, allowing appreciation of migration in the frame of climate as a case of spatial and social mobility, that is, as a strategy of persons and groups to deal with a grossly unequal distribution of life chances across the world. In their introduction, the editors fan out the current debate and state the need to transcend predominantly policy-oriented approaches to migration. The first section of the volume focuses on \"Methodologies and Methods\" and presents very distinct approaches to think climate induced migration. Subsequent chapters explore the sensitivity of existing migration flows to climate change in Ghana and Bangladesh, the complex relationship between migration, demographic change and coping capacities in Canada, methodological challenges of a household survey on the significance of migration and remittances for adaptation in the Hindu Kush region and an econometric study of the aftermath of the 1998 floods in Bangladesh. The second part, \"Areas of Concern: Politics and Human Rights\", deepens the analysis of discourses as well as of the implications of proposed and implemented policies. Contributors discuss such topics as environmental migration as a multi-causal problem, climate migration as a consequence in an alarmist discourse and climate migration as a solution. A study of an integrated relocation program in Papua New Guinea is followed by chapters on the promise and the flaws of planned relocation policy, global policy on protection of environmental migrants including both internally displaced peoples and those who cross international borders. A concluding chapter places human agency at centre stage and explores the interplay between human rights, capability and migration.","author":[{"dropping-particle":"","family":"Faist","given":"Thomas","non-dropping-particle":"","parse-names":false,"suffix":""},{"dropping-particle":"","family":"Schade","given":"Jeanette","non-dropping-particle":"","parse-names":false,"suffix":""}],"container-title":"Disentangling Migration and Climate Change: Methodologies, Political Discourses and Human Rights","id":"ITEM-2","issued":{"date-parts":[["2015"]]},"page":"1-259","title":"Disentangling Migration and Climate Change: Methodologies, political discourses and human rights","type":"article-journal"},"uris":["http://www.mendeley.com/documents/?uuid=70e385a5-66e1-4831-bb78-f9b83a7d669e"]}],"mendeley":{"formattedCitation":"(Faist &amp; Schade, 2015; McLeman, 2013)","plainTextFormattedCitation":"(Faist &amp; Schade, 2015; McLeman, 2013)","previouslyFormattedCitation":"(Faist &amp; Schade, 2015; McLeman, 2013)"},"properties":{"noteIndex":0},"schema":"https://github.com/citation-style-language/schema/raw/master/csl-citation.json"}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(Faist &amp; Schade, 2015; McLeman, 2013)</w:t>
      </w:r>
      <w:r>
        <w:rPr>
          <w:rFonts w:eastAsia="Times New Roman" w:cs="Times New Roman"/>
          <w:szCs w:val="24"/>
        </w:rPr>
        <w:fldChar w:fldCharType="end"/>
      </w:r>
      <w:r>
        <w:rPr>
          <w:rFonts w:eastAsia="Times New Roman" w:cs="Times New Roman"/>
          <w:szCs w:val="24"/>
        </w:rPr>
        <w:t>.</w:t>
      </w:r>
    </w:p>
    <w:p w:rsidR="00E53882" w:rsidRDefault="00B16FF7">
      <w:pPr>
        <w:spacing w:before="100" w:beforeAutospacing="1" w:after="100" w:afterAutospacing="1" w:line="480" w:lineRule="auto"/>
        <w:rPr>
          <w:rFonts w:eastAsia="Times New Roman" w:cs="Times New Roman"/>
          <w:szCs w:val="24"/>
        </w:rPr>
      </w:pPr>
      <w:r>
        <w:rPr>
          <w:rFonts w:eastAsia="Times New Roman" w:cs="Times New Roman"/>
          <w:szCs w:val="24"/>
        </w:rPr>
        <w:t xml:space="preserve">Furthermore, migration decisions are made by households or communities based on values and norms, as well as the preferences of discoverer migrants, rather than economic or ecological factors </w:t>
      </w:r>
      <w:r>
        <w:rPr>
          <w:rFonts w:eastAsia="Times New Roman" w:cs="Times New Roman"/>
          <w:szCs w:val="24"/>
        </w:rPr>
        <w:fldChar w:fldCharType="begin" w:fldLock="1"/>
      </w:r>
      <w:r w:rsidR="00900D2E">
        <w:rPr>
          <w:rFonts w:eastAsia="Times New Roman" w:cs="Times New Roman"/>
          <w:szCs w:val="24"/>
        </w:rPr>
        <w:instrText>ADDIN CSL_CITATION {"citationItems":[{"id":"ITEM-1","itemData":{"DOI":"10.1177/0309132515575417","ISBN":"0309132515575","ISSN":"14770288","abstract":"While researchers are increasingly re-conceptualizing international migration, far less attention has been devoted to re-thinking short-distance residential mobility and immobility. In this paper we harness the life course approach to propose a new conceptual framework for residential mobility research. We contend that residential mobility and immobility should be re-conceptualized as relational practices that link lives through time and space while connecting people to structural conditions. Re-thinking and re-assessing residential mobility by exploiting new developments in longitudinal analysis will allow geographers to understand, critique and address pressing societal challenges.","author":[{"dropping-particle":"","family":"Coulter","given":"Rory","non-dropping-particle":"","parse-names":false,"suffix":""},{"dropping-particle":"van","family":"Ham","given":"Maarten","non-dropping-particle":"","parse-names":false,"suffix":""},{"dropping-particle":"","family":"Findlay","given":"Allan M.","non-dropping-particle":"","parse-names":false,"suffix":""}],"container-title":"Progress in Human Geography","id":"ITEM-1","issue":"3","issued":{"date-parts":[["2016"]]},"page":"352-374","title":"Re-thinking residential mobility: Linking lives through time and space","type":"article-journal","volume":"40"},"uris":["http://www.mendeley.com/documents/?uuid=e04fd6c2-4e2e-46b4-bf49-22601ea1e25d"]},{"id":"ITEM-2","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-2","issued":{"date-parts":[["2014","1","1"]]},"page":"25-54","title":"Theories of Migration","type":"chapter"},"uris":["http://www.mendeley.com/documents/?uuid=7e31c964-1627-41e8-b634-ff2f3325d12a"]}],"mendeley":{"formattedCitation":"(Castles et al., 2014; Coulter et al., 2016)","plainTextFormattedCitation":"(Castles et al., 2014; Coulter et al., 2016)","previouslyFormattedCitation":"(Castles et al., 2014; Coulter et al., 2016)"},"properties":{"noteIndex":0},"schema":"https://github.com/citation-style-language/schema/raw/master/csl-citation.json"}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 Coulter et al., 2016)</w:t>
      </w:r>
      <w:r>
        <w:rPr>
          <w:rFonts w:eastAsia="Times New Roman" w:cs="Times New Roman"/>
          <w:szCs w:val="24"/>
        </w:rPr>
        <w:fldChar w:fldCharType="end"/>
      </w:r>
      <w:r>
        <w:rPr>
          <w:rFonts w:eastAsia="Times New Roman" w:cs="Times New Roman"/>
          <w:szCs w:val="24"/>
        </w:rPr>
        <w:t xml:space="preserve">. This means the creation of a community for migrants in one target area may lead to more migrants to the same destination </w:t>
      </w:r>
      <w:r>
        <w:rPr>
          <w:rFonts w:eastAsia="Times New Roman" w:cs="Times New Roman"/>
          <w:szCs w:val="24"/>
        </w:rPr>
        <w:fldChar w:fldCharType="begin" w:fldLock="1"/>
      </w:r>
      <w:r>
        <w:rPr>
          <w:rFonts w:eastAsia="Times New Roman" w:cs="Times New Roman"/>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Migration","type":"chapter"},"uris":["http://www.mendeley.com/documents/?uuid=7e31c964-1627-41e8-b634-ff2f3325d12a"]}],"mendeley":{"formattedCitation":"(Castles et al., 2014)","plainTextFormattedCitation":"(Castles et al., 2014)","previouslyFormattedCitation":"(Castles et al., 2014)"},"properties":{"noteIndex":0},"schema":"https://github.com/citation-style-language/schema/raw/master/csl-citation.json"}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(Castles et al., 2014)</w:t>
      </w:r>
      <w:r>
        <w:rPr>
          <w:rFonts w:eastAsia="Times New Roman" w:cs="Times New Roman"/>
          <w:szCs w:val="24"/>
        </w:rPr>
        <w:fldChar w:fldCharType="end"/>
      </w:r>
      <w:r>
        <w:rPr>
          <w:rFonts w:eastAsia="Times New Roman" w:cs="Times New Roman"/>
          <w:szCs w:val="24"/>
        </w:rPr>
        <w:t xml:space="preserve">. Likewise, mobility is not a choice made by an individual but a decision taken by the whole family and friends in determining the target location, especially during environmental crises </w:t>
      </w:r>
      <w:r>
        <w:rPr>
          <w:rFonts w:eastAsia="Times New Roman" w:cs="Times New Roman"/>
          <w:szCs w:val="24"/>
        </w:rPr>
        <w:fldChar w:fldCharType="begin" w:fldLock="1"/>
      </w:r>
      <w:r>
        <w:rPr>
          <w:rFonts w:eastAsia="Times New Roman" w:cs="Times New Roman"/>
          <w:szCs w:val="24"/>
        </w:rPr>
        <w:instrText>ADDIN CSL_CITATION {"citationItems":[{"id":"ITEM-1","itemData":{"DOI":"10.1080/17565529.2013.867248","ISSN":"17565537","abstract":"The impacts of rainfall variability are threatening food production systems, leading to losses of livelihood and food insecurity. The frequency and intensity of floods and drought are likely to be higher as a result of climate change. This case study presents an empirical account of the impacts of rainfall variability on agriculture, food security, livelihoods and human mobility in the Janjigir-Champa district of Chhattisgarh. The research tests the hypothesis that human migration is a major coping mechanism against climate variability. The findings confirm that a coordination mechanism exists between rainfall changes (i.e. erratic rainfall patterns in terms of delayed monsoons, seasonal shifts, drought and floods) and livelihood and food security of a number of farmers and farm labourers in the research site. Because there is only a single annual harvest of paddy rice (practiced as monoculture) in the research site, which is partly due to the non-availability of water for a second crop, marginal farmers and farm labourers are left with very few options in finding sufficient employment in and around their villages. Some people cope with the situation by seeking assistance from their relatives, friends and the government. However, seasonal and permanent migrations are the most opted-for coping strategies in the study area. © 2013 © 2013 The Author(s). Published by Taylor &amp; Francis.","author":[{"dropping-particle":"","family":"Murali","given":"Janakaraj","non-dropping-particle":"","parse-names":false,"suffix":""},{"dropping-particle":"","family":"Afifi","given":"Tamer","non-dropping-particle":"","parse-names":false,"suffix":""}],"container-title":"Climate and Development","id":"ITEM-1","issue":"1","issued":{"date-parts":[["2014"]]},"page":"28-37","publisher":"Taylor &amp; Francis","title":"Rainfall variability, food security and human mobility in the Janjgir-Champa district of Chhattisgarh state, India","type":"article-journal","volume":"6"},"uris":["http://www.mendeley.com/documents/?uuid=07bd1ba8-b324-44f2-9865-55ba3a2748d1"]}],"mendeley":{"formattedCitation":"(Murali &amp; Afifi, 2014)","plainTextFormattedCitation":"(Murali &amp; Afifi, 2014)","previouslyFormattedCitation":"(Murali &amp; Afifi, 2014)"},"properties":{"noteIndex":0},"schema":"https://github.com/citation-style-language/schema/raw/master/csl-citation.json"}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(Murali &amp; Afifi, 2014)</w:t>
      </w:r>
      <w:r>
        <w:rPr>
          <w:rFonts w:eastAsia="Times New Roman" w:cs="Times New Roman"/>
          <w:szCs w:val="24"/>
        </w:rPr>
        <w:fldChar w:fldCharType="end"/>
      </w:r>
      <w:r>
        <w:rPr>
          <w:rFonts w:eastAsia="Times New Roman" w:cs="Times New Roman"/>
          <w:szCs w:val="24"/>
        </w:rPr>
        <w:t xml:space="preserve">. Distinct from push and pull theories that have failed to elaborate on the difficulties of human mobility in their investigations and were criticized for being one-sided, migration system theory is helpful in explaining the decisions of migration in agro-based rural economies all over the world. The strong point of this theory is its capability to interpret human mobility patterns by considering the relations of economic factors with several structures and systems, such as policies, networks, and institutions that enlighten decisions on human mobility </w:t>
      </w:r>
      <w:r>
        <w:rPr>
          <w:rFonts w:eastAsia="Times New Roman" w:cs="Times New Roman"/>
          <w:szCs w:val="24"/>
        </w:rPr>
        <w:fldChar w:fldCharType="begin" w:fldLock="1"/>
      </w:r>
      <w:r>
        <w:rPr>
          <w:rFonts w:eastAsia="Times New Roman" w:cs="Times New Roman"/>
          <w:szCs w:val="24"/>
        </w:rPr>
        <w:instrText>ADDIN CSL_CITATION {"citationItems":[{"id":"ITEM-1","itemData":{"DOI":"10.4324/9781315623399","ISBN":"9781315623399","author":[{"dropping-particle":"","family":"Mavroudi","given":"Elizabeth","non-dropping-particle":"","parse-names":false,"suffix":""},{"dropping-particle":"","family":"Nagel","given":"Caroline","non-dropping-particle":"","parse-names":false,"suffix":""}],"id":"ITEM-1","issued":{"date-parts":[["2016","6","3"]]},"title":"Global Migration: Patterns, processes, and politics","type":"book"},"uris":["http://www.mendeley.com/documents/?uuid=baeeeada-7b0c-4595-b2a7-5dc35c949cf7"]}],"mendeley":{"formattedCitation":"(Mavroudi &amp; Nagel, 2016)","plainTextFormattedCitation":"(Mavroudi &amp; Nagel, 2016)","previouslyFormattedCitation":"(Mavroudi &amp; Nagel, 2016)"},"properties":{"noteIndex":0},"schema":"https://github.com/citation-style-language/schema/raw/master/csl-citation.json"}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(Mavroudi &amp; Nagel, 2016)</w:t>
      </w:r>
      <w:r>
        <w:rPr>
          <w:rFonts w:eastAsia="Times New Roman" w:cs="Times New Roman"/>
          <w:szCs w:val="24"/>
        </w:rPr>
        <w:fldChar w:fldCharType="end"/>
      </w:r>
      <w:r>
        <w:rPr>
          <w:rFonts w:eastAsia="Times New Roman" w:cs="Times New Roman"/>
          <w:szCs w:val="24"/>
        </w:rPr>
        <w:t xml:space="preserve">. Further, this theory can study the two sides of the migration spectrum by depicting the relationship between issues in the place of origin as well as the destination area. The theory is based on the view that human </w:t>
      </w:r>
      <w:r>
        <w:rPr>
          <w:rFonts w:eastAsia="Times New Roman" w:cs="Times New Roman"/>
          <w:szCs w:val="24"/>
        </w:rPr>
        <w:lastRenderedPageBreak/>
        <w:t xml:space="preserve">mobility is complex in nature. The numerous drivers of human mobility make it difficult to equate the decision of out-migration to a single variable, because there is no single method or philosophy that can be used to explain human mobility. </w:t>
      </w:r>
    </w:p>
    <w:p w:rsidR="00E53882" w:rsidRDefault="00B16FF7">
      <w:pPr>
        <w:spacing w:before="100" w:beforeAutospacing="1" w:after="100" w:afterAutospacing="1" w:line="480" w:lineRule="auto"/>
        <w:rPr>
          <w:rFonts w:eastAsia="Times New Roman" w:cs="Times New Roman"/>
          <w:szCs w:val="24"/>
        </w:rPr>
      </w:pPr>
      <w:r>
        <w:rPr>
          <w:rFonts w:eastAsia="Times New Roman" w:cs="Times New Roman"/>
          <w:szCs w:val="24"/>
        </w:rPr>
        <w:t xml:space="preserve">In relation to the subject under investigation, this theory is a useful tool in explaining pastoralist mobility to Ghana. </w:t>
      </w:r>
      <w:r>
        <w:rPr>
          <w:rFonts w:eastAsia="Times New Roman" w:cs="Times New Roman"/>
          <w:szCs w:val="24"/>
        </w:rPr>
        <w:fldChar w:fldCharType="begin" w:fldLock="1"/>
      </w:r>
      <w:r>
        <w:rPr>
          <w:rFonts w:eastAsia="Times New Roman" w:cs="Times New Roman"/>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2018)","manualFormatting":"Ouoba-Ima, (2018)","plainTextFormattedCitation":"(Ouoba-Ima, 2018)","previouslyFormattedCitation":"(Ouoba-Ima, 2018)"},"properties":{"noteIndex":0},"schema":"https://github.com/citation-style-language/schema/raw/master/csl-citation.json"}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Ouoba-Ima, (2018)</w:t>
      </w:r>
      <w:r>
        <w:rPr>
          <w:rFonts w:eastAsia="Times New Roman" w:cs="Times New Roman"/>
          <w:szCs w:val="24"/>
        </w:rPr>
        <w:fldChar w:fldCharType="end"/>
      </w:r>
      <w:r>
        <w:rPr>
          <w:rFonts w:eastAsia="Times New Roman" w:cs="Times New Roman"/>
          <w:szCs w:val="24"/>
        </w:rPr>
        <w:t xml:space="preserve"> argues that decisions on pastoralism are not made by a single person, but they are usually done by collective agreement of the family. In this regard, the family's head is crucial. She further noted that mobility decisions are influenced by the pioneers of migrants who are residing in the destination area. Therefore, though both maximalist theory and pull and push theory are useful theories in explaining pastoralist mobility, there is, however, a need for these theories to enrich the explanation of socioeconomic and structural conditions operating in communal areas. Thus, I concur that migration systems and network theory play a crucial role in elucidating the intricacies of pastoralist mobility since they consider broader interconnected circumstances beyond the individual—embracing the wider system or network within which an individual agent operates. In a similar vein, these theories are helpful in comprehending the "complex migratory processes that occur, consolidate, change over time in nature and form, and emerge.” "They tend to do so, ignoring the social dynamics inherent in migration and climate change, even though they are appropriate for characterizing pastoral mobility.” The primary drivers of mobility in Ghana's communal areas are these social dynamics. Thus, in order to obtain a thorough grasp of the crucial role that socioeconomic and social dynamics play in influencing pastoralist mobility and climate change responses in communities in Ghana, this study recommends a combined approach that integrates all three theories.</w:t>
      </w:r>
    </w:p>
    <w:p w:rsidR="00E53882" w:rsidRDefault="00B16FF7">
      <w:pPr>
        <w:spacing w:after="0" w:line="480" w:lineRule="auto"/>
        <w:rPr>
          <w:rFonts w:eastAsia="Calibri" w:cs="Times New Roman"/>
          <w:b/>
          <w:szCs w:val="24"/>
        </w:rPr>
      </w:pPr>
      <w:r>
        <w:rPr>
          <w:rFonts w:eastAsia="Calibri"/>
          <w:b/>
        </w:rPr>
        <w:lastRenderedPageBreak/>
        <w:t>2.2 Conceptual Review</w:t>
      </w:r>
      <w:r>
        <w:rPr>
          <w:rFonts w:eastAsia="Calibri"/>
        </w:rPr>
        <w:t xml:space="preserve"> </w:t>
      </w:r>
    </w:p>
    <w:p w:rsidR="00096688" w:rsidRPr="00096688" w:rsidRDefault="00B16FF7">
      <w:pPr>
        <w:spacing w:after="0" w:line="480" w:lineRule="auto"/>
        <w:rPr>
          <w:rFonts w:eastAsia="Calibri" w:cs="Times New Roman"/>
          <w:szCs w:val="24"/>
          <w:lang w:val="en-US"/>
        </w:rPr>
      </w:pPr>
      <w:r>
        <w:rPr>
          <w:rFonts w:eastAsia="Calibri" w:cs="Times New Roman"/>
          <w:szCs w:val="24"/>
        </w:rPr>
        <w:t>The conceptual mappings that surround the study are presented in this section of the study. The key concepts are covered in this section and these include climate change, pastoralism, and climate change and pastoralists mobility. The concepts are reviewed because they serve as the foundation for the conceptualization of the research topic, research problem, and research objectives. However, the concepts in this research exercise serve as the benchmark for assessing the significant variables in the project, thus it is necessary to establish their boundaries and what they consist of. Furthermore, drawing conceptual boundaries will help one fully comprehend the intricacy of the research project's topic matte</w:t>
      </w:r>
      <w:r>
        <w:rPr>
          <w:rFonts w:eastAsia="Calibri" w:cs="Times New Roman"/>
          <w:szCs w:val="24"/>
          <w:lang w:val="en-US"/>
        </w:rPr>
        <w:t>r</w:t>
      </w:r>
    </w:p>
    <w:p w:rsidR="00E53882" w:rsidRDefault="00B16FF7">
      <w:pPr>
        <w:spacing w:after="0" w:line="480" w:lineRule="auto"/>
        <w:rPr>
          <w:rFonts w:eastAsia="Calibri" w:cs="Times New Roman"/>
          <w:b/>
          <w:szCs w:val="24"/>
        </w:rPr>
      </w:pPr>
      <w:r>
        <w:rPr>
          <w:rFonts w:eastAsia="Calibri"/>
          <w:b/>
        </w:rPr>
        <w:t>2</w:t>
      </w:r>
      <w:r>
        <w:rPr>
          <w:rFonts w:eastAsia="Calibri"/>
        </w:rPr>
        <w:t>.</w:t>
      </w:r>
      <w:r>
        <w:rPr>
          <w:rFonts w:eastAsia="Calibri"/>
          <w:b/>
        </w:rPr>
        <w:t>2</w:t>
      </w:r>
      <w:r>
        <w:rPr>
          <w:rFonts w:eastAsia="Calibri"/>
        </w:rPr>
        <w:t>.</w:t>
      </w:r>
      <w:r>
        <w:rPr>
          <w:rFonts w:eastAsia="Calibri"/>
          <w:b/>
        </w:rPr>
        <w:t>1 Climate Change</w:t>
      </w:r>
    </w:p>
    <w:p w:rsidR="00E53882" w:rsidRPr="00EB798B" w:rsidRDefault="00B16FF7">
      <w:pPr>
        <w:spacing w:after="0" w:line="480" w:lineRule="auto"/>
        <w:rPr>
          <w:rFonts w:eastAsia="Calibri" w:cs="Times New Roman"/>
          <w:szCs w:val="24"/>
        </w:rPr>
      </w:pPr>
      <w:r>
        <w:rPr>
          <w:rFonts w:eastAsia="Calibri" w:cs="Times New Roman"/>
          <w:szCs w:val="24"/>
        </w:rPr>
        <w:t xml:space="preserve">The climate on Earth is changing, and it is anticipated that it will do so for the rest of this century and beyond. The amount of greenhouse gases (heat-trapping gases) released into the atmosphere on a global scale and the degree of uncertainty surrounding the Earth's climate's sensitivity to these emissions will be the main determinants of the extent of climate change over the coming decades </w:t>
      </w:r>
      <w:r>
        <w:rPr>
          <w:rFonts w:eastAsia="Calibri" w:cs="Times New Roman"/>
          <w:szCs w:val="24"/>
        </w:rPr>
        <w:fldChar w:fldCharType="begin" w:fldLock="1"/>
      </w:r>
      <w:r>
        <w:rPr>
          <w:rFonts w:eastAsia="Calibri" w:cs="Times New Roman"/>
          <w:szCs w:val="24"/>
        </w:rPr>
        <w:instrText>ADDIN CSL_CITATION {"citationItems":[{"id":"ITEM-1","itemData":{"DOI":"10.2307/j.ctvr43k9j.13","ISBN":"9781009157988","abstract":"An IPCC special report on climate change, desertification, land degradation, sustainable land management, food security, and greenhouse gas fluxes in terrestrial ecosystems","author":[{"dropping-particle":"","family":"Couzin","given":"Robert","non-dropping-particle":"","parse-names":false,"suffix":""}],"container-title":"The Traditio Legis: Anatomy of an Image","id":"ITEM-1","issued":{"date-parts":[["2019"]]},"number-of-pages":"46-54","title":"Framing and context","type":"book"},"uris":["http://www.mendeley.com/documents/?uuid=7eb26f58-11c9-4db4-b34f-75c2aeb8cc22"]},{"id":"ITEM-2","itemData":{"DOI":"10.1017/9781009157896","ISBN":"9781009157896","abstract":"This Summary for Policymakers should be cited as: IPCC, 2013: Summary for Policymakers.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USA.","author":[{"dropping-particle":"","family":"IPCC","given":"","non-dropping-particle":"","parse-names":false,"suffix":""}],"container-title":"Climate Change 2021 – The Physical Science Basis","id":"ITEM-2","issued":{"date-parts":[["2021"]]},"title":"Climate Change 2021 – The Physical Science Basis","type":"book"},"uris":["http://www.mendeley.com/documents/?uuid=63086c08-fedc-4b2d-94e3-596cb92fc366"]}],"mendeley":{"formattedCitation":"(Couzin, 2019; IPCC, 2021)","plainTextFormattedCitation":"(Couzin, 2019; IPCC, 2021)","previouslyFormattedCitation":"(Couzin, 2019; IPCC, 2021)"},"properties":{"noteIndex":0},"schema":"https://github.com/citation-style-language/schema/raw/master/csl-citation.json"}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(Couzin, 2019; IPCC, 2021)</w:t>
      </w:r>
      <w:r>
        <w:rPr>
          <w:rFonts w:eastAsia="Calibri" w:cs="Times New Roman"/>
          <w:szCs w:val="24"/>
        </w:rPr>
        <w:fldChar w:fldCharType="end"/>
      </w:r>
      <w:r>
        <w:rPr>
          <w:rFonts w:eastAsia="Calibri" w:cs="Times New Roman"/>
          <w:szCs w:val="24"/>
        </w:rPr>
        <w:t xml:space="preserve">. Reduced greenhouse gas emissions significantly, and the annual average temperature increase worldwide could be kept to 2°C or less. By the end of this century, the increase in global annual average temperatures over pre-industrial levels could reach 5°C or higher if these emissions are not significantly reduced </w:t>
      </w:r>
      <w:r>
        <w:rPr>
          <w:rFonts w:eastAsia="Calibri" w:cs="Times New Roman"/>
          <w:szCs w:val="24"/>
        </w:rPr>
        <w:fldChar w:fldCharType="begin" w:fldLock="1"/>
      </w:r>
      <w:r>
        <w:rPr>
          <w:rFonts w:eastAsia="Calibri" w:cs="Times New Roman"/>
          <w:szCs w:val="24"/>
        </w:rPr>
        <w:instrText>ADDIN CSL_CITATION {"citationItems":[{"id":"ITEM-1","itemData":{"abstract":"Projected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Bank","given":"","non-dropping-particle":"","parse-names":false,"suffix":""}],"id":"ITEM-1","issued":{"date-parts":[["2021"]]},"page":"32","title":"Climate risk country profile - Ghana","type":"article-journal"},"uris":["http://www.mendeley.com/documents/?uuid=4959faab-240a-4a2a-ac47-a661ccd5c855"]},{"id":"ITEM-2","itemData":{"DOI":"10.5194/essd-12-3269-2020","ISSN":"18663516","abstract":"Accurate assessment of anthropogenic carbon dioxide (CO2) emissions and their redistribution among the atmosphere, ocean, and terrestrial biosphere in a changing climate the \"global carbon budget\" is important to better understand the global carbon cycle, support the development of climate policies, and project future climate change. Here we describe and synthesize data sets and methodology to quantify the five major components of the global carbon budget and their uncertainties. Fossil CO2 emissions (EFOS) are based on energy statistics and cement production data, while emissions from land-use change (ELUC), mainly deforestation, are based on land use and land-use change data and bookkeeping models. Atmospheric CO2 concentration is measured directly and its growth rate (GATM) is computed from the annual changes in concentration. The ocean CO2 sink (SOCEAN) and terrestrial CO2 sink (SLAND) are estimated with global process models constrained by observations. The resulting carbon budget imbalance (BIM), the difference between the estimated total emissions and the estimated changes in the atmosphere, ocean, and terrestrial biosphere, is a measure of imperfect data and understanding of the contemporary carbon cycle. All uncertainties are reported as ±1s. For the last decade available (2010 2019), EFOS was 9.6 ± 0.5 GtC yr-1 excluding the cement carbonation sink (9.4 ± 0.5 GtC yr-1 when the cement carbonation sink is included), and ELUC was 1.6 ± 0.7 GtC yr-1. For the same decade, GATM was 5.1 ± 0.02 GtC yr-1 (2.4 ± 0.01 ppm yr-1), SOCEAN 2.5 ± 0.6 GtC yr-1, and SLAND 3.4 ± 0.9 GtC yr-1, with a budget imbalance BIM of -0.1 GtC yr-1 indicating a near balance between estimated sources and sinks over the last decade. For the year 2019 alone, the growth in EFOS was only about 0.1 % with fossil emissions increasing to 9.9 ± 0.5 GtC yr-1 excluding the cement carbonation sink (9.7 ± 0.5 GtC yr-1 when cement carbonation sink is included), and ELUC was 1.8 ± 0.7 GtC yr-1, for total anthropogenic CO2 emissions of 11.5 ± 0.9 GtC yr-1 (42.2 ± 3.3 GtCO2). Also for 2019, GATM was 5.4 ± 0.2 GtC yr-1 (2.5 ± 0.1 ppm yr-1), SOCEAN was 2.6 ± 0.6 GtC yr-1, and SLAND was 3.1 ± 1.2 GtC yr-1, with a BIM of 0.3 GtC. The global atmospheric CO2 concentration reached 409.85 ± 0.1 ppm averaged over 2019. Preliminary data for 2020, accounting for the COVID-19-induced changes in emissions, suggest a decrease in EFOS relative to 2019 of about -7 % (median estimate) based on individual es…","author":[{"dropping-particle":"","family":"Friedlingstein","given":"Pierre","non-dropping-particle":"","parse-names":false,"suffix":""},{"dropping-particle":"","family":"O'Sullivan","given":"Michael","non-dropping-particle":"","parse-names":false,"suffix":""},{"dropping-particle":"","family":"Jones","given":"Matthew W.","non-dropping-particle":"","parse-names":false,"suffix":""},{"dropping-particle":"","family":"Andrew","given":"Robbie M.","non-dropping-particle":"","parse-names":false,"suffix":""},{"dropping-particle":"","family":"Hauck","given":"Judith","non-dropping-particle":"","parse-names":false,"suffix":""},{"dropping-particle":"","family":"Olsen","given":"Are","non-dropping-particle":"","parse-names":false,"suffix":""},{"dropping-particle":"","family":"Peters","given":"Glen P.","non-dropping-particle":"","parse-names":false,"suffix":""},{"dropping-particle":"","family":"Peters","given":"Wouter","non-dropping-particle":"","parse-names":false,"suffix":""},{"dropping-particle":"","family":"Pongratz","given":"Julia","non-dropping-particle":"","parse-names":false,"suffix":""},{"dropping-particle":"","family":"Sitch","given":"Stephen","non-dropping-particle":"","parse-names":false,"suffix":""},{"dropping-particle":"","family":"Quéré","given":"Corinne","non-dropping-particle":"Le","parse-names":false,"suffix":""},{"dropping-particle":"","family":"Canadell","given":"Josep G.","non-dropping-particle":"","parse-names":false,"suffix":""},{"dropping-particle":"","family":"Ciais","given":"Philippe","non-dropping-particle":"","parse-names":false,"suffix":""},{"dropping-particle":"","family":"Jackson","given":"Robert B.","non-dropping-particle":"","parse-names":false,"suffix":""},{"dropping-particle":"","family":"Alin","given":"Simone","non-dropping-particle":"","parse-names":false,"suffix":""},{"dropping-particle":"","family":"Aragão","given":"Luiz E.O.C.","non-dropping-particle":"","parse-names":false,"suffix":""},{"dropping-particle":"","family":"Arneth","given":"Almut","non-dropping-particle":"","parse-names":false,"suffix":""},{"dropping-particle":"","family":"Arora","given":"Vivek","non-dropping-particle":"","parse-names":false,"suffix":""},{"dropping-particle":"","family":"Bates","given":"Nicholas R.","non-dropping-particle":"","parse-names":false,"suffix":""},{"dropping-particle":"","family":"Becker","given":"Meike","non-dropping-particle":"","parse-names":false,"suffix":""},{"dropping-particle":"","family":"Benoit-Cattin","given":"Alice","non-dropping-particle":"","parse-names":false,"suffix":""},{"dropping-particle":"","family":"Bittig","given":"Henry C.","non-dropping-particle":"","parse-names":false,"suffix":""},{"dropping-particle":"","family":"Bopp","given":"Laurent","non-dropping-particle":"","parse-names":false,"suffix":""},{"dropping-particle":"","family":"Bultan","given":"Selma","non-dropping-particle":"","parse-names":false,"suffix":""},{"dropping-particle":"","family":"Chandra","given":"Naveen","non-dropping-particle":"","parse-names":false,"suffix":""},{"dropping-particle":"","family":"Chevallier","given":"Frédéric","non-dropping-particle":"","parse-names":false,"suffix":""},{"dropping-particle":"","family":"Chini","given":"Louise P.","non-dropping-particle":"","parse-names":false,"suffix":""},{"dropping-particle":"","family":"Evans","given":"Wiley","non-dropping-particle":"","parse-names":false,"suffix":""},{"dropping-particle":"","family":"Florentie","given":"Liesbeth","non-dropping-particle":"","parse-names":false,"suffix":""},{"dropping-particle":"","family":"Forster","given":"Piers M.","non-dropping-particle":"","parse-names":false,"suffix":""},{"dropping-particle":"","family":"Gasser","given":"Thomas","non-dropping-particle":"","parse-names":false,"suffix":""},{"dropping-particle":"","family":"Gehlen","given":"Marion","non-dropping-particle":"","parse-names":false,"suffix":""},{"dropping-particle":"","family":"Gilfillan","given":"Dennis","non-dropping-particle":"","parse-names":false,"suffix":""},{"dropping-particle":"","family":"Gkritzalis","given":"Thanos","non-dropping-particle":"","parse-names":false,"suffix":""},{"dropping-particle":"","family":"Gregor","given":"Luke","non-dropping-particle":"","parse-names":false,"suffix":""},{"dropping-particle":"","family":"Gruber","given":"Nicolas","non-dropping-particle":"","parse-names":false,"suffix":""},{"dropping-particle":"","family":"Harris","given":"Ian","non-dropping-particle":"","parse-names":false,"suffix":""},{"dropping-particle":"","family":"Hartung","given":"Kerstin","non-dropping-particle":"","parse-names":false,"suffix":""},{"dropping-particle":"","family":"Haverd","given":"Vanessa","non-dropping-particle":"","parse-names":false,"suffix":""},{"dropping-particle":"","family":"Houghton","given":"Richard A.","non-dropping-particle":"","parse-names":false,"suffix":""},{"dropping-particle":"","family":"Ilyina","given":"Tatiana","non-dropping-particle":"","parse-names":false,"suffix":""},{"dropping-particle":"","family":"Jain","given":"Atul K.","non-dropping-particle":"","parse-names":false,"suffix":""},{"dropping-particle":"","family":"Joetzjer","given":"Emilie","non-dropping-particle":"","parse-names":false,"suffix":""},{"dropping-particle":"","family":"Kadono","given":"Koji","non-dropping-particle":"","parse-names":false,"suffix":""},{"dropping-particle":"","family":"Kato","given":"Etsushi","non-dropping-particle":"","parse-names":false,"suffix":""},{"dropping-particle":"","family":"Kitidis","given":"Vassilis","non-dropping-particle":"","parse-names":false,"suffix":""},{"dropping-particle":"","family":"Korsbakken","given":"Jan Ivar","non-dropping-particle":"","parse-names":false,"suffix":""},{"dropping-particle":"","family":"Landschützer","given":"Peter","non-dropping-particle":"","parse-names":false,"suffix":""},{"dropping-particle":"","family":"Lefèvre","given":"Nathalie","non-dropping-particle":"","parse-names":false,"suffix":""},{"dropping-particle":"","family":"Lenton","given":"Andrew","non-dropping-particle":"","parse-names":false,"suffix":""},{"dropping-particle":"","family":"Lienert","given":"Sebastian","non-dropping-particle":"","parse-names":false,"suffix":""},{"dropping-particle":"","family":"Liu","given":"Zhu","non-dropping-particle":"","parse-names":false,"suffix":""},{"dropping-particle":"","family":"Lombardozzi","given":"Danica","non-dropping-particle":"","parse-names":false,"suffix":""},{"dropping-particle":"","family":"Marland","given":"Gregg","non-dropping-particle":"","parse-names":false,"suffix":""},{"dropping-particle":"","family":"Metzl","given":"Nicolas","non-dropping-particle":"","parse-names":false,"suffix":""},{"dropping-particle":"","family":"Munro","given":"David R.","non-dropping-particle":"","parse-names":false,"suffix":""},{"dropping-particle":"","family":"Nabel","given":"Julia E.M.S.","non-dropping-particle":"","parse-names":false,"suffix":""},{"dropping-particle":"","family":"Nakaoka","given":"Shin Ichiro","non-dropping-particle":"","parse-names":false,"suffix":""},{"dropping-particle":"","family":"Niwa","given":"Yosuke","non-dropping-particle":"","parse-names":false,"suffix":""},{"dropping-particle":"","family":"O'Brien","given":"Kevin","non-dropping-particle":"","parse-names":false,"suffix":""},{"dropping-particle":"","family":"Ono","given":"Tsuneo","non-dropping-particle":"","parse-names":false,"suffix":""},{"dropping-particle":"","family":"Palmer","given":"Paul I.","non-dropping-particle":"","parse-names":false,"suffix":""},{"dropping-particle":"","family":"Pierrot","given":"Denis","non-dropping-particle":"","parse-names":false,"suffix":""},{"dropping-particle":"","family":"Poulter","given":"Benjamin","non-dropping-particle":"","parse-names":false,"suffix":""},{"dropping-particle":"","family":"Resplandy","given":"Laure","non-dropping-particle":"","parse-names":false,"suffix":""},{"dropping-particle":"","family":"Robertson","given":"Eddy","non-dropping-particle":"","parse-names":false,"suffix":""},{"dropping-particle":"","family":"Rödenbeck","given":"Christian","non-dropping-particle":"","parse-names":false,"suffix":""},{"dropping-particle":"","family":"Schwinger","given":"Jörg","non-dropping-particle":"","parse-names":false,"suffix":""},{"dropping-particle":"","family":"Séférian","given":"Roland","non-dropping-particle":"","parse-names":false,"suffix":""},{"dropping-particle":"","family":"Skjelvan","given":"Ingunn","non-dropping-particle":"","parse-names":false,"suffix":""},{"dropping-particle":"","family":"Smith","given":"Adam J.P.","non-dropping-particle":"","parse-names":false,"suffix":""},{"dropping-particle":"","family":"Sutton","given":"Adrienne J.","non-dropping-particle":"","parse-names":false,"suffix":""},{"dropping-particle":"","family":"Tanhua","given":"Toste","non-dropping-particle":"","parse-names":false,"suffix":""},{"dropping-particle":"","family":"Tans","given":"Pieter P.","non-dropping-particle":"","parse-names":false,"suffix":""},{"dropping-particle":"","family":"Tian","given":"Hanqin","non-dropping-particle":"","parse-names":false,"suffix":""},{"dropping-particle":"","family":"Tilbrook","given":"Bronte","non-dropping-particle":"","parse-names":false,"suffix":""},{"dropping-particle":"","family":"Werf","given":"Guido","non-dropping-particle":"Van Der","parse-names":false,"suffix":""},{"dropping-particle":"","family":"Vuichard","given":"Nicolas","non-dropping-particle":"","parse-names":false,"suffix":""},{"dropping-particle":"","family":"Walker","given":"Anthony P.","non-dropping-particle":"","parse-names":false,"suffix":""},{"dropping-particle":"","family":"Wanninkhof","given":"Rik","non-dropping-particle":"","parse-names":false,"suffix":""},{"dropping-particle":"","family":"Watson","given":"Andrew J.","non-dropping-particle":"","parse-names":false,"suffix":""},{"dropping-particle":"","family":"Willis","given":"David","non-dropping-particle":"","parse-names":false,"suffix":""},{"dropping-particle":"","family":"Wiltshire","given":"Andrew J.","non-dropping-particle":"","parse-names":false,"suffix":""},{"dropping-particle":"","family":"Yuan","given":"Wenping","non-dropping-particle":"","parse-names":false,"suffix":""},{"dropping-particle":"","family":"Yue","given":"Xu","non-dropping-particle":"","parse-names":false,"suffix":""},{"dropping-particle":"","family":"Zaehle","given":"Sönke","non-dropping-particle":"","parse-names":false,"suffix":""}],"container-title":"Earth System Science Data","id":"ITEM-2","issue":"4","issued":{"date-parts":[["2020"]]},"page":"3269-3340","title":"Global Carbon Budget 2020","type":"article-journal","volume":"12"},"uris":["http://www.mendeley.com/documents/?uuid=5e69f740-1a33-4a22-9eea-1e1354cbcb7b"]}],"mendeley":{"formattedCitation":"(Friedlingstein et al., 2020; World Bank, 2021)","plainTextFormattedCitation":"(Friedlingstein et al., 2020; World Bank, 2021)","previouslyFormattedCitation":"(Friedlingstein et al., 2020; World Bank, 2021)"},"properties":{"noteIndex":0},"schema":"https://github.com/citation-style-language/schema/raw/master/csl-citation.json"}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(Friedlingstein et al., 2020; World Bank, 2021)</w:t>
      </w:r>
      <w:r>
        <w:rPr>
          <w:rFonts w:eastAsia="Calibri" w:cs="Times New Roman"/>
          <w:szCs w:val="24"/>
        </w:rPr>
        <w:fldChar w:fldCharType="end"/>
      </w:r>
      <w:r>
        <w:rPr>
          <w:rFonts w:eastAsia="Calibri" w:cs="Times New Roman"/>
          <w:szCs w:val="24"/>
        </w:rPr>
        <w:t xml:space="preserve">. Compared to the natural rate of climate fluctuations that have happened throughout Earth's history, the global climate is still changing quickly. Consistent evidence of a warming planet comes from trends in the global average temperature, sea level and other climate variables. Many independent research groups worldwide have confirmed the robustness of these observed trends </w:t>
      </w:r>
      <w:r>
        <w:rPr>
          <w:rFonts w:eastAsia="Calibri" w:cs="Times New Roman"/>
          <w:szCs w:val="24"/>
        </w:rPr>
        <w:fldChar w:fldCharType="begin" w:fldLock="1"/>
      </w:r>
      <w:r w:rsidR="00900D2E">
        <w:rPr>
          <w:rFonts w:eastAsia="Calibri" w:cs="Times New Roman"/>
          <w:szCs w:val="24"/>
        </w:rPr>
        <w:instrText>ADDIN CSL_CITATION {"citationItems":[{"id":"ITEM-1","itemData":{"DOI":"10.4324/9781315270326-109","ISBN":"9783031162770","abstract":"The Fourth Assessment Report of the Intergovernmental Panel on Climate Change (IPCC) provide the most comprehensive and balanced assessment of climate change available. This IPCC Working Group III volume is a state-of-the-art assessment of the scientific, technical, environmental, economic, and social aspects of the mitigation of climate change. Written by the world's leading experts, the IPCC volumes will again prove to be invaluable for researchers, students, and policymakers, and will form the standard reference works for policy decisions for government and industry worldwide.","author":[{"dropping-particle":"","family":"Lewis","given":"Elizabeth","non-dropping-particle":"","parse-names":false,"suffix":""},{"dropping-particle":"","family":"Chamel","given":"Olivier","non-dropping-particle":"","parse-names":false,"suffix":""},{"dropping-particle":"","family":"Mohsenin","given":"Mahsan","non-dropping-particle":"","parse-names":false,"suffix":""},{"dropping-particle":"","family":"Ots","given":"Enn","non-dropping-particle":"","parse-names":false,"suffix":""},{"dropping-particle":"","family":"White","given":"Edward T.","non-dropping-particle":"","parse-names":false,"suffix":""}],"container-title":"Sustainaspeak","id":"ITEM-1","issued":{"date-parts":[["2018"]]},"number-of-pages":"153-154","title":"Intergovernmental Panel on Climate Change","type":"book"},"uris":["http://www.mendeley.com/documents/?uuid=99f6f359-4b7c-43e1-8114-868f0f873f3f"]},{"id":"ITEM-2","itemData":{"DOI":"10.2307/j.ctvr43k9j.13","ISBN":"9781009157988","abstract":"An IPCC special report on climate change, desertification, land degradation, sustainable land management, food security, and greenhouse gas fluxes in terrestrial ecosystems","author":[{"dropping-particle":"","family":"Couzin","given":"Robert","non-dropping-particle":"","parse-names":false,"suffix":""}],"container-title":"The Traditio Legis: Anatomy of an Image","id":"ITEM-2","issued":{"date-parts":[["2019"]]},"number-of-pages":"46-54","title":"Framing and context","type":"book"},"uris":["http://www.mendeley.com/documents/?uuid=7eb26f58-11c9-4db4-b34f-75c2aeb8cc22"]},{"id":"ITEM-3","itemData":{"ISBN":"9781315638843","abstract":"The climate crisis is reshaping our world, as the Earth’s climate is now changing faster than at any point in the history of modern civilization.1 Defined by changes in average weather conditions that persist over multiple decades or longer, climate change includes changes in temperature, precipitation patterns, the frequency and severity of certain weather events, and other features of the climate system.2 When combined with physical, social, economic, and/or environmental vulnerabilities, climate change can undermine food, water, and economic security. Secondary effects of climate change can include displacement, loss of livelihoods, weakened governments, and in some cases political instability and conflict.","author":[{"dropping-particle":"","family":"The White House","given":"","non-dropping-particle":"","parse-names":false,"suffix":""}],"id":"ITEM-3","issue":"October","issued":{"date-parts":[["2021"]]},"number-of-pages":"1-37","title":"Report on the Impact of climate change on Migration","type":"book"},"uris":["http://www.mendeley.com/documents/?uuid=234d4142-01d2-4697-a2ea-f6387db7407a"]}],"mendeley":{"formattedCitation":"(Couzin, 2019; Lewis et al., 2018; The White House, 2021)","plainTextFormattedCitation":"(Couzin, 2019; Lewis et al., 2018; The White House, 2021)","previouslyFormattedCitation":"(Couzin, 2019; Lewis et al., 2018; The White House, 2021)"},"properties":{"noteIndex":0},"schema":"https://github.com/citation-style-language/schema/raw/master/csl-citation.json"}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 xml:space="preserve">(Couzin, 2019; </w:t>
      </w:r>
      <w:r>
        <w:rPr>
          <w:rFonts w:eastAsia="Calibri" w:cs="Times New Roman"/>
          <w:noProof/>
          <w:szCs w:val="24"/>
        </w:rPr>
        <w:lastRenderedPageBreak/>
        <w:t>Lewis et al., 2018; The White House, 2021)</w:t>
      </w:r>
      <w:r>
        <w:rPr>
          <w:rFonts w:eastAsia="Calibri" w:cs="Times New Roman"/>
          <w:szCs w:val="24"/>
        </w:rPr>
        <w:fldChar w:fldCharType="end"/>
      </w:r>
      <w:r>
        <w:rPr>
          <w:rFonts w:eastAsia="Calibri" w:cs="Times New Roman"/>
          <w:szCs w:val="24"/>
        </w:rPr>
        <w:t xml:space="preserve">. The average global temperature has increased by roughly 1°C since the 1880s </w:t>
      </w:r>
      <w:r>
        <w:rPr>
          <w:rFonts w:eastAsia="Calibri" w:cs="Times New Roman"/>
          <w:szCs w:val="24"/>
        </w:rPr>
        <w:fldChar w:fldCharType="begin" w:fldLock="1"/>
      </w:r>
      <w:r>
        <w:rPr>
          <w:rFonts w:eastAsia="Calibri" w:cs="Times New Roman"/>
          <w:szCs w:val="24"/>
        </w:rPr>
        <w:instrText>ADDIN CSL_CITATION {"citationItems":[{"id":"ITEM-1","itemData":{"author":[{"dropping-particle":"","family":"IPCC","given":"","non-dropping-particle":"","parse-names":false,"suffix":""}],"id":"ITEM-1","issued":{"date-parts":[["2023"]]},"title":"IPCC_AR6_SYR_SPM.pdf","type":"article"},"uris":["http://www.mendeley.com/documents/?uuid=4839fd95-4acb-4402-a857-ddd943b22e0c"]}],"mendeley":{"formattedCitation":"(IPCC, 2023)","plainTextFormattedCitation":"(IPCC, 2023)","previouslyFormattedCitation":"(IPCC, 2023)"},"properties":{"noteIndex":0},"schema":"https://github.com/citation-style-language/schema/raw/master/csl-citation.json"}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(IPCC, 2023)</w:t>
      </w:r>
      <w:r>
        <w:rPr>
          <w:rFonts w:eastAsia="Calibri" w:cs="Times New Roman"/>
          <w:szCs w:val="24"/>
        </w:rPr>
        <w:fldChar w:fldCharType="end"/>
      </w:r>
      <w:r>
        <w:rPr>
          <w:rFonts w:eastAsia="Calibri" w:cs="Times New Roman"/>
          <w:szCs w:val="24"/>
        </w:rPr>
        <w:t xml:space="preserve">. </w:t>
      </w:r>
    </w:p>
    <w:p w:rsidR="00E53882" w:rsidRDefault="00B16FF7">
      <w:pPr>
        <w:spacing w:after="0" w:line="480" w:lineRule="auto"/>
        <w:rPr>
          <w:rFonts w:cs="Times New Roman"/>
          <w:szCs w:val="24"/>
        </w:rPr>
      </w:pPr>
      <w:r>
        <w:rPr>
          <w:rFonts w:cs="Times New Roman"/>
          <w:szCs w:val="24"/>
        </w:rPr>
        <w:t xml:space="preserve">Africa is considered particularly vulnerable to climate change due to a combination of factors, including a heavy reliance on rain-fed agriculture, limited infrastructure, and widespread poverty </w:t>
      </w:r>
      <w:r>
        <w:rPr>
          <w:rFonts w:cs="Times New Roman"/>
          <w:szCs w:val="24"/>
        </w:rPr>
        <w:fldChar w:fldCharType="begin" w:fldLock="1"/>
      </w:r>
      <w:r>
        <w:rPr>
          <w:rFonts w:cs="Times New Roman"/>
          <w:szCs w:val="24"/>
        </w:rPr>
        <w:instrText>ADDIN CSL_CITATION {"citationItems":[{"id":"ITEM-1","itemData":{"DOI":"10.1017/9781009157896","ISBN":"9781009157896","abstract":"This Summary for Policymakers should be cited as: IPCC, 2013: Summary for Policymakers.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USA.","author":[{"dropping-particle":"","family":"IPCC","given":"","non-dropping-particle":"","parse-names":false,"suffix":""}],"container-title":"Climate Change 2021 – The Physical Science Basis","id":"ITEM-1","issued":{"date-parts":[["2021"]]},"title":"Climate Change 2021 – The Physical Science Basis","type":"book"},"uris":["http://www.mendeley.com/documents/?uuid=63086c08-fedc-4b2d-94e3-596cb92fc366"]},{"id":"ITEM-2","itemData":{"DOI":"10.1017/9781009325844.010.1171","ISBN":"9781009325844","author":[{"dropping-particle":"","family":"Birkmann","given":"J","non-dropping-particle":"","parse-names":false,"suffix":""},{"dropping-particle":"","family":"Liwenga","given":"E","non-dropping-particle":"","parse-names":false,"suffix":""},{"dropping-particle":"","family":"Pandey","given":"R","non-dropping-particle":"","parse-names":false,"suffix":""},{"dropping-particle":"","family":"Boyd","given":"E","non-dropping-particle":"","parse-names":false,"suffix":""},{"dropping-particle":"","family":"Djalante","given":"R","non-dropping-particle":"","parse-names":false,"suffix":""},{"dropping-particle":"","family":"Gemenne","given":"F","non-dropping-particle":"","parse-names":false,"suffix":""},{"dropping-particle":"","family":"Filho","given":"W Leal","non-dropping-particle":"","parse-names":false,"suffix":""},{"dropping-particle":"","family":"Pinho","given":"P F","non-dropping-particle":"","parse-names":false,"suffix":""},{"dropping-particle":"","family":"Stringer","given":"L","non-dropping-particle":"","parse-names":false,"suffix":""},{"dropping-particle":"","family":"Wrathall","given":"D","non-dropping-particle":"","parse-names":false,"suffix":""}],"container-title":"Climate Change 2022: Impacts, Adaptation and Vulnerability. Contribution of Working Group II to the Sixth Assessment Report of the Intergovernmental Panel on Climate Change","id":"ITEM-2","issued":{"date-parts":[["2022"]]},"number-of-pages":"1171-1274","title":"Poverty, Livelihoods and Sustainable Development","type":"book"},"uris":["http://www.mendeley.com/documents/?uuid=d08ab39b-ebd5-4c7a-bc65-b7874714b259"]}],"mendeley":{"formattedCitation":"(Birkmann et al., 2022; IPCC, 2021)","plainTextFormattedCitation":"(Birkmann et al., 2022; IPCC, 2021)","previouslyFormattedCitation":"(Birkmann et al., 2022; IPCC, 2021)"},"properties":{"noteIndex":0},"schema":"https://github.com/citation-style-language/schema/raw/master/csl-citation.json"}</w:instrText>
      </w:r>
      <w:r>
        <w:rPr>
          <w:rFonts w:cs="Times New Roman"/>
          <w:szCs w:val="24"/>
        </w:rPr>
        <w:fldChar w:fldCharType="separate"/>
      </w:r>
      <w:r>
        <w:rPr>
          <w:rFonts w:cs="Times New Roman"/>
          <w:noProof/>
          <w:szCs w:val="24"/>
        </w:rPr>
        <w:t>(Birkmann et al., 2022; IPCC, 2021)</w:t>
      </w:r>
      <w:r>
        <w:rPr>
          <w:rFonts w:cs="Times New Roman"/>
          <w:szCs w:val="24"/>
        </w:rPr>
        <w:fldChar w:fldCharType="end"/>
      </w:r>
      <w:r>
        <w:rPr>
          <w:rFonts w:cs="Times New Roman"/>
          <w:szCs w:val="24"/>
        </w:rPr>
        <w:t xml:space="preserve">. The dependence on rain-fed agriculture makes communities susceptible to changes in precipitation patterns and the increased frequency of extreme weather events. Limited access to infrastructure hinders the ability to adapt swiftly to changing conditions, and high poverty levels exacerbate the vulnerability of communities to climate impacts. Changes in temperature and precipitation patterns can alter habitats, disrupt migration routes, and lead to the loss of biodiversity. Ecosystem services that communities rely on, such as clean water, pollination, and natural resource availability, are at risk </w:t>
      </w:r>
      <w:r>
        <w:rPr>
          <w:rFonts w:cs="Times New Roman"/>
          <w:szCs w:val="24"/>
        </w:rPr>
        <w:fldChar w:fldCharType="begin" w:fldLock="1"/>
      </w:r>
      <w:r>
        <w:rPr>
          <w:rFonts w:cs="Times New Roman"/>
          <w:szCs w:val="24"/>
        </w:rPr>
        <w:instrText>ADDIN CSL_CITATION {"citationItems":[{"id":"ITEM-1","itemData":{"DOI":"10.4324/9781849770804","ISBN":"9781136569463","abstract":"Sound and solid case studies on vulnerability and adaptation have been woefully lacking in the international discourse on climate change. This set of books begins to bridge the gap. Achim Steiner, UN Under-Secretary General and Executive Director of United Nations Environment Programme Important reading for students and practitioners alike. Martin Parry, Co-Chair, Working Group II (Impacts, Adaptation and Vulnerability), Intergovernmental Panel on Climate Change (IPCC) This book fills an important gap in our understanding… It is policy-relevant and deserves to be widely read. Richard Klein, Senior Research Fellow, Stockholm Environment Institute (SEI), Sweden The award of the Nobel Peace Prize for 2007 to the IPCC brings needed attention to the threats from climate change for highly vulnerable regions of the developing world. This authoritative volume (along with its companion covering adaptation) resulting from the work of the Assessments of Impacts and Adaptations to Climate Change (AIACC) project launched with the IPCC in 2002, is the first to provide an in-depth investigation of the stakes in developing countries. It discusses who is vulnerable and the nature and causes of their vulnerability for parts of the world that have been poorly researched till now. It also provides researchers with new examples of applications of vulnerability assessment methods, an approach that is of growing interest in the climate change area but for which there are relatively few applications in the literature. Published with TWAS and START.","author":[{"dropping-particle":"","family":"Leary","given":"Neil","non-dropping-particle":"","parse-names":false,"suffix":""},{"dropping-particle":"","family":"Conde","given":"Cecilia","non-dropping-particle":"","parse-names":false,"suffix":""},{"dropping-particle":"","family":"Kulkarni","given":"Jyoti","non-dropping-particle":"","parse-names":false,"suffix":""},{"dropping-particle":"","family":"Nyong","given":"Anthony","non-dropping-particle":"","parse-names":false,"suffix":""},{"dropping-particle":"","family":"Pulhin","given":"Juan","non-dropping-particle":"","parse-names":false,"suffix":""}],"container-title":"Climate Change and Vulnerability","id":"ITEM-1","issue":"June","issued":{"date-parts":[["2012"]]},"page":"1-428","title":"Climate Change and Vulnerability","type":"article-journal"},"uris":["http://www.mendeley.com/documents/?uuid=3dc85d9b-ea10-4b8d-a4aa-4ad6df604441"]},{"id":"ITEM-2","itemData":{"DOI":"10.5194/essd-12-3269-2020","ISSN":"18663516","abstract":"Accurate assessment of anthropogenic carbon dioxide (CO2) emissions and their redistribution among the atmosphere, ocean, and terrestrial biosphere in a changing climate the \"global carbon budget\" is important to better understand the global carbon cycle, support the development of climate policies, and project future climate change. Here we describe and synthesize data sets and methodology to quantify the five major components of the global carbon budget and their uncertainties. Fossil CO2 emissions (EFOS) are based on energy statistics and cement production data, while emissions from land-use change (ELUC), mainly deforestation, are based on land use and land-use change data and bookkeeping models. Atmospheric CO2 concentration is measured directly and its growth rate (GATM) is computed from the annual changes in concentration. The ocean CO2 sink (SOCEAN) and terrestrial CO2 sink (SLAND) are estimated with global process models constrained by observations. The resulting carbon budget imbalance (BIM), the difference between the estimated total emissions and the estimated changes in the atmosphere, ocean, and terrestrial biosphere, is a measure of imperfect data and understanding of the contemporary carbon cycle. All uncertainties are reported as ±1s. For the last decade available (2010 2019), EFOS was 9.6 ± 0.5 GtC yr-1 excluding the cement carbonation sink (9.4 ± 0.5 GtC yr-1 when the cement carbonation sink is included), and ELUC was 1.6 ± 0.7 GtC yr-1. For the same decade, GATM was 5.1 ± 0.02 GtC yr-1 (2.4 ± 0.01 ppm yr-1), SOCEAN 2.5 ± 0.6 GtC yr-1, and SLAND 3.4 ± 0.9 GtC yr-1, with a budget imbalance BIM of -0.1 GtC yr-1 indicating a near balance between estimated sources and sinks over the last decade. For the year 2019 alone, the growth in EFOS was only about 0.1 % with fossil emissions increasing to 9.9 ± 0.5 GtC yr-1 excluding the cement carbonation sink (9.7 ± 0.5 GtC yr-1 when cement carbonation sink is included), and ELUC was 1.8 ± 0.7 GtC yr-1, for total anthropogenic CO2 emissions of 11.5 ± 0.9 GtC yr-1 (42.2 ± 3.3 GtCO2). Also for 2019, GATM was 5.4 ± 0.2 GtC yr-1 (2.5 ± 0.1 ppm yr-1), SOCEAN was 2.6 ± 0.6 GtC yr-1, and SLAND was 3.1 ± 1.2 GtC yr-1, with a BIM of 0.3 GtC. The global atmospheric CO2 concentration reached 409.85 ± 0.1 ppm averaged over 2019. Preliminary data for 2020, accounting for the COVID-19-induced changes in emissions, suggest a decrease in EFOS relative to 2019 of about -7 % (median estimate) based on individual es…","author":[{"dropping-particle":"","family":"Friedlingstein","given":"Pierre","non-dropping-particle":"","parse-names":false,"suffix":""},{"dropping-particle":"","family":"O'Sullivan","given":"Michael","non-dropping-particle":"","parse-names":false,"suffix":""},{"dropping-particle":"","family":"Jones","given":"Matthew W.","non-dropping-particle":"","parse-names":false,"suffix":""},{"dropping-particle":"","family":"Andrew","given":"Robbie M.","non-dropping-particle":"","parse-names":false,"suffix":""},{"dropping-particle":"","family":"Hauck","given":"Judith","non-dropping-particle":"","parse-names":false,"suffix":""},{"dropping-particle":"","family":"Olsen","given":"Are","non-dropping-particle":"","parse-names":false,"suffix":""},{"dropping-particle":"","family":"Peters","given":"Glen P.","non-dropping-particle":"","parse-names":false,"suffix":""},{"dropping-particle":"","family":"Peters","given":"Wouter","non-dropping-particle":"","parse-names":false,"suffix":""},{"dropping-particle":"","family":"Pongratz","given":"Julia","non-dropping-particle":"","parse-names":false,"suffix":""},{"dropping-particle":"","family":"Sitch","given":"Stephen","non-dropping-particle":"","parse-names":false,"suffix":""},{"dropping-particle":"","family":"Quéré","given":"Corinne","non-dropping-particle":"Le","parse-names":false,"suffix":""},{"dropping-particle":"","family":"Canadell","given":"Josep G.","non-dropping-particle":"","parse-names":false,"suffix":""},{"dropping-particle":"","family":"Ciais","given":"Philippe","non-dropping-particle":"","parse-names":false,"suffix":""},{"dropping-particle":"","family":"Jackson","given":"Robert B.","non-dropping-particle":"","parse-names":false,"suffix":""},{"dropping-particle":"","family":"Alin","given":"Simone","non-dropping-particle":"","parse-names":false,"suffix":""},{"dropping-particle":"","family":"Aragão","given":"Luiz E.O.C.","non-dropping-particle":"","parse-names":false,"suffix":""},{"dropping-particle":"","family":"Arneth","given":"Almut","non-dropping-particle":"","parse-names":false,"suffix":""},{"dropping-particle":"","family":"Arora","given":"Vivek","non-dropping-particle":"","parse-names":false,"suffix":""},{"dropping-particle":"","family":"Bates","given":"Nicholas R.","non-dropping-particle":"","parse-names":false,"suffix":""},{"dropping-particle":"","family":"Becker","given":"Meike","non-dropping-particle":"","parse-names":false,"suffix":""},{"dropping-particle":"","family":"Benoit-Cattin","given":"Alice","non-dropping-particle":"","parse-names":false,"suffix":""},{"dropping-particle":"","family":"Bittig","given":"Henry C.","non-dropping-particle":"","parse-names":false,"suffix":""},{"dropping-particle":"","family":"Bopp","given":"Laurent","non-dropping-particle":"","parse-names":false,"suffix":""},{"dropping-particle":"","family":"Bultan","given":"Selma","non-dropping-particle":"","parse-names":false,"suffix":""},{"dropping-particle":"","family":"Chandra","given":"Naveen","non-dropping-particle":"","parse-names":false,"suffix":""},{"dropping-particle":"","family":"Chevallier","given":"Frédéric","non-dropping-particle":"","parse-names":false,"suffix":""},{"dropping-particle":"","family":"Chini","given":"Louise P.","non-dropping-particle":"","parse-names":false,"suffix":""},{"dropping-particle":"","family":"Evans","given":"Wiley","non-dropping-particle":"","parse-names":false,"suffix":""},{"dropping-particle":"","family":"Florentie","given":"Liesbeth","non-dropping-particle":"","parse-names":false,"suffix":""},{"dropping-particle":"","family":"Forster","given":"Piers M.","non-dropping-particle":"","parse-names":false,"suffix":""},{"dropping-particle":"","family":"Gasser","given":"Thomas","non-dropping-particle":"","parse-names":false,"suffix":""},{"dropping-particle":"","family":"Gehlen","given":"Marion","non-dropping-particle":"","parse-names":false,"suffix":""},{"dropping-particle":"","family":"Gilfillan","given":"Dennis","non-dropping-particle":"","parse-names":false,"suffix":""},{"dropping-particle":"","family":"Gkritzalis","given":"Thanos","non-dropping-particle":"","parse-names":false,"suffix":""},{"dropping-particle":"","family":"Gregor","given":"Luke","non-dropping-particle":"","parse-names":false,"suffix":""},{"dropping-particle":"","family":"Gruber","given":"Nicolas","non-dropping-particle":"","parse-names":false,"suffix":""},{"dropping-particle":"","family":"Harris","given":"Ian","non-dropping-particle":"","parse-names":false,"suffix":""},{"dropping-particle":"","family":"Hartung","given":"Kerstin","non-dropping-particle":"","parse-names":false,"suffix":""},{"dropping-particle":"","family":"Haverd","given":"Vanessa","non-dropping-particle":"","parse-names":false,"suffix":""},{"dropping-particle":"","family":"Houghton","given":"Richard A.","non-dropping-particle":"","parse-names":false,"suffix":""},{"dropping-particle":"","family":"Ilyina","given":"Tatiana","non-dropping-particle":"","parse-names":false,"suffix":""},{"dropping-particle":"","family":"Jain","given":"Atul K.","non-dropping-particle":"","parse-names":false,"suffix":""},{"dropping-particle":"","family":"Joetzjer","given":"Emilie","non-dropping-particle":"","parse-names":false,"suffix":""},{"dropping-particle":"","family":"Kadono","given":"Koji","non-dropping-particle":"","parse-names":false,"suffix":""},{"dropping-particle":"","family":"Kato","given":"Etsushi","non-dropping-particle":"","parse-names":false,"suffix":""},{"dropping-particle":"","family":"Kitidis","given":"Vassilis","non-dropping-particle":"","parse-names":false,"suffix":""},{"dropping-particle":"","family":"Korsbakken","given":"Jan Ivar","non-dropping-particle":"","parse-names":false,"suffix":""},{"dropping-particle":"","family":"Landschützer","given":"Peter","non-dropping-particle":"","parse-names":false,"suffix":""},{"dropping-particle":"","family":"Lefèvre","given":"Nathalie","non-dropping-particle":"","parse-names":false,"suffix":""},{"dropping-particle":"","family":"Lenton","given":"Andrew","non-dropping-particle":"","parse-names":false,"suffix":""},{"dropping-particle":"","family":"Lienert","given":"Sebastian","non-dropping-particle":"","parse-names":false,"suffix":""},{"dropping-particle":"","family":"Liu","given":"Zhu","non-dropping-particle":"","parse-names":false,"suffix":""},{"dropping-particle":"","family":"Lombardozzi","given":"Danica","non-dropping-particle":"","parse-names":false,"suffix":""},{"dropping-particle":"","family":"Marland","given":"Gregg","non-dropping-particle":"","parse-names":false,"suffix":""},{"dropping-particle":"","family":"Metzl","given":"Nicolas","non-dropping-particle":"","parse-names":false,"suffix":""},{"dropping-particle":"","family":"Munro","given":"David R.","non-dropping-particle":"","parse-names":false,"suffix":""},{"dropping-particle":"","family":"Nabel","given":"Julia E.M.S.","non-dropping-particle":"","parse-names":false,"suffix":""},{"dropping-particle":"","family":"Nakaoka","given":"Shin Ichiro","non-dropping-particle":"","parse-names":false,"suffix":""},{"dropping-particle":"","family":"Niwa","given":"Yosuke","non-dropping-particle":"","parse-names":false,"suffix":""},{"dropping-particle":"","family":"O'Brien","given":"Kevin","non-dropping-particle":"","parse-names":false,"suffix":""},{"dropping-particle":"","family":"Ono","given":"Tsuneo","non-dropping-particle":"","parse-names":false,"suffix":""},{"dropping-particle":"","family":"Palmer","given":"Paul I.","non-dropping-particle":"","parse-names":false,"suffix":""},{"dropping-particle":"","family":"Pierrot","given":"Denis","non-dropping-particle":"","parse-names":false,"suffix":""},{"dropping-particle":"","family":"Poulter","given":"Benjamin","non-dropping-particle":"","parse-names":false,"suffix":""},{"dropping-particle":"","family":"Resplandy","given":"Laure","non-dropping-particle":"","parse-names":false,"suffix":""},{"dropping-particle":"","family":"Robertson","given":"Eddy","non-dropping-particle":"","parse-names":false,"suffix":""},{"dropping-particle":"","family":"Rödenbeck","given":"Christian","non-dropping-particle":"","parse-names":false,"suffix":""},{"dropping-particle":"","family":"Schwinger","given":"Jörg","non-dropping-particle":"","parse-names":false,"suffix":""},{"dropping-particle":"","family":"Séférian","given":"Roland","non-dropping-particle":"","parse-names":false,"suffix":""},{"dropping-particle":"","family":"Skjelvan","given":"Ingunn","non-dropping-particle":"","parse-names":false,"suffix":""},{"dropping-particle":"","family":"Smith","given":"Adam J.P.","non-dropping-particle":"","parse-names":false,"suffix":""},{"dropping-particle":"","family":"Sutton","given":"Adrienne J.","non-dropping-particle":"","parse-names":false,"suffix":""},{"dropping-particle":"","family":"Tanhua","given":"Toste","non-dropping-particle":"","parse-names":false,"suffix":""},{"dropping-particle":"","family":"Tans","given":"Pieter P.","non-dropping-particle":"","parse-names":false,"suffix":""},{"dropping-particle":"","family":"Tian","given":"Hanqin","non-dropping-particle":"","parse-names":false,"suffix":""},{"dropping-particle":"","family":"Tilbrook","given":"Bronte","non-dropping-particle":"","parse-names":false,"suffix":""},{"dropping-particle":"","family":"Werf","given":"Guido","non-dropping-particle":"Van Der","parse-names":false,"suffix":""},{"dropping-particle":"","family":"Vuichard","given":"Nicolas","non-dropping-particle":"","parse-names":false,"suffix":""},{"dropping-particle":"","family":"Walker","given":"Anthony P.","non-dropping-particle":"","parse-names":false,"suffix":""},{"dropping-particle":"","family":"Wanninkhof","given":"Rik","non-dropping-particle":"","parse-names":false,"suffix":""},{"dropping-particle":"","family":"Watson","given":"Andrew J.","non-dropping-particle":"","parse-names":false,"suffix":""},{"dropping-particle":"","family":"Willis","given":"David","non-dropping-particle":"","parse-names":false,"suffix":""},{"dropping-particle":"","family":"Wiltshire","given":"Andrew J.","non-dropping-particle":"","parse-names":false,"suffix":""},{"dropping-particle":"","family":"Yuan","given":"Wenping","non-dropping-particle":"","parse-names":false,"suffix":""},{"dropping-particle":"","family":"Yue","given":"Xu","non-dropping-particle":"","parse-names":false,"suffix":""},{"dropping-particle":"","family":"Zaehle","given":"Sönke","non-dropping-particle":"","parse-names":false,"suffix":""}],"container-title":"Earth System Science Data","id":"ITEM-2","issue":"4","issued":{"date-parts":[["2020"]]},"page":"3269-3340","title":"Global Carbon Budget 2020","type":"article-journal","volume":"12"},"uris":["http://www.mendeley.com/documents/?uuid=5e69f740-1a33-4a22-9eea-1e1354cbcb7b"]},{"id":"ITEM-3","itemData":{"DOI":"10.3389/fsufs.2021.706721","ISSN":"2571581X","abstract":"This research reviews climate change, flood disasters impacts and food security nexus in northern Ghana. The impacts of climate change include flood disasters which in turn affect food production with subsequent impact on food security. While climate change impact can be positive in some regions, it can be negative in other regions as it could lead to excess or lack of water, which negatively affects food production. Most especially, flood disasters have reportedly become frequent with devastating consequences on food production. Literature further suggests that the frequency of floods and their impacts have the potential to increase in the future. Floods inundate farms, pastures and livestock, which could subsequently reduce crop yields and animal production. Floods also destroys physical infrastructure and disrupts socio-economic activities which are linked to agriculture sector and could affect food production. This eventually decreases food availability, accessibility, utilization, and stability in the region. Northern Ghana has experienced flood disasters with increased frequency, which are related to climate change impacts. Although there is research on climate change, flood disasters, and food security issues in northern Ghana, the literature thus far indicates no clear focus of studies that focuses on the nexus of climate change, flood disasters, and food security of the study site. Thus, this research seeks to review the nexus of climate change, and flood disaster impacts on food security in northern Ghana with their implications on food security in the region. This study has two main research objectives. The first objective of this research is to identify and understand the potential impacts of climate change and flood disasters on food production in the study site. The second research objective is to explain the connection between climate change and flood disasters and the implications of this relationship on food security in the study site. This review study focuses on climate change, flood disasters, and food production to understand the critical impacts of climate change and flood disasters on food security in the northern part of Ghana. The aim of this research is to contribute to literature and discussion of the nexus of climate change, flood disaster impacts and food security sub-Saharan Africa.","author":[{"dropping-particle":"","family":"Atanga","given":"Raphael Ane","non-dropping-particle":"","parse-names":false,"suffix":""},{"dropping-particle":"","family":"Tankpa","given":"Vitus","non-dropping-particle":"","parse-names":false,"suffix":""}],"container-title":"Frontiers in Sustainable Food Systems","id":"ITEM-3","issue":"August","issued":{"date-parts":[["2021"]]},"title":"Climate Change, Flood Disaster Risk and Food Security Nexus in Northern Ghana","type":"article-journal","volume":"5"},"uris":["http://www.mendeley.com/documents/?uuid=0be548c2-30a9-4455-bd82-2753eca15f20"]}],"mendeley":{"formattedCitation":"(Atanga &amp; Tankpa, 2021; Friedlingstein et al., 2020; Leary et al., 2012)","plainTextFormattedCitation":"(Atanga &amp; Tankpa, 2021; Friedlingstein et al., 2020; Leary et al., 2012)","previouslyFormattedCitation":"(Atanga &amp; Tankpa, 2021; Friedlingstein et al., 2020; Leary et al., 2012)"},"properties":{"noteIndex":0},"schema":"https://github.com/citation-style-language/schema/raw/master/csl-citation.json"}</w:instrText>
      </w:r>
      <w:r>
        <w:rPr>
          <w:rFonts w:cs="Times New Roman"/>
          <w:szCs w:val="24"/>
        </w:rPr>
        <w:fldChar w:fldCharType="separate"/>
      </w:r>
      <w:r>
        <w:rPr>
          <w:rFonts w:cs="Times New Roman"/>
          <w:noProof/>
          <w:szCs w:val="24"/>
        </w:rPr>
        <w:t>(Atanga &amp; Tankpa, 2021; Friedlingstein et al., 2020; Leary et al., 2012)</w:t>
      </w:r>
      <w:r>
        <w:rPr>
          <w:rFonts w:cs="Times New Roman"/>
          <w:szCs w:val="24"/>
        </w:rPr>
        <w:fldChar w:fldCharType="end"/>
      </w:r>
      <w:r>
        <w:rPr>
          <w:rFonts w:cs="Times New Roman"/>
          <w:szCs w:val="24"/>
        </w:rPr>
        <w:t>.</w:t>
      </w:r>
      <w:r>
        <w:rPr>
          <w:rFonts w:eastAsia="Calibri" w:cs="Times New Roman"/>
          <w:szCs w:val="24"/>
        </w:rPr>
        <w:t xml:space="preserve"> </w:t>
      </w:r>
      <w:r>
        <w:rPr>
          <w:rFonts w:cs="Times New Roman"/>
          <w:szCs w:val="24"/>
        </w:rPr>
        <w:t xml:space="preserve">West Africa is experiencing significant temperature increases and shifts in precipitation patterns, with profound implications for the region's agricultural productivity and water availability </w:t>
      </w:r>
      <w:r>
        <w:rPr>
          <w:rFonts w:cs="Times New Roman"/>
          <w:szCs w:val="24"/>
        </w:rPr>
        <w:fldChar w:fldCharType="begin" w:fldLock="1"/>
      </w:r>
      <w:r>
        <w:rPr>
          <w:rFonts w:cs="Times New Roman"/>
          <w:szCs w:val="24"/>
        </w:rPr>
        <w:instrText>ADDIN CSL_CITATION {"citationItems":[{"id":"ITEM-1","itemData":{"DOI":"10.1017/9781009157896","ISBN":"9781009157896","abstract":"This Summary for Policymakers should be cited as: IPCC, 2013: Summary for Policymakers.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USA.","author":[{"dropping-particle":"","family":"IPCC","given":"","non-dropping-particle":"","parse-names":false,"suffix":""}],"container-title":"Climate Change 2021 – The Physical Science Basis","id":"ITEM-1","issued":{"date-parts":[["2021"]]},"title":"Climate Change 2021 – The Physical Science Basis","type":"book"},"uris":["http://www.mendeley.com/documents/?uuid=63086c08-fedc-4b2d-94e3-596cb92fc366"]}],"mendeley":{"formattedCitation":"(IPCC, 2021)","plainTextFormattedCitation":"(IPCC, 2021)","previouslyFormattedCitation":"(IPCC, 2021)"},"properties":{"noteIndex":0},"schema":"https://github.com/citation-style-language/schema/raw/master/csl-citation.json"}</w:instrText>
      </w:r>
      <w:r>
        <w:rPr>
          <w:rFonts w:cs="Times New Roman"/>
          <w:szCs w:val="24"/>
        </w:rPr>
        <w:fldChar w:fldCharType="separate"/>
      </w:r>
      <w:r>
        <w:rPr>
          <w:rFonts w:cs="Times New Roman"/>
          <w:noProof/>
          <w:szCs w:val="24"/>
        </w:rPr>
        <w:t>(IPCC, 2021)</w:t>
      </w:r>
      <w:r>
        <w:rPr>
          <w:rFonts w:cs="Times New Roman"/>
          <w:szCs w:val="24"/>
        </w:rPr>
        <w:fldChar w:fldCharType="end"/>
      </w:r>
      <w:r>
        <w:rPr>
          <w:rFonts w:cs="Times New Roman"/>
          <w:szCs w:val="24"/>
        </w:rPr>
        <w:t xml:space="preserve">. The rise in temperatures contributes to changing weather conditions, impacting the timing and distribution of rainfall. Agriculture, being a major economic activity in West Africa, is particularly susceptible to the changing climate. The alterations in temperature and precipitation patterns have led to decreased agricultural yields, posing challenges to food security and economic stability in the region </w:t>
      </w:r>
      <w:r>
        <w:rPr>
          <w:rFonts w:cs="Times New Roman"/>
          <w:szCs w:val="24"/>
        </w:rPr>
        <w:fldChar w:fldCharType="begin" w:fldLock="1"/>
      </w:r>
      <w:r>
        <w:rPr>
          <w:rFonts w:cs="Times New Roman"/>
          <w:szCs w:val="24"/>
        </w:rPr>
        <w:instrText>ADDIN CSL_CITATION {"citationItems":[{"id":"ITEM-1","itemData":{"abstract":"Climate change and natural hazards Climatic projections for Ghana include greatest rainfall variability in the forest zones, highest temperatures in the savannah zones, higher likelihood of floods with 10% of the country being highly hazardous, and droughts, particularly in the savannah regions of Ghana. Flooding due to high-intensity rainfall, land degradation and dumping of solid waste compromise the already inadequate flood management systems, in addition to farms being located in floodplains. Crop yields are already decreasing with limited water due to deforestation, low rainfall, and inadequate water harvesting. Heat stress and drought-related death are evident in northern regions, affecting people and livestock. Rainfall variability is particularly significant in the transition and forest zones. This is being detrimental to cocoa, mango, papaya, and other fruit yields. 1 With expected population growth and planned economic growth, demands on water for drinking, sanitation, hydropower, and both rain-fed and irrigated agriculture will come under increasing threat. Ghana is projected to 1 GoG 2017; GoG 2012 2 GoG 2012 become water-stressed by 2025. Natural hazards can damage critical infrastructure, cause pollution, disrupt basic services and increase the incidence of vector-borne disease. Further, sea-level rise (SLR) of 2.1mm over the last 30 years 2 , and projected SLR of 0.8m by 2100, will intensify coastal flooding and erosion (already expected to have 67% greater population exposure by 2050 3). This will also contaminate soils and groundwater, and impact ecosystems, towns, and critical infrastructure, with 30% of the population occupying the coastal zone. Marine, freshwater, and terrestrial ecosystems Fish catches show a declining trend (1992-2016), leading to a drop in per capita consumption by 20% (2006-2016), and increasing imports as the population grows consistently over 50% since 2006. Changes in the composition of key species caught are indicative of overexploitation which threatens stocks levels and biodiversity. These species are also under pressure from land-based sources of pollution and inappropriate fishing 3 World Bank 2020","author":[{"dropping-particle":"","family":"UNDP","given":"","non-dropping-particle":"","parse-names":false,"suffix":""}],"id":"ITEM-1","issue":"December","issued":{"date-parts":[["2021"]]},"page":"1-10","title":"Environment and Climate Change in Ghana: Policy Brief","type":"article-journal"},"uris":["http://www.mendeley.com/documents/?uuid=8f4bdc82-13a2-4b44-a489-0ce789ce7249"]},{"id":"ITEM-2","itemData":{"author":[{"dropping-particle":"","family":"IPCC","given":"","non-dropping-particle":"","parse-names":false,"suffix":""}],"id":"ITEM-2","issued":{"date-parts":[["2023"]]},"title":"IPCC_AR6_SYR_SPM.pdf","type":"article"},"uris":["http://www.mendeley.com/documents/?uuid=4839fd95-4acb-4402-a857-ddd943b22e0c"]}],"mendeley":{"formattedCitation":"(IPCC, 2023; UNDP, 2021)","plainTextFormattedCitation":"(IPCC, 2023; UNDP, 2021)","previouslyFormattedCitation":"(IPCC, 2023; UNDP, 2021)"},"properties":{"noteIndex":0},"schema":"https://github.com/citation-style-language/schema/raw/master/csl-citation.json"}</w:instrText>
      </w:r>
      <w:r>
        <w:rPr>
          <w:rFonts w:cs="Times New Roman"/>
          <w:szCs w:val="24"/>
        </w:rPr>
        <w:fldChar w:fldCharType="separate"/>
      </w:r>
      <w:r>
        <w:rPr>
          <w:rFonts w:cs="Times New Roman"/>
          <w:noProof/>
          <w:szCs w:val="24"/>
        </w:rPr>
        <w:t>(IPCC, 2023; UNDP, 2021)</w:t>
      </w:r>
      <w:r>
        <w:rPr>
          <w:rFonts w:cs="Times New Roman"/>
          <w:szCs w:val="24"/>
        </w:rPr>
        <w:fldChar w:fldCharType="end"/>
      </w:r>
      <w:r>
        <w:rPr>
          <w:rFonts w:cs="Times New Roman"/>
          <w:szCs w:val="24"/>
        </w:rPr>
        <w:t xml:space="preserve">. Climate change exacerbates existing challenges in West Africa, such as poverty and vulnerability to environmental stressors. </w:t>
      </w:r>
    </w:p>
    <w:p w:rsidR="00E53882" w:rsidRDefault="00E53882">
      <w:pPr>
        <w:spacing w:after="0" w:line="480" w:lineRule="auto"/>
        <w:rPr>
          <w:rFonts w:cs="Times New Roman"/>
          <w:szCs w:val="24"/>
        </w:rPr>
      </w:pPr>
    </w:p>
    <w:p w:rsidR="00E53882" w:rsidRDefault="00B16FF7">
      <w:pPr>
        <w:spacing w:line="480" w:lineRule="auto"/>
        <w:rPr>
          <w:rFonts w:cs="Times New Roman"/>
          <w:szCs w:val="24"/>
        </w:rPr>
      </w:pPr>
      <w:r>
        <w:rPr>
          <w:rFonts w:cs="Times New Roman"/>
          <w:szCs w:val="24"/>
        </w:rPr>
        <w:lastRenderedPageBreak/>
        <w:t>Climate change in Ghana presents a multifaceted challenge with far-reaching implications for the nation's environment, economy, and society. Temperatures in Ghana have increased by around 1°C since the 1960s, with an average rise of 0.21°C per decade. The frequency of extremely hot days (</w:t>
      </w:r>
      <w:proofErr w:type="spellStart"/>
      <w:r>
        <w:rPr>
          <w:rFonts w:cs="Times New Roman"/>
          <w:szCs w:val="24"/>
        </w:rPr>
        <w:t>Tmax</w:t>
      </w:r>
      <w:proofErr w:type="spellEnd"/>
      <w:r>
        <w:rPr>
          <w:rFonts w:cs="Times New Roman"/>
          <w:szCs w:val="24"/>
        </w:rPr>
        <w:t xml:space="preserve"> &gt;35°C) has risen by more than 13% annually, and warm nights (</w:t>
      </w:r>
      <w:proofErr w:type="spellStart"/>
      <w:r>
        <w:rPr>
          <w:rFonts w:cs="Times New Roman"/>
          <w:szCs w:val="24"/>
        </w:rPr>
        <w:t>Tmin</w:t>
      </w:r>
      <w:proofErr w:type="spellEnd"/>
      <w:r>
        <w:rPr>
          <w:rFonts w:cs="Times New Roman"/>
          <w:szCs w:val="24"/>
        </w:rPr>
        <w:t xml:space="preserve"> &gt;26°C) have seen a 20% annual increase, with the most significant rise observed between September and November </w:t>
      </w:r>
      <w:r>
        <w:rPr>
          <w:rFonts w:cs="Times New Roman"/>
          <w:szCs w:val="24"/>
        </w:rPr>
        <w:fldChar w:fldCharType="begin" w:fldLock="1"/>
      </w:r>
      <w:r>
        <w:rPr>
          <w:rFonts w:cs="Times New Roman"/>
          <w:szCs w:val="24"/>
        </w:rPr>
        <w:instrText>ADDIN CSL_CITATION {"citationItems":[{"id":"ITEM-1","itemData":{"author":[{"dropping-particle":"","family":"USAID","given":"","non-dropping-particle":"","parse-names":false,"suffix":""}],"id":"ITEM-1","issue":"January","issued":{"date-parts":[["2017"]]},"title":"Climate Change Risk Profile: GHANA","type":"article-journal"},"uris":["http://www.mendeley.com/documents/?uuid=bca2ec2a-1f38-4a01-957c-ab81bd97f20e"]},{"id":"ITEM-2","itemData":{"abstract":"Projected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Bank","given":"","non-dropping-particle":"","parse-names":false,"suffix":""}],"id":"ITEM-2","issued":{"date-parts":[["2021"]]},"page":"32","title":"Climate risk country profile - Ghana","type":"article-journal"},"uris":["http://www.mendeley.com/documents/?uuid=4959faab-240a-4a2a-ac47-a661ccd5c855"]}],"mendeley":{"formattedCitation":"(USAID, 2017; World Bank, 2021)","plainTextFormattedCitation":"(USAID, 2017; World Bank, 2021)","previouslyFormattedCitation":"(USAID, 2017; World Bank, 2021)"},"properties":{"noteIndex":0},"schema":"https://github.com/citation-style-language/schema/raw/master/csl-citation.json"}</w:instrText>
      </w:r>
      <w:r>
        <w:rPr>
          <w:rFonts w:cs="Times New Roman"/>
          <w:szCs w:val="24"/>
        </w:rPr>
        <w:fldChar w:fldCharType="separate"/>
      </w:r>
      <w:r>
        <w:rPr>
          <w:rFonts w:cs="Times New Roman"/>
          <w:noProof/>
          <w:szCs w:val="24"/>
        </w:rPr>
        <w:t>(USAID, 2017; World Bank, 2021)</w:t>
      </w:r>
      <w:r>
        <w:rPr>
          <w:rFonts w:cs="Times New Roman"/>
          <w:szCs w:val="24"/>
        </w:rPr>
        <w:fldChar w:fldCharType="end"/>
      </w:r>
      <w:r>
        <w:rPr>
          <w:rFonts w:cs="Times New Roman"/>
          <w:szCs w:val="24"/>
        </w:rPr>
        <w:t xml:space="preserve">. The northern regions of the country have experienced a more accelerated rate of increase, particularly in minimum temperatures in the southern areas (rainforest and coastal, agro-ecological zones). Notably, the temperature rise for the middle and northern parts of Ghana (savannah zones) has been notably higher at +37% </w:t>
      </w:r>
      <w:r>
        <w:rPr>
          <w:rFonts w:cs="Times New Roman"/>
          <w:szCs w:val="24"/>
        </w:rPr>
        <w:fldChar w:fldCharType="begin" w:fldLock="1"/>
      </w:r>
      <w:r w:rsidR="00900D2E">
        <w:rPr>
          <w:rFonts w:cs="Times New Roman"/>
          <w:szCs w:val="24"/>
        </w:rPr>
        <w:instrText>ADDIN CSL_CITATION {"citationItems":[{"id":"ITEM-1","itemData":{"ISSN":"1906-0181","author":[{"dropping-particle":"","family":"EPA","given":"","non-dropping-particle":"","parse-names":false,"suffix":""}],"id":"ITEM-1","issued":{"date-parts":[["2015"]]},"page":"1-162","title":"Initial national communication to the United Nations Framework Convention on Climate Change: Government of the Republic of Ghana, Accra","type":"article-journal"},"uris":["http://www.mendeley.com/documents/?uuid=38308b2b-f37c-4def-aa00-fa1c69b1104c"]},{"id":"ITEM-2","itemData":{"abstract":"Recognizing the implications of climate change for its national development and in response to international commitments, the Government of Ghana has taken various actions to support climate change adaptation planning, with a number of climate change-related policies and strategies already in place. Under the leadership of the Environmental Protection Agency (EPA), and with support from the United States In-Country Support Program (managed by the International Institute for Sustainable Development [IISD], host to the NAP Global Network Secretariat), the Government of Ghana has prepared this National Adaptation Plan Framework to guide and advance its National Adaptation Plan (NAP) to address medium- and long-term adaptation needs in a coherent and coordinated manner. The purpose of this document is to provide an overall framework to guide the country in developing, coordinating and implementing its NAP process. This framework serves to describe the benefits of the NAP process in the context of Ghana, and to ensure that the NAP does not unnecessarily add to the proliferation of national planning processes and related documents. Specifically, the objectives of this NAP Framework are to: • Clarify the country’s approach to its NAP process. This will include an articulation of the country’s vision of climate change adaptation, its adaptation objectives and principles, the roles played by stakeholders within the national government, and priority adaptation actions to be undertaken. It will also provide a reference point for bringing together various adaptation planning efforts from different sectors, sub-national structures and scales of decision making. • Align the NAP process with existing policies, strategies, programs and adaptation research. • Serve as a basis for stakeholder engagement. The methodology for this framework consisted of a thorough desk-based review of existing climate change data, information and relevant national policies, laws and strategies; extensive stakeholder consultations with both public and private institutions; and a national stakeholder workshop. Although this framework represents the first stage in Ghana’s NAP process, there have been several important efforts to date by the Government of Ghana on climate change adaptation. These include the development of the National Adaptation Strategy (2012), the National Climate Change Policy (2013), the Nationally Determined Contributions (NDCs) (2015) and the National Climate Change Mas…","author":[{"dropping-particle":"","family":"Antwi-Agyei","given":"P.","non-dropping-particle":"","parse-names":false,"suffix":""}],"id":"ITEM-2","issue":"October","issued":{"date-parts":[["2018"]]},"page":"36","title":"Ghana’s national adaptation plan","type":"article-journal"},"uris":["http://www.mendeley.com/documents/?uuid=64ca5f6b-80b5-4751-b3a5-4fba76a26b22"]}],"mendeley":{"formattedCitation":"(Antwi-Agyei, 2018; EPA, 2015)","plainTextFormattedCitation":"(Antwi-Agyei, 2018; EPA, 2015)","previouslyFormattedCitation":"(Antwi-Agyei, 2018; EPA, 2015)"},"properties":{"noteIndex":0},"schema":"https://github.com/citation-style-language/schema/raw/master/csl-citation.json"}</w:instrText>
      </w:r>
      <w:r>
        <w:rPr>
          <w:rFonts w:cs="Times New Roman"/>
          <w:szCs w:val="24"/>
        </w:rPr>
        <w:fldChar w:fldCharType="separate"/>
      </w:r>
      <w:r>
        <w:rPr>
          <w:rFonts w:cs="Times New Roman"/>
          <w:noProof/>
          <w:szCs w:val="24"/>
        </w:rPr>
        <w:t>(Antwi-Agyei, 2018; EPA, 2015)</w:t>
      </w:r>
      <w:r>
        <w:rPr>
          <w:rFonts w:cs="Times New Roman"/>
          <w:szCs w:val="24"/>
        </w:rPr>
        <w:fldChar w:fldCharType="end"/>
      </w:r>
      <w:r>
        <w:rPr>
          <w:rFonts w:cs="Times New Roman"/>
          <w:szCs w:val="24"/>
        </w:rPr>
        <w:t>.</w:t>
      </w:r>
      <w:r>
        <w:rPr>
          <w:rFonts w:ascii="Segoe UI" w:hAnsi="Segoe UI" w:cs="Segoe UI"/>
          <w:color w:val="374151"/>
          <w:shd w:val="clear" w:color="auto" w:fill="F7F7F8"/>
        </w:rPr>
        <w:t xml:space="preserve"> </w:t>
      </w:r>
      <w:r>
        <w:rPr>
          <w:rFonts w:cs="Times New Roman"/>
          <w:szCs w:val="24"/>
        </w:rPr>
        <w:t xml:space="preserve">Ghana is anticipated to experience continued warming, with mean temperatures expected to rise between 1.0°C to 3.0°C by mid-century and 2.3°C to 5.3°C by the end of the century. The warming trend is projected to be more pronounced in the northern and inland areas compared to the coastal regions. Alongside elevated temperatures, there is a substantial predicted increase in the frequency of 'hot' days and nights, expected to rise by 18–59% by mid-century. This is concurrent with an overall decrease in the number of days categorized as cold </w:t>
      </w:r>
      <w:r>
        <w:rPr>
          <w:rFonts w:cs="Times New Roman"/>
          <w:szCs w:val="24"/>
        </w:rPr>
        <w:fldChar w:fldCharType="begin" w:fldLock="1"/>
      </w:r>
      <w:r>
        <w:rPr>
          <w:rFonts w:cs="Times New Roman"/>
          <w:szCs w:val="24"/>
        </w:rPr>
        <w:instrText>ADDIN CSL_CITATION {"citationItems":[{"id":"ITEM-1","itemData":{"abstract":"Projected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Bank","given":"","non-dropping-particle":"","parse-names":false,"suffix":""}],"id":"ITEM-1","issued":{"date-parts":[["2021"]]},"page":"32","title":"Climate risk country profile - Ghana","type":"article-journal"},"uris":["http://www.mendeley.com/documents/?uuid=4959faab-240a-4a2a-ac47-a661ccd5c855"]}],"mendeley":{"formattedCitation":"(World Bank, 2021)","plainTextFormattedCitation":"(World Bank, 2021)","previouslyFormattedCitation":"(World Bank, 2021)"},"properties":{"noteIndex":0},"schema":"https://github.com/citation-style-language/schema/raw/master/csl-citation.json"}</w:instrText>
      </w:r>
      <w:r>
        <w:rPr>
          <w:rFonts w:cs="Times New Roman"/>
          <w:szCs w:val="24"/>
        </w:rPr>
        <w:fldChar w:fldCharType="separate"/>
      </w:r>
      <w:r>
        <w:rPr>
          <w:rFonts w:cs="Times New Roman"/>
          <w:noProof/>
          <w:szCs w:val="24"/>
        </w:rPr>
        <w:t>(World Bank, 2021)</w:t>
      </w:r>
      <w:r>
        <w:rPr>
          <w:rFonts w:cs="Times New Roman"/>
          <w:szCs w:val="24"/>
        </w:rPr>
        <w:fldChar w:fldCharType="end"/>
      </w:r>
      <w:r>
        <w:rPr>
          <w:rFonts w:cs="Times New Roman"/>
          <w:szCs w:val="24"/>
        </w:rPr>
        <w:t xml:space="preserve">. In terms of precipitation, both Ghana and the West Africa region exhibit considerable variability on </w:t>
      </w:r>
      <w:proofErr w:type="spellStart"/>
      <w:r>
        <w:rPr>
          <w:rFonts w:cs="Times New Roman"/>
          <w:szCs w:val="24"/>
        </w:rPr>
        <w:t>interannual</w:t>
      </w:r>
      <w:proofErr w:type="spellEnd"/>
      <w:r>
        <w:rPr>
          <w:rFonts w:cs="Times New Roman"/>
          <w:szCs w:val="24"/>
        </w:rPr>
        <w:t xml:space="preserve"> and </w:t>
      </w:r>
      <w:proofErr w:type="spellStart"/>
      <w:r>
        <w:rPr>
          <w:rFonts w:cs="Times New Roman"/>
          <w:szCs w:val="24"/>
        </w:rPr>
        <w:t>interdecadal</w:t>
      </w:r>
      <w:proofErr w:type="spellEnd"/>
      <w:r>
        <w:rPr>
          <w:rFonts w:cs="Times New Roman"/>
          <w:szCs w:val="24"/>
        </w:rPr>
        <w:t xml:space="preserve"> scales. However, since the 1960s, there has been an overall decline in cumulative rainfall by 2.4% per decade </w:t>
      </w:r>
      <w:r>
        <w:rPr>
          <w:rFonts w:cs="Times New Roman"/>
          <w:szCs w:val="24"/>
        </w:rPr>
        <w:fldChar w:fldCharType="begin" w:fldLock="1"/>
      </w:r>
      <w:r>
        <w:rPr>
          <w:rFonts w:cs="Times New Roman"/>
          <w:szCs w:val="24"/>
        </w:rPr>
        <w:instrText>ADDIN CSL_CITATION {"citationItems":[{"id":"ITEM-1","itemData":{"author":[{"dropping-particle":"","family":"USAID","given":"","non-dropping-particle":"","parse-names":false,"suffix":""}],"id":"ITEM-1","issue":"January","issued":{"date-parts":[["2017"]]},"title":"Climate Change Risk Profile: GHANA","type":"article-journal"},"uris":["http://www.mendeley.com/documents/?uuid=bca2ec2a-1f38-4a01-957c-ab81bd97f20e"]}],"mendeley":{"formattedCitation":"(USAID, 2017)","plainTextFormattedCitation":"(USAID, 2017)","previouslyFormattedCitation":"(USAID, 2017)"},"properties":{"noteIndex":0},"schema":"https://github.com/citation-style-language/schema/raw/master/csl-citation.json"}</w:instrText>
      </w:r>
      <w:r>
        <w:rPr>
          <w:rFonts w:cs="Times New Roman"/>
          <w:szCs w:val="24"/>
        </w:rPr>
        <w:fldChar w:fldCharType="separate"/>
      </w:r>
      <w:r>
        <w:rPr>
          <w:rFonts w:cs="Times New Roman"/>
          <w:noProof/>
          <w:szCs w:val="24"/>
        </w:rPr>
        <w:t>(USAID, 2017)</w:t>
      </w:r>
      <w:r>
        <w:rPr>
          <w:rFonts w:cs="Times New Roman"/>
          <w:szCs w:val="24"/>
        </w:rPr>
        <w:fldChar w:fldCharType="end"/>
      </w:r>
      <w:r>
        <w:rPr>
          <w:rFonts w:cs="Times New Roman"/>
          <w:szCs w:val="24"/>
        </w:rPr>
        <w:t xml:space="preserve">. Changes in decadal rainfall patterns show a reduction in the middle of the country, while more intense rainfall events have been observed in both the northern and southern regions. This suggests an increase in the intensity of rainfall events and the potential for longer dry spell durations </w:t>
      </w:r>
      <w:r>
        <w:rPr>
          <w:rFonts w:cs="Times New Roman"/>
          <w:szCs w:val="24"/>
        </w:rPr>
        <w:fldChar w:fldCharType="begin" w:fldLock="1"/>
      </w:r>
      <w:r>
        <w:rPr>
          <w:rFonts w:cs="Times New Roman"/>
          <w:szCs w:val="24"/>
        </w:rPr>
        <w:instrText>ADDIN CSL_CITATION {"citationItems":[{"id":"ITEM-1","itemData":{"ISSN":"1906-0181","author":[{"dropping-particle":"","family":"EPA","given":"","non-dropping-particle":"","parse-names":false,"suffix":""}],"id":"ITEM-1","issued":{"date-parts":[["2015"]]},"page":"1-162","title":"Initial national communication to the United Nations Framework Convention on Climate Change: Government of the Republic of Ghana, Accra","type":"article-journal"},"uris":["http://www.mendeley.com/documents/?uuid=38308b2b-f37c-4def-aa00-fa1c69b1104c"]},{"id":"ITEM-2","itemData":{"abstract":"Projected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Bank","given":"","non-dropping-particle":"","parse-names":false,"suffix":""}],"id":"ITEM-2","issued":{"date-parts":[["2021"]]},"page":"32","title":"Climate risk country profile - Ghana","type":"article-journal"},"uris":["http://www.mendeley.com/documents/?uuid=4959faab-240a-4a2a-ac47-a661ccd5c855"]}],"mendeley":{"formattedCitation":"(EPA, 2015; World Bank, 2021)","plainTextFormattedCitation":"(EPA, 2015; World Bank, 2021)","previouslyFormattedCitation":"(EPA, 2015; World Bank, 2021)"},"properties":{"noteIndex":0},"schema":"https://github.com/citation-style-language/schema/raw/master/csl-citation.json"}</w:instrText>
      </w:r>
      <w:r>
        <w:rPr>
          <w:rFonts w:cs="Times New Roman"/>
          <w:szCs w:val="24"/>
        </w:rPr>
        <w:fldChar w:fldCharType="separate"/>
      </w:r>
      <w:r>
        <w:rPr>
          <w:rFonts w:cs="Times New Roman"/>
          <w:noProof/>
          <w:szCs w:val="24"/>
        </w:rPr>
        <w:t>(EPA, 2015; World Bank, 2021)</w:t>
      </w:r>
      <w:r>
        <w:rPr>
          <w:rFonts w:cs="Times New Roman"/>
          <w:szCs w:val="24"/>
        </w:rPr>
        <w:fldChar w:fldCharType="end"/>
      </w:r>
      <w:r>
        <w:rPr>
          <w:rFonts w:cs="Times New Roman"/>
          <w:szCs w:val="24"/>
        </w:rPr>
        <w:t>.</w:t>
      </w:r>
      <w:r>
        <w:rPr>
          <w:rFonts w:ascii="Segoe UI" w:hAnsi="Segoe UI" w:cs="Segoe UI"/>
          <w:color w:val="374151"/>
          <w:shd w:val="clear" w:color="auto" w:fill="F7F7F8"/>
        </w:rPr>
        <w:t xml:space="preserve"> </w:t>
      </w:r>
      <w:r>
        <w:rPr>
          <w:rFonts w:cs="Times New Roman"/>
          <w:szCs w:val="24"/>
        </w:rPr>
        <w:t xml:space="preserve">Rainfall in Ghana displays significant variability and is projected to remain </w:t>
      </w:r>
      <w:r>
        <w:rPr>
          <w:rFonts w:cs="Times New Roman"/>
          <w:szCs w:val="24"/>
        </w:rPr>
        <w:lastRenderedPageBreak/>
        <w:t xml:space="preserve">unpredictable throughout the century. Despite this variability, heavy rainfall events are anticipated to increase. Moreover, alterations in trends for 1 to 5-day rainfall maxima are expected to rise in certain areas while decreasing in others. Anticipated changes include more erratic and intense rainfall during the wet season, coupled with reduced precipitation levels during the dry season, particularly with larger decreases in the southern regions. The intensification of rainfall events is also likely to lead to flooding, flash floods, and river bank erosion </w:t>
      </w:r>
      <w:r>
        <w:rPr>
          <w:rFonts w:cs="Times New Roman"/>
          <w:szCs w:val="24"/>
        </w:rPr>
        <w:fldChar w:fldCharType="begin" w:fldLock="1"/>
      </w:r>
      <w:r>
        <w:rPr>
          <w:rFonts w:cs="Times New Roman"/>
          <w:szCs w:val="24"/>
        </w:rPr>
        <w:instrText>ADDIN CSL_CITATION {"citationItems":[{"id":"ITEM-1","itemData":{"abstract":"Projected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Bank","given":"","non-dropping-particle":"","parse-names":false,"suffix":""}],"id":"ITEM-1","issued":{"date-parts":[["2021"]]},"page":"32","title":"Climate risk country profile - Ghana","type":"article-journal"},"uris":["http://www.mendeley.com/documents/?uuid=4959faab-240a-4a2a-ac47-a661ccd5c855"]}],"mendeley":{"formattedCitation":"(World Bank, 2021)","plainTextFormattedCitation":"(World Bank, 2021)","previouslyFormattedCitation":"(World Bank, 2021)"},"properties":{"noteIndex":0},"schema":"https://github.com/citation-style-language/schema/raw/master/csl-citation.json"}</w:instrText>
      </w:r>
      <w:r>
        <w:rPr>
          <w:rFonts w:cs="Times New Roman"/>
          <w:szCs w:val="24"/>
        </w:rPr>
        <w:fldChar w:fldCharType="separate"/>
      </w:r>
      <w:r>
        <w:rPr>
          <w:rFonts w:cs="Times New Roman"/>
          <w:noProof/>
          <w:szCs w:val="24"/>
        </w:rPr>
        <w:t>(World Bank, 2021)</w:t>
      </w:r>
      <w:r>
        <w:rPr>
          <w:rFonts w:cs="Times New Roman"/>
          <w:szCs w:val="24"/>
        </w:rPr>
        <w:fldChar w:fldCharType="end"/>
      </w:r>
      <w:r>
        <w:rPr>
          <w:rFonts w:cs="Times New Roman"/>
          <w:szCs w:val="24"/>
        </w:rPr>
        <w:t>.</w:t>
      </w:r>
    </w:p>
    <w:p w:rsidR="00E53882" w:rsidRDefault="00B16FF7">
      <w:pPr>
        <w:spacing w:line="480" w:lineRule="auto"/>
        <w:rPr>
          <w:rFonts w:eastAsia="Calibri"/>
        </w:rPr>
      </w:pPr>
      <w:r>
        <w:rPr>
          <w:rFonts w:cs="Times New Roman"/>
          <w:szCs w:val="24"/>
        </w:rPr>
        <w:t xml:space="preserve">These alterations pose challenges for Ghana's predominantly agrarian economy, as the agricultural sector is particularly vulnerable to unpredictable rainfall, increased temperatures, and extreme weather events that threaten crop yields and food security </w:t>
      </w:r>
      <w:r>
        <w:rPr>
          <w:rFonts w:cs="Times New Roman"/>
          <w:szCs w:val="24"/>
        </w:rPr>
        <w:fldChar w:fldCharType="begin" w:fldLock="1"/>
      </w:r>
      <w:r w:rsidR="00900D2E">
        <w:rPr>
          <w:rFonts w:cs="Times New Roman"/>
          <w:szCs w:val="24"/>
        </w:rPr>
        <w:instrText>ADDIN CSL_CITATION {"citationItems":[{"id":"ITEM-1","itemData":{"abstract":"The paper presents an assessment of climatic trends and patterns, and impacts on food crop productivity in the Bawku West District. The study adopted both statistical and descriptive approaches to achieve the formulated objectives. Rainfall and temperature data were obtained from the Ghana Meteorological Agency, Navrongo-Ghana, and the World Bank Climate Change Knowledge Portal. The main instruments used to gather information from the respondents were questionnaire, structured interview guide and field observation. Data were analysed using SPSS version 20 and presented in tables and figures. The study revealed that there were yearly irregularities in the amount and intensity of rainfall with increasing number of dry spells, implying the area is currently contending more with climate variability. It also revealed that climate variability has had negative implications on food crop production in the district such as unpredictability of onset of rains, crop failure and low yield. The current coping/adaptive mechanisms employed by farmers to climate variability in the district include irrigation, fertilizer application, growing improved crops, getting jobs outside agriculture, support from government and NGOs, and migration of the youth. It is therefore recommended that stakeholders provide subsidised farm inputs and ensure sound environmental management to cater for the consequences of climate variability on their livelihoods.","author":[{"dropping-particle":"","family":"Adu-Boahen","given":"K","non-dropping-particle":"","parse-names":false,"suffix":""},{"dropping-particle":"","family":"Dadson","given":"I","non-dropping-particle":"","parse-names":false,"suffix":""},{"dropping-particle":"","family":"Halidu","given":"Mohamadu Akugre","non-dropping-particle":"","parse-names":false,"suffix":""}],"id":"ITEM-1","issue":"1","issued":{"date-parts":[["2019"]]},"page":"103-123","title":"Climatic Variability and Food Crop Production in the Bawku West District of the Upper East Region of Ghana","type":"article-journal","volume":"11"},"uris":["http://www.mendeley.com/documents/?uuid=340af769-82b2-4079-8c08-5d8c37d40401"]}],"mendeley":{"formattedCitation":"(Adu-Boahen et al., 2019)","plainTextFormattedCitation":"(Adu-Boahen et al., 2019)","previouslyFormattedCitation":"(Adu-Boahen et al., 2019)"},"properties":{"noteIndex":0},"schema":"https://github.com/citation-style-language/schema/raw/master/csl-citation.json"}</w:instrText>
      </w:r>
      <w:r>
        <w:rPr>
          <w:rFonts w:cs="Times New Roman"/>
          <w:szCs w:val="24"/>
        </w:rPr>
        <w:fldChar w:fldCharType="separate"/>
      </w:r>
      <w:r>
        <w:rPr>
          <w:rFonts w:cs="Times New Roman"/>
          <w:noProof/>
          <w:szCs w:val="24"/>
        </w:rPr>
        <w:t>(Adu-Boahen et al., 2019)</w:t>
      </w:r>
      <w:r>
        <w:rPr>
          <w:rFonts w:cs="Times New Roman"/>
          <w:szCs w:val="24"/>
        </w:rPr>
        <w:fldChar w:fldCharType="end"/>
      </w:r>
      <w:r>
        <w:rPr>
          <w:rFonts w:cs="Times New Roman"/>
          <w:szCs w:val="24"/>
        </w:rPr>
        <w:t xml:space="preserve">. The impact of climate change extends to water resources, contributing to water scarcity in certain regions, impacting both agricultural and domestic water needs. Coastal areas in Ghana face rising sea levels, increasing risks of erosion, flooding, and damage to infrastructure. The country is also vulnerable to extreme weather events such as hurricanes and storm surges, which pose significant threats to coastal communities </w:t>
      </w:r>
      <w:r>
        <w:rPr>
          <w:rFonts w:cs="Times New Roman"/>
          <w:szCs w:val="24"/>
        </w:rPr>
        <w:fldChar w:fldCharType="begin" w:fldLock="1"/>
      </w:r>
      <w:r>
        <w:rPr>
          <w:rFonts w:cs="Times New Roman"/>
          <w:szCs w:val="24"/>
        </w:rPr>
        <w:instrText>ADDIN CSL_CITATION {"citationItems":[{"id":"ITEM-1","itemData":{"ISSN":"1906-0181","author":[{"dropping-particle":"","family":"EPA","given":"","non-dropping-particle":"","parse-names":false,"suffix":""}],"id":"ITEM-1","issued":{"date-parts":[["2015"]]},"page":"1-162","title":"Initial national communication to the United Nations Framework Convention on Climate Change: Government of the Republic of Ghana, Accra","type":"article-journal"},"uris":["http://www.mendeley.com/documents/?uuid=38308b2b-f37c-4def-aa00-fa1c69b1104c"]}],"mendeley":{"formattedCitation":"(EPA, 2015)","plainTextFormattedCitation":"(EPA, 2015)","previouslyFormattedCitation":"(EPA, 2015)"},"properties":{"noteIndex":0},"schema":"https://github.com/citation-style-language/schema/raw/master/csl-citation.json"}</w:instrText>
      </w:r>
      <w:r>
        <w:rPr>
          <w:rFonts w:cs="Times New Roman"/>
          <w:szCs w:val="24"/>
        </w:rPr>
        <w:fldChar w:fldCharType="separate"/>
      </w:r>
      <w:r>
        <w:rPr>
          <w:rFonts w:cs="Times New Roman"/>
          <w:noProof/>
          <w:szCs w:val="24"/>
        </w:rPr>
        <w:t>(EPA, 2015)</w:t>
      </w:r>
      <w:r>
        <w:rPr>
          <w:rFonts w:cs="Times New Roman"/>
          <w:szCs w:val="24"/>
        </w:rPr>
        <w:fldChar w:fldCharType="end"/>
      </w:r>
      <w:r>
        <w:rPr>
          <w:rFonts w:cs="Times New Roman"/>
          <w:szCs w:val="24"/>
        </w:rPr>
        <w:t xml:space="preserve">. Deforestation, often exacerbated by changing climate conditions, is a growing concern, impacting ecosystems and contributing to carbon emissions. In response to these challenges, Ghana has developed a National Climate Change Policy outlining strategies for both mitigation and adaptation </w:t>
      </w:r>
      <w:r>
        <w:rPr>
          <w:rFonts w:cs="Times New Roman"/>
          <w:szCs w:val="24"/>
        </w:rPr>
        <w:fldChar w:fldCharType="begin" w:fldLock="1"/>
      </w:r>
      <w:r w:rsidR="00900D2E">
        <w:rPr>
          <w:rFonts w:cs="Times New Roman"/>
          <w:szCs w:val="24"/>
        </w:rPr>
        <w:instrText>ADDIN CSL_CITATION {"citationItems":[{"id":"ITEM-1","itemData":{"abstract":"Recognizing the implications of climate change for its national development and in response to international commitments, the Government of Ghana has taken various actions to support climate change adaptation planning, with a number of climate change-related policies and strategies already in place. Under the leadership of the Environmental Protection Agency (EPA), and with support from the United States In-Country Support Program (managed by the International Institute for Sustainable Development [IISD], host to the NAP Global Network Secretariat), the Government of Ghana has prepared this National Adaptation Plan Framework to guide and advance its National Adaptation Plan (NAP) to address medium- and long-term adaptation needs in a coherent and coordinated manner. The purpose of this document is to provide an overall framework to guide the country in developing, coordinating and implementing its NAP process. This framework serves to describe the benefits of the NAP process in the context of Ghana, and to ensure that the NAP does not unnecessarily add to the proliferation of national planning processes and related documents. Specifically, the objectives of this NAP Framework are to: • Clarify the country’s approach to its NAP process. This will include an articulation of the country’s vision of climate change adaptation, its adaptation objectives and principles, the roles played by stakeholders within the national government, and priority adaptation actions to be undertaken. It will also provide a reference point for bringing together various adaptation planning efforts from different sectors, sub-national structures and scales of decision making. • Align the NAP process with existing policies, strategies, programs and adaptation research. • Serve as a basis for stakeholder engagement. The methodology for this framework consisted of a thorough desk-based review of existing climate change data, information and relevant national policies, laws and strategies; extensive stakeholder consultations with both public and private institutions; and a national stakeholder workshop. Although this framework represents the first stage in Ghana’s NAP process, there have been several important efforts to date by the Government of Ghana on climate change adaptation. These include the development of the National Adaptation Strategy (2012), the National Climate Change Policy (2013), the Nationally Determined Contributions (NDCs) (2015) and the National Climate Change Mas…","author":[{"dropping-particle":"","family":"Antwi-Agyei","given":"P.","non-dropping-particle":"","parse-names":false,"suffix":""}],"id":"ITEM-1","issue":"October","issued":{"date-parts":[["2018"]]},"page":"36","title":"Ghana’s national adaptation plan","type":"article-journal"},"uris":["http://www.mendeley.com/documents/?uuid=64ca5f6b-80b5-4751-b3a5-4fba76a26b22"]}],"mendeley":{"formattedCitation":"(Antwi-Agyei, 2018)","plainTextFormattedCitation":"(Antwi-Agyei, 2018)","previouslyFormattedCitation":"(Antwi-Agyei, 2018)"},"properties":{"noteIndex":0},"schema":"https://github.com/citation-style-language/schema/raw/master/csl-citation.json"}</w:instrText>
      </w:r>
      <w:r>
        <w:rPr>
          <w:rFonts w:cs="Times New Roman"/>
          <w:szCs w:val="24"/>
        </w:rPr>
        <w:fldChar w:fldCharType="separate"/>
      </w:r>
      <w:r>
        <w:rPr>
          <w:rFonts w:cs="Times New Roman"/>
          <w:noProof/>
          <w:szCs w:val="24"/>
        </w:rPr>
        <w:t>(Antwi-Agyei, 2018)</w:t>
      </w:r>
      <w:r>
        <w:rPr>
          <w:rFonts w:cs="Times New Roman"/>
          <w:szCs w:val="24"/>
        </w:rPr>
        <w:fldChar w:fldCharType="end"/>
      </w:r>
      <w:r>
        <w:rPr>
          <w:rFonts w:cs="Times New Roman"/>
          <w:vanish/>
          <w:szCs w:val="24"/>
        </w:rPr>
        <w:t>Top of Form</w:t>
      </w:r>
      <w:r>
        <w:rPr>
          <w:rFonts w:cs="Times New Roman"/>
          <w:szCs w:val="24"/>
        </w:rPr>
        <w:t xml:space="preserve">. Northern Ghana faces distinctive challenges stemming from climate change. The region experiences heightened temperatures, unpredictable rainfall patterns, and land degradation, exacerbating existing vulnerabilities </w:t>
      </w:r>
      <w:r>
        <w:rPr>
          <w:rFonts w:cs="Times New Roman"/>
          <w:szCs w:val="24"/>
        </w:rPr>
        <w:fldChar w:fldCharType="begin" w:fldLock="1"/>
      </w:r>
      <w:r>
        <w:rPr>
          <w:rFonts w:cs="Times New Roman"/>
          <w:szCs w:val="24"/>
        </w:rPr>
        <w:instrText>ADDIN CSL_CITATION {"citationItems":[{"id":"ITEM-1","itemData":{"DOI":"10.1111/1365-2745.13195","ISSN":"13652745","abstract":"Climate change is expected to lead to more frequent, intense and longer droughts in the future, with major implications for ecosystem processes and human livelihoods. The impacts of such droughts are already evident, with vegetation dieback reported from a range of ecosystems, including savannas, in recent years. Most of our insights into the mechanisms governing vegetation drought responses have come from forests and temperate grasslands, while responses of savannas have received less attention. Because the two life forms that dominate savannas—C3 trees and C4 grasses—respond differently to the same environmental controls, savanna responses to droughts can differ from those of forests and grasslands. Drought-driven mortality of savanna vegetation is not readily predicted by just plant drought-tolerance traits alone, but is the net outcome of multiple factors, including drought-avoidance strategies, landscape and neighborhood context, and impacts of past and current stressors including fire, herbivory and inter-life form competition. Many savannas currently appear to have the capacity to recover from moderate to severe short-term droughts, although recovery times can be substantial. Factors facilitating recovery include the resprouting ability of vegetation, enhanced flowering and seeding and post-drought amelioration of herbivory and fire. Future increases in drought severity, length and frequency can interrupt recovery trajectories and lead to compositional shifts, and thus pose substantial threats, particularly to arid and semi-arid savannas. Synthesis. Our understanding of, and ability to predict, savanna drought responses is currently limited by availability of relevant data, and there is an urgent need for campaigns quantifying drought-survival traits across diverse savannas. Importantly, these campaigns must move beyond reliance on a limited set of plant functional traits to identifying suites of physiological, morphological, anatomical and structural traits or “syndromes” that encapsulate both avoidance and tolerance strategies. There is also a critical need for a global network of long-term savanna monitoring sites as these can provide key insights into factors influencing both resistance and resilience of different savannas to droughts. Such efforts, coupled with site-specific rainfall manipulation experiments that characterize plant trait–drought response relationships, and modelling efforts, will enable a more comprehensive understanding of …","author":[{"dropping-particle":"","family":"Sankaran","given":"Mahesh","non-dropping-particle":"","parse-names":false,"suffix":""}],"container-title":"Journal of Ecology","id":"ITEM-1","issue":"4","issued":{"date-parts":[["2019"]]},"page":"1531-1549","title":"Droughts and the ecological future of tropical savanna vegetation","type":"article-journal","volume":"107"},"uris":["http://www.mendeley.com/documents/?uuid=bf077cc0-5a52-444f-bd57-f852a59ad729"]}],"mendeley":{"formattedCitation":"(Sankaran, 2019)","plainTextFormattedCitation":"(Sankaran, 2019)","previouslyFormattedCitation":"(Sankaran, 2019)"},"properties":{"noteIndex":0},"schema":"https://github.com/citation-style-language/schema/raw/master/csl-citation.json"}</w:instrText>
      </w:r>
      <w:r>
        <w:rPr>
          <w:rFonts w:cs="Times New Roman"/>
          <w:szCs w:val="24"/>
        </w:rPr>
        <w:fldChar w:fldCharType="separate"/>
      </w:r>
      <w:r>
        <w:rPr>
          <w:rFonts w:cs="Times New Roman"/>
          <w:noProof/>
          <w:szCs w:val="24"/>
        </w:rPr>
        <w:t>(Sankaran, 2019)</w:t>
      </w:r>
      <w:r>
        <w:rPr>
          <w:rFonts w:cs="Times New Roman"/>
          <w:szCs w:val="24"/>
        </w:rPr>
        <w:fldChar w:fldCharType="end"/>
      </w:r>
      <w:r>
        <w:rPr>
          <w:rFonts w:cs="Times New Roman"/>
          <w:szCs w:val="24"/>
        </w:rPr>
        <w:t xml:space="preserve">. Pastoralist communities in Northern Ghana are adapting their mobility patterns and livelihoods in response to changing climate conditions. Shifts in grazing patterns </w:t>
      </w:r>
      <w:r>
        <w:rPr>
          <w:rFonts w:cs="Times New Roman"/>
          <w:szCs w:val="24"/>
        </w:rPr>
        <w:lastRenderedPageBreak/>
        <w:t xml:space="preserve">and migration routes reflect the dynamic strategies employed by these communities to cope with environmental changes </w:t>
      </w:r>
      <w:r>
        <w:rPr>
          <w:rFonts w:cs="Times New Roman"/>
          <w:szCs w:val="24"/>
        </w:rPr>
        <w:fldChar w:fldCharType="begin" w:fldLock="1"/>
      </w:r>
      <w:r>
        <w:rPr>
          <w:rFonts w:cs="Times New Roman"/>
          <w:szCs w:val="24"/>
        </w:rPr>
        <w:instrText>ADDIN CSL_CITATION {"citationItems":[{"id":"ITEM-1","itemData":{"DOI":"10.1002/crq.21346","ISSN":"15411508","abstract":"Climate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Quarterly","id":"ITEM-1","issue":"4","issued":{"date-parts":[["2022"]]},"page":"421-439","title":"Climate change, migration and farmer–herder conflict in Ghana","type":"article-journal","volume":"39"},"uris":["http://www.mendeley.com/documents/?uuid=9040542a-42d0-4963-951f-59dbae297b95"]}],"mendeley":{"formattedCitation":"(Issifu et al., 2022)","plainTextFormattedCitation":"(Issifu et al., 2022)","previouslyFormattedCitation":"(Issifu et al., 2022)"},"properties":{"noteIndex":0},"schema":"https://github.com/citation-style-language/schema/raw/master/csl-citation.json"}</w:instrText>
      </w:r>
      <w:r>
        <w:rPr>
          <w:rFonts w:cs="Times New Roman"/>
          <w:szCs w:val="24"/>
        </w:rPr>
        <w:fldChar w:fldCharType="separate"/>
      </w:r>
      <w:r>
        <w:rPr>
          <w:rFonts w:cs="Times New Roman"/>
          <w:noProof/>
          <w:szCs w:val="24"/>
        </w:rPr>
        <w:t>(Issifu et al., 2022)</w:t>
      </w:r>
      <w:r>
        <w:rPr>
          <w:rFonts w:cs="Times New Roman"/>
          <w:szCs w:val="24"/>
        </w:rPr>
        <w:fldChar w:fldCharType="end"/>
      </w:r>
      <w:r>
        <w:rPr>
          <w:rFonts w:cs="Times New Roman"/>
          <w:szCs w:val="24"/>
        </w:rPr>
        <w:t>.</w:t>
      </w:r>
      <w:r>
        <w:rPr>
          <w:rFonts w:cs="Times New Roman"/>
          <w:b/>
          <w:szCs w:val="24"/>
        </w:rPr>
        <w:t xml:space="preserve"> </w:t>
      </w:r>
      <w:proofErr w:type="spellStart"/>
      <w:r>
        <w:rPr>
          <w:rFonts w:cs="Times New Roman"/>
          <w:szCs w:val="24"/>
        </w:rPr>
        <w:t>Gusheigu</w:t>
      </w:r>
      <w:proofErr w:type="spellEnd"/>
      <w:r>
        <w:rPr>
          <w:rFonts w:cs="Times New Roman"/>
          <w:szCs w:val="24"/>
        </w:rPr>
        <w:t xml:space="preserve"> District has a tropical climate which is typical of the Northern region. The unique rainy season, influenced by South-East winds lasts from May to October (rainfalls vary between 900 and 1,000mm); very strong rainfalls are recorded in July and August. As far as dry season is concerned, it lasts from November to March and is characterized by the predominance of North-East winds, where </w:t>
      </w:r>
      <w:proofErr w:type="spellStart"/>
      <w:r>
        <w:rPr>
          <w:rFonts w:cs="Times New Roman"/>
          <w:szCs w:val="24"/>
        </w:rPr>
        <w:t>harmattan</w:t>
      </w:r>
      <w:proofErr w:type="spellEnd"/>
      <w:r>
        <w:rPr>
          <w:rFonts w:cs="Times New Roman"/>
          <w:szCs w:val="24"/>
        </w:rPr>
        <w:t xml:space="preserve"> is hot and dry. In fact, temperatures are, generally very high throughout the year, sometimes close to 40oC in March and April; but lowest temperatures are recorded between November and February (the </w:t>
      </w:r>
      <w:proofErr w:type="spellStart"/>
      <w:r>
        <w:rPr>
          <w:rFonts w:cs="Times New Roman"/>
          <w:szCs w:val="24"/>
        </w:rPr>
        <w:t>harmattan</w:t>
      </w:r>
      <w:proofErr w:type="spellEnd"/>
      <w:r>
        <w:rPr>
          <w:rFonts w:cs="Times New Roman"/>
          <w:szCs w:val="24"/>
        </w:rPr>
        <w:t xml:space="preserve"> period) </w:t>
      </w:r>
      <w:r>
        <w:rPr>
          <w:rFonts w:cs="Times New Roman"/>
          <w:szCs w:val="24"/>
        </w:rPr>
        <w:fldChar w:fldCharType="begin" w:fldLock="1"/>
      </w:r>
      <w:r>
        <w:rPr>
          <w:rFonts w:cs="Times New Roman"/>
          <w:szCs w:val="24"/>
        </w:rPr>
        <w:instrText>ADDIN CSL_CITATION {"citationItems":[{"id":"ITEM-1","itemData":{"author":[{"dropping-particle":"","family":"GSS","given":"","non-dropping-particle":"","parse-names":false,"suffix":""}],"id":"ITEM-1","issued":{"date-parts":[["2014"]]},"title":"Gushiegu district","type":"article-journal"},"uris":["http://www.mendeley.com/documents/?uuid=ee566269-df9d-4fb7-a584-c3d99cb4fffe"]}],"mendeley":{"formattedCitation":"(GSS, 2014)","plainTextFormattedCitation":"(GSS, 2014)","previouslyFormattedCitation":"(GSS, 2014)"},"properties":{"noteIndex":0},"schema":"https://github.com/citation-style-language/schema/raw/master/csl-citation.json"}</w:instrText>
      </w:r>
      <w:r>
        <w:rPr>
          <w:rFonts w:cs="Times New Roman"/>
          <w:szCs w:val="24"/>
        </w:rPr>
        <w:fldChar w:fldCharType="separate"/>
      </w:r>
      <w:r>
        <w:rPr>
          <w:rFonts w:cs="Times New Roman"/>
          <w:noProof/>
          <w:szCs w:val="24"/>
        </w:rPr>
        <w:t>(GSS, 2014)</w:t>
      </w:r>
      <w:r>
        <w:rPr>
          <w:rFonts w:cs="Times New Roman"/>
          <w:szCs w:val="24"/>
        </w:rPr>
        <w:fldChar w:fldCharType="end"/>
      </w:r>
      <w:r>
        <w:rPr>
          <w:rFonts w:cs="Times New Roman"/>
          <w:szCs w:val="24"/>
        </w:rPr>
        <w:t>. This scientific explanation supports the selection of this area to carry out the studies.</w:t>
      </w:r>
    </w:p>
    <w:p w:rsidR="00E53882" w:rsidRDefault="00B16FF7">
      <w:pPr>
        <w:pStyle w:val="Heading2"/>
        <w:spacing w:line="480" w:lineRule="auto"/>
        <w:rPr>
          <w:rFonts w:eastAsia="Calibri"/>
        </w:rPr>
      </w:pPr>
      <w:bookmarkStart w:id="52" w:name="_Toc164261689"/>
      <w:r>
        <w:rPr>
          <w:rFonts w:eastAsia="Calibri"/>
        </w:rPr>
        <w:t>2.2.2 Pastoralism</w:t>
      </w:r>
      <w:bookmarkEnd w:id="52"/>
      <w:r>
        <w:rPr>
          <w:rFonts w:eastAsia="Calibri"/>
        </w:rPr>
        <w:t xml:space="preserve"> </w:t>
      </w:r>
    </w:p>
    <w:p w:rsidR="00E53882" w:rsidRDefault="00B16FF7">
      <w:pPr>
        <w:tabs>
          <w:tab w:val="left" w:pos="3600"/>
        </w:tabs>
        <w:spacing w:line="480" w:lineRule="auto"/>
        <w:rPr>
          <w:rFonts w:eastAsia="Calibri" w:cs="Times New Roman"/>
          <w:bCs/>
          <w:iCs/>
          <w:szCs w:val="24"/>
        </w:rPr>
      </w:pPr>
      <w:r>
        <w:rPr>
          <w:rFonts w:eastAsia="Calibri" w:cs="Times New Roman"/>
          <w:bCs/>
          <w:iCs/>
          <w:szCs w:val="24"/>
        </w:rPr>
        <w:t xml:space="preserve">The movement of herdsmen in arid and semi-arid land is widely practiced in Africa. Pastoralism is projected to be the primary livelihood for about 268 million people who reside in Africa </w:t>
      </w:r>
      <w:r>
        <w:rPr>
          <w:rFonts w:eastAsia="Calibri" w:cs="Times New Roman"/>
          <w:bCs/>
          <w:iCs/>
          <w:szCs w:val="24"/>
        </w:rPr>
        <w:fldChar w:fldCharType="begin" w:fldLock="1"/>
      </w:r>
      <w:r>
        <w:rPr>
          <w:rFonts w:eastAsia="Calibri" w:cs="Times New Roman"/>
          <w:bCs/>
          <w:iCs/>
          <w:szCs w:val="24"/>
        </w:rPr>
        <w:instrText>ADDIN CSL_CITATION {"citationItems":[{"id":"ITEM-1","itemData":{"abstract":"Despite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Africa","id":"ITEM-1","issue":"2","issued":{"date-parts":[["2017"]]},"page":"51-55","title":"SUSTAINABLE PASTORALISM AND RANGELANDS IN AFRICA","type":"article-journal","volume":"31"},"uris":["http://www.mendeley.com/documents/?uuid=7111be2c-d8fe-4652-9aad-a1008e384fd1"]}],"mendeley":{"formattedCitation":"(FAO, 2017)","plainTextFormattedCitation":"(FAO, 2017)","previouslyFormattedCitation":"(FAO, 2017)"},"properties":{"noteIndex":0},"schema":"https://github.com/citation-style-language/schema/raw/master/csl-citation.json"}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(FAO, 2017)</w:t>
      </w:r>
      <w:r>
        <w:rPr>
          <w:rFonts w:eastAsia="Calibri" w:cs="Times New Roman"/>
          <w:bCs/>
          <w:iCs/>
          <w:szCs w:val="24"/>
        </w:rPr>
        <w:fldChar w:fldCharType="end"/>
      </w:r>
      <w:r>
        <w:rPr>
          <w:rFonts w:eastAsia="Calibri" w:cs="Times New Roman"/>
          <w:bCs/>
          <w:iCs/>
          <w:szCs w:val="24"/>
        </w:rPr>
        <w:t xml:space="preserve">. This is made up of people from different ethnic group with distinct characteristics </w:t>
      </w:r>
      <w:r>
        <w:rPr>
          <w:rFonts w:eastAsia="Calibri" w:cs="Times New Roman"/>
          <w:bCs/>
          <w:iCs/>
          <w:szCs w:val="24"/>
        </w:rPr>
        <w:fldChar w:fldCharType="begin" w:fldLock="1"/>
      </w:r>
      <w:r>
        <w:rPr>
          <w:rFonts w:eastAsia="Calibri" w:cs="Times New Roman"/>
          <w:bCs/>
          <w:iCs/>
          <w:szCs w:val="24"/>
        </w:rPr>
        <w:instrText>ADDIN CSL_CITATION {"citationItems":[{"id":"ITEM-1","itemData":{"ISBN":"9781443881715","abstract":"Ethnic diversity and solidarity are often thought to be at odds with each other. In an increasingly diverse society, individuals find it more difficult to identify with other citizens and, therefore, are less willing to show solidarity. Empirical tests of the relationship between diversity and solidarity are, however, inconclusive. This book tests the hypothesis that diversity undermines solidarity in various ways. It discusses the meaning of social solidarity and the different motives that people can have to act solidary, and it examines the relationship between ethnic diversity and solidarity at the national, regional and local levels. These empirical tests use multiple methods, such as an international survey, a vignette study among the Dutch population, and a field experiment involving visitors to a popular market in Amsterdam. The role of the mass media is examined by studying the images of different ethnic groups that are presented in some popular newspapers, TV programmes and a news provider on the Internet. The collection concludes that, although ethnicity is certainly an important factor in understanding patterns of solidarity, there is not a simple linear relationship between ethnic diversity and solidarity. Even though ethnic difference in itself may be a source of discrimination, one cannot conclude from this that increasing ethnic diversity will necessarily result in less solidarity.","author":[{"dropping-particle":"De","family":"Beer","given":"Paul T","non-dropping-particle":"","parse-names":false,"suffix":""}],"container-title":"Ethnic Diversity and Solidarity: A Study of theit Complex Relationship","id":"ITEM-1","issue":"June 2017","issued":{"date-parts":[["2017"]]},"number-of-pages":"1-13","title":"Ethnic Diversity and Solidarity","type":"book"},"uris":["http://www.mendeley.com/documents/?uuid=160bbc9b-48c6-4a7f-b395-415ecf456ba4"]},{"id":"ITEM-2","itemData":{"DOI":"10.2307/525591","author":[{"dropping-particle":"","family":"Fratkin","given":"Elliot","non-dropping-particle":"","parse-names":false,"suffix":""}],"container-title":"African Studies Review","id":"ITEM-2","issued":{"date-parts":[["2001","12","1"]]},"page":"1","title":"East African Pastoralism in Transition: Maasai, Boran, and Rendille Cases","type":"article-journal","volume":"44"},"uris":["http://www.mendeley.com/documents/?uuid=e002b6dd-ac2c-4b2c-8fab-87b56d42a643"]}],"mendeley":{"formattedCitation":"(Beer, 2017; Fratkin, 2001)","plainTextFormattedCitation":"(Beer, 2017; Fratkin, 2001)","previouslyFormattedCitation":"(Beer, 2017; Fratkin, 2001)"},"properties":{"noteIndex":0},"schema":"https://github.com/citation-style-language/schema/raw/master/csl-citation.json"}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(Beer, 2017; Fratkin, 2001)</w:t>
      </w:r>
      <w:r>
        <w:rPr>
          <w:rFonts w:eastAsia="Calibri" w:cs="Times New Roman"/>
          <w:bCs/>
          <w:iCs/>
          <w:szCs w:val="24"/>
        </w:rPr>
        <w:fldChar w:fldCharType="end"/>
      </w:r>
      <w:r>
        <w:rPr>
          <w:rFonts w:eastAsia="Calibri" w:cs="Times New Roman"/>
          <w:bCs/>
          <w:iCs/>
          <w:szCs w:val="24"/>
        </w:rPr>
        <w:t xml:space="preserve">. But the common among them is the </w:t>
      </w:r>
      <w:proofErr w:type="spellStart"/>
      <w:r>
        <w:rPr>
          <w:rFonts w:eastAsia="Calibri" w:cs="Times New Roman"/>
          <w:bCs/>
          <w:iCs/>
          <w:szCs w:val="24"/>
        </w:rPr>
        <w:t>fulbe</w:t>
      </w:r>
      <w:proofErr w:type="spellEnd"/>
      <w:r>
        <w:rPr>
          <w:rFonts w:eastAsia="Calibri" w:cs="Times New Roman"/>
          <w:bCs/>
          <w:iCs/>
          <w:szCs w:val="24"/>
        </w:rPr>
        <w:t xml:space="preserve"> people. </w:t>
      </w:r>
      <w:r>
        <w:rPr>
          <w:rFonts w:cs="Times New Roman"/>
          <w:szCs w:val="24"/>
        </w:rPr>
        <w:t xml:space="preserve">Historically, </w:t>
      </w:r>
      <w:proofErr w:type="spellStart"/>
      <w:r>
        <w:rPr>
          <w:rFonts w:cs="Times New Roman"/>
          <w:szCs w:val="24"/>
        </w:rPr>
        <w:t>Fulbe</w:t>
      </w:r>
      <w:proofErr w:type="spellEnd"/>
      <w:r>
        <w:rPr>
          <w:rFonts w:cs="Times New Roman"/>
          <w:szCs w:val="24"/>
        </w:rPr>
        <w:t xml:space="preserve"> are thought to have originated in Senegambia and moved across West Africa and the Sahel, up to Western Sudan and the Central African Republic </w:t>
      </w:r>
      <w:r>
        <w:rPr>
          <w:rFonts w:cs="Times New Roman"/>
          <w:szCs w:val="24"/>
        </w:rPr>
        <w:fldChar w:fldCharType="begin" w:fldLock="1"/>
      </w:r>
      <w:r>
        <w:rPr>
          <w:rFonts w:cs="Times New Roman"/>
          <w:szCs w:val="24"/>
        </w:rPr>
        <w:instrText>ADDIN CSL_CITATION {"citationItems":[{"id":"ITEM-1","itemData":{"DOI":"10.4314/ijah.v8i4.12","ISSN":"2225-8590","abstract":"Recent history of Fulani migrants in Nigeria is inundated with pastoral nomadic violence exacerbated by the increase in the influx of migrating herders within the context of ecological history and Geopolitics. Drawing extensively from the ECOWAS protocol on free movement within the sub region, the Fulani pastoralist have unrestrained access to the nook and crannies of the Nigeria state with attendance violence in contest for scarce resources between local farmers and herders. This is occasioned by deepening environmental dynamics, climate change and climate induced constrictions, altering the age long concentric pattern of coexistence and cooperation to competition and conflict. This work seeks to interrogate this violent trend while trailing the pattern with the view to unraveling the cause of the conflict. The work takes a critical look at the subsisting ECOWAS protocol on free movement within the sub region of West Africa, and it consequences for sub-regional security amongst member states. Anchored on the political ecology perspective, the paper posits, the conflicts have been informed by the desperate struggle for competitive survival and subsistence in an environment characterized by ecological scarcity and livelihood insecurity and the unchallenged culture of arms bearing by the Fulani herders over the years. The work concludes that an urgent constitutional provision is necessary that will provide for private Ranching as a panacea to the perennial conflict between herders and local farmers in Nigeria.Key Words: Fulani Herders, Conflict, Migration, Local Farmers, Ecological Scarcity","author":[{"dropping-particle":"","family":"Idehen","given":"Roosevelt Osazenaye","non-dropping-particle":"","parse-names":false,"suffix":""},{"dropping-particle":"","family":"Ikuru","given":"Ubelejit Renner","non-dropping-particle":"","parse-names":false,"suffix":""}],"container-title":"AFRREV IJAH: An International Journal of Arts and Humanities","id":"ITEM-1","issue":"4","issued":{"date-parts":[["2019"]]},"page":"128-137","title":"Migration and the Emerging Security Challenges in West Africa: Case of Fulani Herders/Sedentary Farmers Conflicts in Nigeria","type":"article-journal","volume":"8"},"uris":["http://www.mendeley.com/documents/?uuid=e294da59-ee2d-4856-ad18-41c8fd8aca77"]}],"mendeley":{"formattedCitation":"(Idehen &amp; Ikuru, 2019)","plainTextFormattedCitation":"(Idehen &amp; Ikuru, 2019)","previouslyFormattedCitation":"(Idehen &amp; Ikuru, 2019)"},"properties":{"noteIndex":0},"schema":"https://github.com/citation-style-language/schema/raw/master/csl-citation.json"}</w:instrText>
      </w:r>
      <w:r>
        <w:rPr>
          <w:rFonts w:cs="Times New Roman"/>
          <w:szCs w:val="24"/>
        </w:rPr>
        <w:fldChar w:fldCharType="separate"/>
      </w:r>
      <w:r>
        <w:rPr>
          <w:rFonts w:cs="Times New Roman"/>
          <w:noProof/>
          <w:szCs w:val="24"/>
        </w:rPr>
        <w:t>(Idehen &amp; Ikuru, 2019)</w:t>
      </w:r>
      <w:r>
        <w:rPr>
          <w:rFonts w:cs="Times New Roman"/>
          <w:szCs w:val="24"/>
        </w:rPr>
        <w:fldChar w:fldCharType="end"/>
      </w:r>
      <w:r>
        <w:rPr>
          <w:rFonts w:cs="Times New Roman"/>
          <w:szCs w:val="24"/>
        </w:rPr>
        <w:t xml:space="preserve">. The </w:t>
      </w:r>
      <w:proofErr w:type="spellStart"/>
      <w:r>
        <w:rPr>
          <w:rFonts w:cs="Times New Roman"/>
          <w:szCs w:val="24"/>
        </w:rPr>
        <w:t>Fulbe</w:t>
      </w:r>
      <w:proofErr w:type="spellEnd"/>
      <w:r>
        <w:rPr>
          <w:rFonts w:cs="Times New Roman"/>
          <w:szCs w:val="24"/>
        </w:rPr>
        <w:t xml:space="preserve"> tribe's primary occupation has historically been raising livestock </w:t>
      </w:r>
      <w:r>
        <w:rPr>
          <w:rFonts w:cs="Times New Roman"/>
          <w:szCs w:val="24"/>
        </w:rPr>
        <w:fldChar w:fldCharType="begin" w:fldLock="1"/>
      </w:r>
      <w:r>
        <w:rPr>
          <w:rFonts w:cs="Times New Roman"/>
          <w:szCs w:val="24"/>
        </w:rPr>
        <w:instrText>ADDIN CSL_CITATION {"citationItems":[{"id":"ITEM-1","itemData":{"author":[{"dropping-particle":"","family":"Okoli","given":"Al Chukwuma","non-dropping-particle":"","parse-names":false,"suffix":""}],"container-title":"Journal of Humanities and Social Policy","id":"ITEM-1","issue":"1","issued":{"date-parts":[["2016"]]},"page":"22-30","title":"The Trajectories and Dynamics of Herdsmen Militancy in Central Nigeria","type":"article-journal","volume":"2"},"uris":["http://www.mendeley.com/documents/?uuid=0f19cb00-9c2e-45ec-83ec-948bd92d572a"]}],"mendeley":{"formattedCitation":"(Okoli, 2016)","plainTextFormattedCitation":"(Okoli, 2016)","previouslyFormattedCitation":"(Okoli, 2016)"},"properties":{"noteIndex":0},"schema":"https://github.com/citation-style-language/schema/raw/master/csl-citation.json"}</w:instrText>
      </w:r>
      <w:r>
        <w:rPr>
          <w:rFonts w:cs="Times New Roman"/>
          <w:szCs w:val="24"/>
        </w:rPr>
        <w:fldChar w:fldCharType="separate"/>
      </w:r>
      <w:r>
        <w:rPr>
          <w:rFonts w:cs="Times New Roman"/>
          <w:noProof/>
          <w:szCs w:val="24"/>
        </w:rPr>
        <w:t>(Okoli, 2016)</w:t>
      </w:r>
      <w:r>
        <w:rPr>
          <w:rFonts w:cs="Times New Roman"/>
          <w:szCs w:val="24"/>
        </w:rPr>
        <w:fldChar w:fldCharType="end"/>
      </w:r>
      <w:r>
        <w:rPr>
          <w:rFonts w:cs="Times New Roman"/>
          <w:szCs w:val="24"/>
        </w:rPr>
        <w:t xml:space="preserve">. </w:t>
      </w:r>
      <w:r>
        <w:rPr>
          <w:rFonts w:eastAsia="Calibri" w:cs="Times New Roman"/>
          <w:bCs/>
          <w:iCs/>
          <w:szCs w:val="24"/>
        </w:rPr>
        <w:t xml:space="preserve">Over thousands of years, pastoral nomads have evolved through a multistep system characterized by the adaptation of herding and animal husbandry to diverse environmental conditions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Herbert","given":"Siân","non-dropping-particle":"","parse-names":false,"suffix":""},{"dropping-particle":"","family":"Birch","given":"Izzy","non-dropping-particle":"","parse-names":false,"suffix":""}],"id":"ITEM-1","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Birmingham.","type":"article-journal"},"uris":["http://www.mendeley.com/documents/?uuid=1a598de7-0b9a-40ad-ad96-afe5a753c43a"]}],"mendeley":{"formattedCitation":"(Herbert &amp; Birch, 2022)","plainTextFormattedCitation":"(Herbert &amp; Birch, 2022)","previouslyFormattedCitation":"(Herbert &amp; Birch, 2022)"},"properties":{"noteIndex":0},"schema":"https://github.com/citation-style-language/schema/raw/master/csl-citation.json"}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(Herbert &amp; Birch, 2022)</w:t>
      </w:r>
      <w:r>
        <w:rPr>
          <w:rFonts w:eastAsia="Calibri" w:cs="Times New Roman"/>
          <w:bCs/>
          <w:iCs/>
          <w:szCs w:val="24"/>
        </w:rPr>
        <w:fldChar w:fldCharType="end"/>
      </w:r>
      <w:r>
        <w:rPr>
          <w:rFonts w:eastAsia="Calibri" w:cs="Times New Roman"/>
          <w:bCs/>
          <w:iCs/>
          <w:szCs w:val="24"/>
        </w:rPr>
        <w:t xml:space="preserve">. Pastoralists production is solely dependent on mobility in order to ensure accurate and reliable access to pasture and water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{"citationItems":[{"id":"ITEM-1","itemData":{"author":[{"dropping-particle":"","family":"FAO","given":"","non-dropping-particle":"","parse-names":false,"suffix":""}],"id":"ITEM-1","issue":"February 2016","issued":{"date-parts":[["2020"]]},"title":"IFAD / FAO Engagement in Pastoral Development ( 2003-2013 ). Joint Evaluation Synthesis Office of Evaluation Independent Office of Evaluation FAO ' s and IFAD ' s Engagement in Pastoral Development J O I N T E VA LUAT I O N SY N T H E S I S","type":"article-journal"},"uris":["http://www.mendeley.com/documents/?uuid=464c9317-2cac-4106-958a-96b3f1c2f0e1"]}],"mendeley":{"formattedCitation":"(FAO, 2020)","plainTextFormattedCitation":"(FAO, 2020)","previouslyFormattedCitation":"(FAO,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(FAO, 2020)</w:t>
      </w:r>
      <w:r>
        <w:rPr>
          <w:rFonts w:eastAsia="Calibri" w:cs="Times New Roman"/>
          <w:bCs/>
          <w:iCs/>
          <w:szCs w:val="24"/>
        </w:rPr>
        <w:fldChar w:fldCharType="end"/>
      </w:r>
      <w:r>
        <w:rPr>
          <w:rFonts w:eastAsia="Calibri" w:cs="Times New Roman"/>
          <w:bCs/>
          <w:iCs/>
          <w:szCs w:val="24"/>
        </w:rPr>
        <w:t xml:space="preserve">. Pastoralists mobility is mainly influenced by the availability and quality of water and food for the animals </w:t>
      </w:r>
      <w:r>
        <w:rPr>
          <w:rFonts w:eastAsia="Calibri" w:cs="Times New Roman"/>
          <w:bCs/>
          <w:iCs/>
          <w:szCs w:val="24"/>
        </w:rPr>
        <w:lastRenderedPageBreak/>
        <w:t xml:space="preserve">to depend on, driven by the spatial and time-based variability of pastoralists mobility patterns across landscapes </w:t>
      </w:r>
      <w:r>
        <w:rPr>
          <w:rFonts w:eastAsia="Calibri" w:cs="Times New Roman"/>
          <w:bCs/>
          <w:iCs/>
          <w:szCs w:val="24"/>
        </w:rPr>
        <w:fldChar w:fldCharType="begin" w:fldLock="1"/>
      </w:r>
      <w:r>
        <w:rPr>
          <w:rFonts w:eastAsia="Calibri" w:cs="Times New Roman"/>
          <w:bCs/>
          <w:iCs/>
          <w:szCs w:val="24"/>
        </w:rPr>
        <w:instrText>ADDIN CSL_CITATION {"citationItems":[{"id":"ITEM-1","itemData":{"DOI":"10.1186/s13570-021-00203-7","ISSN":"20417136","abstract":"As the “new rangeland paradigm” took shape in the 1990s, climatic variability in pastoral ecosystems was often discussed as “uncertainty”, and the essential mobility of pastoral systems was argued to be possible only with flexible land access rights. These context-specific principles have increasingly been globalized in analyses of diverse pastoral systems. While new understandings of the role of uncertainty and flexibility in pastoral systems have been unquestionably beneficial for particular contexts, uncertainty has been problematically embraced as intrinsically central to pastoral systems. This paper combines a critical review of the literature and field work in Tajikistan’s Rasht Valley to bring into clear relief differences between variability and uncertainty, on the one hand, and mobility and flexibility, on the other. This allows us to see that livestock mobility is a strategy to cope with environmental variability in all pastoral contexts. Flexibility, however, is a strategy to cope with environmental uncertainty that is only present in a subset of pastoral contexts. Importantly, flexibility is not a required precondition for mobility. These realizations carry important implications for governance in pastoral settings. Due to the many challenges of building flexibility into property systems, pastoral land governance should be developed by looking for predictability, and efforts to maintain flexibility should be judicious and empirically well-justified.","author":[{"dropping-particle":"","family":"Gillin","given":"Kramer","non-dropping-particle":"","parse-names":false,"suffix":""}],"container-title":"Pastoralism","id":"ITEM-1","issue":"1","issued":{"date-parts":[["2021"]]},"publisher":"Pastoralism","title":"Variability is not uncertainty; mobility is not flexibility: Clarifying concepts in pastoralism studies with evidence from Tajikistan","type":"article-journal","volume":"11"},"uris":["http://www.mendeley.com/documents/?uuid=b414634f-d6e2-4e38-b0a7-bcdfba93acd4"]}],"mendeley":{"formattedCitation":"(Gillin, 2021)","plainTextFormattedCitation":"(Gillin, 2021)","previouslyFormattedCitation":"(Gillin,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(Gillin, 2021)</w:t>
      </w:r>
      <w:r>
        <w:rPr>
          <w:rFonts w:eastAsia="Calibri" w:cs="Times New Roman"/>
          <w:bCs/>
          <w:iCs/>
          <w:szCs w:val="24"/>
        </w:rPr>
        <w:fldChar w:fldCharType="end"/>
      </w:r>
      <w:r>
        <w:rPr>
          <w:rFonts w:eastAsia="Calibri" w:cs="Times New Roman"/>
          <w:bCs/>
          <w:iCs/>
          <w:szCs w:val="24"/>
        </w:rPr>
        <w:t xml:space="preserve">. Patterns of movement differ in line with context, type of animal, period, as well as decisions made by the head of the family. This can also change, mainly due to an increase in struggles over pasture land, demographics, economic pressure imposed by policymakers and environmental factors </w:t>
      </w:r>
      <w:r>
        <w:rPr>
          <w:rFonts w:eastAsia="Calibri" w:cs="Times New Roman"/>
          <w:bCs/>
          <w:iCs/>
          <w:szCs w:val="24"/>
        </w:rPr>
        <w:fldChar w:fldCharType="begin" w:fldLock="1"/>
      </w:r>
      <w:r>
        <w:rPr>
          <w:rFonts w:eastAsia="Calibri" w:cs="Times New Roman"/>
          <w:bCs/>
          <w:iCs/>
          <w:szCs w:val="24"/>
        </w:rPr>
        <w:instrText>ADDIN CSL_CITATION {"citationItems":[{"id":"ITEM-1","itemData":{"DOI":"10.1186/s40462-020-0197-x","ISSN":"20513933","abstract":"Animal movement comes in a variety of 'types' including small foraging movements, larger one-way dispersive movements, seasonally-predictable round-trip migratory movements, and erratic nomadic movements. Although most individuals move at some point throughout their lives, movement patterns can vary widely across individuals within the same species: differing within an individual over time (intra-individual), among individuals in the same population (inter-individual), or among populations (inter-population). Yet, studies of movement (theoretical and empirical alike) more often focus on understanding 'typical' movement patterns than understanding variation in movement. Here, I synthesize current knowledge of movement variation (drawing parallels across species and movement types), describing the causes (what factors contribute to individual variation), patterns (what movement variation looks like), consequences (why variation matters), maintenance (why variation persists), implications (for management and conservation), and finally gaps (what pieces we are currently missing). By synthesizing across scales of variation, I span across work on plasticity, personality, and geographic variation. Individual movement can be driven by factors that act at the individual, population, community and ecosystem level and have ramifications at each of these levels. Generally the consequences of movement are less well understood than the causes, in part because the effects of movement variation are often nested, with variation manifesting at the population level, which in turn affects communities and ecosystems. Understanding both cause and consequence is particularly important for predicting when variation begets variation in a positive feedback loop, versus when a negative feedback causes variation to be dampened successively. Finally, maintaining standing variation in movement may be important for facilitating species' ability to respond to future environmental change.","author":[{"dropping-particle":"","family":"Shaw","given":"Allison K.","non-dropping-particle":"","parse-names":false,"suffix":""}],"container-title":"Movement Ecology","id":"ITEM-1","issue":"1","issued":{"date-parts":[["2020"]]},"page":"1-12","publisher":"Movement Ecology","title":"Causes and consequences of individual variation in animal movement","type":"article-journal","volume":"8"},"uris":["http://www.mendeley.com/documents/?uuid=36fb8947-3edc-43e8-be15-e5be3af73c35"]}],"mendeley":{"formattedCitation":"(Shaw, 2020)","plainTextFormattedCitation":"(Shaw, 2020)","previouslyFormattedCitation":"(Shaw,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(Shaw, 2020)</w:t>
      </w:r>
      <w:r>
        <w:rPr>
          <w:rFonts w:eastAsia="Calibri" w:cs="Times New Roman"/>
          <w:bCs/>
          <w:iCs/>
          <w:szCs w:val="24"/>
        </w:rPr>
        <w:fldChar w:fldCharType="end"/>
      </w:r>
      <w:r>
        <w:rPr>
          <w:rFonts w:eastAsia="Calibri" w:cs="Times New Roman"/>
          <w:bCs/>
          <w:iCs/>
          <w:szCs w:val="24"/>
        </w:rPr>
        <w:t xml:space="preserve">. Pastoralists weigh the trade-offs between fodder and water availability, time and energy required for movement, and feeding time when determining distance and route </w:t>
      </w:r>
      <w:r>
        <w:rPr>
          <w:rFonts w:eastAsia="Calibri" w:cs="Times New Roman"/>
          <w:bCs/>
          <w:iCs/>
          <w:szCs w:val="24"/>
        </w:rPr>
        <w:fldChar w:fldCharType="begin" w:fldLock="1"/>
      </w:r>
      <w:r>
        <w:rPr>
          <w:rFonts w:eastAsia="Calibri" w:cs="Times New Roman"/>
          <w:bCs/>
          <w:iCs/>
          <w:szCs w:val="24"/>
        </w:rPr>
        <w:instrText>ADDIN CSL_CITATION {"citationItems":[{"id":"ITEM-1","itemData":{"DOI":"10.1186/s13570-019-0150-z","ISSN":"20417136","abstract":"Livestock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-1","issue":"1","issued":{"date-parts":[["2019"]]},"publisher":"Pastoralism","title":"Livestock mobility in sub-Saharan Africa: A critical review","type":"article-journal","volume":"9"},"uris":["http://www.mendeley.com/documents/?uuid=3bc8f263-23c8-4179-97af-ffc3d9bfb212"]}],"mendeley":{"formattedCitation":"(Turner &amp; Schlecht, 2019)","plainTextFormattedCitation":"(Turner &amp; Schlecht, 2019)","previouslyFormattedCitation":"(Turner &amp; Schlecht,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(Turner &amp; Schlecht, 2019)</w:t>
      </w:r>
      <w:r>
        <w:rPr>
          <w:rFonts w:eastAsia="Calibri" w:cs="Times New Roman"/>
          <w:bCs/>
          <w:iCs/>
          <w:szCs w:val="24"/>
        </w:rPr>
        <w:fldChar w:fldCharType="end"/>
      </w:r>
      <w:r>
        <w:rPr>
          <w:rFonts w:eastAsia="Calibri" w:cs="Times New Roman"/>
          <w:bCs/>
          <w:iCs/>
          <w:szCs w:val="24"/>
        </w:rPr>
        <w:t xml:space="preserve">. The movement of pastoralists has become longer and more dispersed over the past thirty (30) years </w:t>
      </w:r>
      <w:r>
        <w:rPr>
          <w:rFonts w:eastAsia="Calibri" w:cs="Times New Roman"/>
          <w:bCs/>
          <w:iCs/>
          <w:szCs w:val="24"/>
        </w:rPr>
        <w:fldChar w:fldCharType="begin" w:fldLock="1"/>
      </w:r>
      <w:r>
        <w:rPr>
          <w:rFonts w:eastAsia="Calibri" w:cs="Times New Roman"/>
          <w:bCs/>
          <w:iCs/>
          <w:szCs w:val="24"/>
        </w:rPr>
        <w:instrText>ADDIN CSL_CITATION {"citationItems":[{"id":"ITEM-1","itemData":{"DOI":"10.2139/ssrn.3753152","abstract":"Predicting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cGuirk","given":"Eoin","non-dropping-particle":"","parse-names":false,"suffix":""},{"dropping-particle":"","family":"Nunn","given":"Nathan","non-dropping-particle":"","parse-names":false,"suffix":""}],"container-title":"SSRN Electronic Journal","id":"ITEM-1","issued":{"date-parts":[["2021"]]},"title":"Transhumant Pastoralism, Climate Change, and Conflict in Africa","type":"article-journal"},"uris":["http://www.mendeley.com/documents/?uuid=82f71da2-1ebd-4f23-b596-029efa9a2a23"]}],"mendeley":{"formattedCitation":"(McGuirk &amp; Nunn, 2021)","plainTextFormattedCitation":"(McGuirk &amp; Nunn, 2021)","previouslyFormattedCitation":"(McGuirk &amp; Nunn,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(McGuirk &amp; Nunn, 2021)</w:t>
      </w:r>
      <w:r>
        <w:rPr>
          <w:rFonts w:eastAsia="Calibri" w:cs="Times New Roman"/>
          <w:bCs/>
          <w:iCs/>
          <w:szCs w:val="24"/>
        </w:rPr>
        <w:fldChar w:fldCharType="end"/>
      </w:r>
      <w:r>
        <w:rPr>
          <w:rFonts w:eastAsia="Calibri" w:cs="Times New Roman"/>
          <w:bCs/>
          <w:iCs/>
          <w:szCs w:val="24"/>
        </w:rPr>
        <w:t>.</w:t>
      </w:r>
    </w:p>
    <w:p w:rsidR="00E53882" w:rsidRDefault="00B16FF7">
      <w:pPr>
        <w:tabs>
          <w:tab w:val="left" w:pos="3600"/>
        </w:tabs>
        <w:spacing w:line="480" w:lineRule="auto"/>
        <w:rPr>
          <w:rFonts w:eastAsia="Calibri" w:cs="Times New Roman"/>
          <w:bCs/>
          <w:iCs/>
          <w:szCs w:val="24"/>
        </w:rPr>
      </w:pPr>
      <w:r>
        <w:rPr>
          <w:rFonts w:eastAsia="Calibri" w:cs="Times New Roman"/>
          <w:bCs/>
          <w:iCs/>
          <w:szCs w:val="24"/>
        </w:rPr>
        <w:t xml:space="preserve">In West Africa, mobile pastoralists are heavily affected by climate change and other social issues, forcing them to move in search of better grazing places for their animals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Herbert","given":"Siân","non-dropping-particle":"","parse-names":false,"suffix":""},{"dropping-particle":"","family":"Birch","given":"Izzy","non-dropping-particle":"","parse-names":false,"suffix":""}],"id":"ITEM-1","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Birmingham.","type":"article-journal"},"uris":["http://www.mendeley.com/documents/?uuid=1a598de7-0b9a-40ad-ad96-afe5a753c43a"]},{"id":"ITEM-2","itemData":{"DOI":"10.2139/ssrn.3753152","abstract":"Predicting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McGuirk","given":"Eoin","non-dropping-particle":"","parse-names":false,"suffix":""},{"dropping-particle":"","family":"Nunn","given":"Nathan","non-dropping-particle":"","parse-names":false,"suffix":""}],"container-title":"SSRN Electronic Journal","id":"ITEM-2","issued":{"date-parts":[["2021"]]},"title":"Transhumant Pastoralism, Climate Change, and Conflict in Africa","type":"article-journal"},"uris":["http://www.mendeley.com/documents/?uuid=82f71da2-1ebd-4f23-b596-029efa9a2a23"]}],"mendeley":{"formattedCitation":"(Herbert &amp; Birch, 2022; McGuirk &amp; Nunn, 2021)","plainTextFormattedCitation":"(Herbert &amp; Birch, 2022; McGuirk &amp; Nunn, 2021)","previouslyFormattedCitation":"(Herbert &amp; Birch, 2022; McGuirk &amp; Nunn,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(Herbert &amp; Birch, 2022; McGuirk &amp; Nunn, 2021)</w:t>
      </w:r>
      <w:r>
        <w:rPr>
          <w:rFonts w:eastAsia="Calibri" w:cs="Times New Roman"/>
          <w:bCs/>
          <w:iCs/>
          <w:szCs w:val="24"/>
        </w:rPr>
        <w:fldChar w:fldCharType="end"/>
      </w:r>
      <w:r>
        <w:rPr>
          <w:rFonts w:eastAsia="Calibri" w:cs="Times New Roman"/>
          <w:bCs/>
          <w:iCs/>
          <w:szCs w:val="24"/>
        </w:rPr>
        <w:t xml:space="preserve">. Erratic changes in climate contribute to the rise in the severity and frequency of hazards caused by nature; irregular rainfall patterns, high temperatures, and changing land cover all affect natural resources that are needed to support livestock production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{"citationItems":[{"id":"ITEM-1","itemData":{"DOI":"10.1016/j.gfs.2020.100488","ISSN":"22119124","abstract":"The potential impacts of climate change on current livestock systems worldwide is a major concern, and yet the topic is covered to a limited extent in global reports such as the ones produced by the Intergovernmental Panel on Climate Change. In this article, we review the risk of climate-related impacts along the land-based livestock food supply chain. Although a quantification of the net impacts of climate change on the livestock sector is beyond the reach of our current understanding, there is strong evidence that there will be impacts throughout the supply chain, from farm production to processing operations, storage, transport, retailing and human consumption. The risks of climate-related impacts are highly context-specific but expected to be higher in environments that are already hot and have limited socio-economic and institutional resources for adaptation. Large uncertainties remain as to climate futures and the exposure and responses of the interlinked human and natural systems to climatic changes over time. Consequently, adaptation choices will need to account for a wide range of possible futures, including those with low probability but large consequences.","author":[{"dropping-particle":"","family":"Godde","given":"C. M.","non-dropping-particle":"","parse-names":false,"suffix":""},{"dropping-particle":"","family":"Mason-D'Croz","given":"D.","non-dropping-particle":"","parse-names":false,"suffix":""},{"dropping-particle":"","family":"Mayberry","given":"D. E.","non-dropping-particle":"","parse-names":false,"suffix":""},{"dropping-particle":"","family":"Thornton","given":"P. K.","non-dropping-particle":"","parse-names":false,"suffix":""},{"dropping-particle":"","family":"Herrero","given":"M.","non-dropping-particle":"","parse-names":false,"suffix":""}],"container-title":"Global Food Security","id":"ITEM-1","issue":"October 2020","issued":{"date-parts":[["2021"]]},"page":"100488","publisher":"Elsevier B.V.","title":"Impacts of climate change on the livestock food supply chain; a review of the evidence","type":"article-journal","volume":"28"},"uris":["http://www.mendeley.com/documents/?uuid=8a20e546-ec08-42d0-88d6-f88e8a5297ff"]}],"mendeley":{"formattedCitation":"(Godde et al., 2021)","plainTextFormattedCitation":"(Godde et al., 2021)","previouslyFormattedCitation":"(Godde et al.,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(Godde et al., 2021)</w:t>
      </w:r>
      <w:r>
        <w:rPr>
          <w:rFonts w:eastAsia="Calibri" w:cs="Times New Roman"/>
          <w:bCs/>
          <w:iCs/>
          <w:szCs w:val="24"/>
        </w:rPr>
        <w:fldChar w:fldCharType="end"/>
      </w:r>
      <w:r>
        <w:rPr>
          <w:rFonts w:eastAsia="Calibri" w:cs="Times New Roman"/>
          <w:bCs/>
          <w:iCs/>
          <w:szCs w:val="24"/>
        </w:rPr>
        <w:t xml:space="preserve">. The area's drought incline and solitary periods of rainfall shape the distribution of feeding resources and explain the region’s historical cross-border mobility </w:t>
      </w:r>
      <w:r>
        <w:rPr>
          <w:rFonts w:eastAsia="Calibri" w:cs="Times New Roman"/>
          <w:bCs/>
          <w:iCs/>
          <w:szCs w:val="24"/>
        </w:rPr>
        <w:fldChar w:fldCharType="begin" w:fldLock="1"/>
      </w:r>
      <w:r w:rsidR="00900D2E">
        <w:rPr>
          <w:rFonts w:eastAsia="Calibri" w:cs="Times New Roman"/>
          <w:bCs/>
          <w:iCs/>
          <w:szCs w:val="24"/>
        </w:rPr>
        <w:instrText>ADDIN CSL_CITATION {"citationItems":[{"id":"ITEM-1","itemData":{"abstract":"An overview of the linkages between pastoralism and conflict, using a sustainable livelihoods conflict analysis. The paper describes the tensions and threats currently felt by pastoral communities, the ways in which such tensions hold the potential for violent conflict, and the means through which the conflicts can be mitigated and prevented.","author":[{"dropping-particle":"","family":"Nori","given":"M","non-dropping-particle":"","parse-names":false,"suffix":""},{"dropping-particle":"","family":"Switzer","given":"J","non-dropping-particle":"","parse-names":false,"suffix":""},{"dropping-particle":"","family":"Crawford","given":"A","non-dropping-particle":"","parse-names":false,"suffix":""}],"container-title":"An Occasional Working Paper from the IUCN Commission on Environmental, Economic and Social Policy","id":"ITEM-1","issued":{"date-parts":[["2005"]]},"page":"33","title":"Herding on the brink: Towards a global survey of pastoral communities and conflict","type":"article-journal"},"uris":["http://www.mendeley.com/documents/?uuid=ac6912b7-a16c-4822-9329-2d05336b80e3"]},{"id":"ITEM-2","itemData":{"DOI":"10.1186/s13570-019-0150-z","ISSN":"20417136","abstract":"Livestock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-2","issue":"1","issued":{"date-parts":[["2019"]]},"publisher":"Pastoralism","title":"Livestock mobility in sub-Saharan Africa: A critical review","type":"article-journal","volume":"9"},"uris":["http://www.mendeley.com/documents/?uuid=3bc8f263-23c8-4179-97af-ffc3d9bfb212"]}],"mendeley":{"formattedCitation":"(Nori et al., 2005; Turner &amp; Schlecht, 2019)","plainTextFormattedCitation":"(Nori et al., 2005; Turner &amp; Schlecht, 2019)","previouslyFormattedCitation":"(Nori et al., 2005; Turner &amp; Schlecht,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(Nori et al., 2005; Turner &amp; Schlecht, 2019)</w:t>
      </w:r>
      <w:r>
        <w:rPr>
          <w:rFonts w:eastAsia="Calibri" w:cs="Times New Roman"/>
          <w:bCs/>
          <w:iCs/>
          <w:szCs w:val="24"/>
        </w:rPr>
        <w:fldChar w:fldCharType="end"/>
      </w:r>
      <w:r>
        <w:rPr>
          <w:rFonts w:eastAsia="Calibri" w:cs="Times New Roman"/>
          <w:bCs/>
          <w:iCs/>
          <w:szCs w:val="24"/>
        </w:rPr>
        <w:t xml:space="preserve">. This explains the reason behind pastoralists' dependence on herding. This form of practice ensures access to fodder and pasture sustainability for the livestock, which is essential for their wellbeing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Herbert","given":"Siân","non-dropping-particle":"","parse-names":false,"suffix":""},{"dropping-particle":"","family":"Birch","given":"Izzy","non-dropping-particle":"","parse-names":false,"suffix":""}],"id":"ITEM-1","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Birmingham.","type":"article-journal"},"uris":["http://www.mendeley.com/documents/?uuid=1a598de7-0b9a-40ad-ad96-afe5a753c43a"]},{"id":"ITEM-2","itemData":{"DOI":"10.1186/s13570-019-0150-z","ISSN":"20417136","abstract":"Livestock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-2","issue":"1","issued":{"date-parts":[["2019"]]},"publisher":"Pastoralism","title":"Livestock mobility in sub-Saharan Africa: A critical review","type":"article-journal","volume":"9"},"uris":["http://www.mendeley.com/documents/?uuid=3bc8f263-23c8-4179-97af-ffc3d9bfb212"]}],"mendeley":{"formattedCitation":"(Herbert &amp; Birch, 2022; Turner &amp; Schlecht, 2019)","plainTextFormattedCitation":"(Herbert &amp; Birch, 2022; Turner &amp; Schlecht, 2019)","previouslyFormattedCitation":"(Herbert &amp; Birch, 2022; Turner &amp; Schlecht,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(Herbert &amp; Birch, 2022; Turner &amp; Schlecht, 2019)</w:t>
      </w:r>
      <w:r>
        <w:rPr>
          <w:rFonts w:eastAsia="Calibri" w:cs="Times New Roman"/>
          <w:bCs/>
          <w:iCs/>
          <w:szCs w:val="24"/>
        </w:rPr>
        <w:fldChar w:fldCharType="end"/>
      </w:r>
      <w:r>
        <w:rPr>
          <w:rFonts w:eastAsia="Calibri" w:cs="Times New Roman"/>
          <w:bCs/>
          <w:iCs/>
          <w:szCs w:val="24"/>
        </w:rPr>
        <w:t xml:space="preserve">. The strength of pastoralists’ animals depends on the availability of food and water. Therefore, their activities involve the use of resources in places with high and seasonal rainfall, ecological, and nutritional availability </w:t>
      </w:r>
      <w:r>
        <w:rPr>
          <w:rFonts w:eastAsia="Calibri" w:cs="Times New Roman"/>
          <w:bCs/>
          <w:iCs/>
          <w:szCs w:val="24"/>
        </w:rPr>
        <w:fldChar w:fldCharType="begin" w:fldLock="1"/>
      </w:r>
      <w:r>
        <w:rPr>
          <w:rFonts w:eastAsia="Calibri" w:cs="Times New Roman"/>
          <w:bCs/>
          <w:iCs/>
          <w:szCs w:val="24"/>
        </w:rPr>
        <w:instrText>ADDIN CSL_CITATION {"citationItems":[{"id":"ITEM-1","itemData":{"DOI":"10.3389/fsufs.2020.543403","ISSN":"2571581X","abstract":"The industrialization of agriculture based on inexpensive fossil fuels allowed for unprecedented levels of food production and population growth, but simultaneously contributed to a threat to food systems and population well-being: climate change. This paper analyses the impacts and adaptations available to the world's pastoral production systems including potential mitigation and adaptation strategies. The current food system is under pressure to satisfy the needs of the increasing population with already limited natural resources particularly land and water, and now increasingly under pressure due to climate change. Increasing incomes from greater number of people have increased demand for animal source foods. As a result, domestic livestock numbers are rising, particularly in low-income countries with greater dependence on pasture for animal feed. The carrying capacity of pastured land is limited; therefore, increasing animal numbers may cause environmental degradation and loss of productivity from pastoral industries. In some countries, the increasing demand has prompted some to burn forestlands and convert them into crop production, and after the land is degraded into pasture mainly for raising large ruminants. Changes in atmospheric carbon dioxide levels and ambient temperatures are predicted to make a number of changes to the growth of herbage for animals. Several strategies can be implemented to optimize the pasture-based food system, including choosing the right breed, improving reproductive efficiency, improving grazing management, and maintaining an animal feed base. The global challenge is to meet our food production needs while sustaining our environment. Producers in all income categories have a role to play in adapting to these challenges.","author":[{"dropping-particle":"","family":"Uddin","given":"Md E.","non-dropping-particle":"","parse-names":false,"suffix":""},{"dropping-particle":"","family":"Kebreab","given":"Ermias","non-dropping-particle":"","parse-names":false,"suffix":""}],"container-title":"Frontiers in Sustainable Food Systems","id":"ITEM-1","issue":"October","issued":{"date-parts":[["2020"]]},"page":"1-13","title":"Review: Impact of Food and Climate Change on Pastoral Industries","type":"article-journal","volume":"4"},"uris":["http://www.mendeley.com/documents/?uuid=005ac4bb-e148-46f6-8250-aa571af324ab"]}],"mendeley":{"formattedCitation":"(Uddin &amp; Kebreab, 2020)","plainTextFormattedCitation":"(Uddin &amp; Kebreab, 2020)","previouslyFormattedCitation":"(Uddin &amp; Kebreab,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(Uddin &amp; Kebreab, 2020)</w:t>
      </w:r>
      <w:r>
        <w:rPr>
          <w:rFonts w:eastAsia="Calibri" w:cs="Times New Roman"/>
          <w:bCs/>
          <w:iCs/>
          <w:szCs w:val="24"/>
        </w:rPr>
        <w:fldChar w:fldCharType="end"/>
      </w:r>
      <w:r>
        <w:rPr>
          <w:rFonts w:eastAsia="Calibri" w:cs="Times New Roman"/>
          <w:bCs/>
          <w:iCs/>
          <w:szCs w:val="24"/>
        </w:rPr>
        <w:t xml:space="preserve">. Generally, this landscape cannot be found in areas where most of these pastoralists reside and necessitates </w:t>
      </w:r>
      <w:r>
        <w:rPr>
          <w:rFonts w:eastAsia="Calibri" w:cs="Times New Roman"/>
          <w:bCs/>
          <w:iCs/>
          <w:szCs w:val="24"/>
        </w:rPr>
        <w:lastRenderedPageBreak/>
        <w:t xml:space="preserve">cross-border movement </w:t>
      </w:r>
      <w:r>
        <w:rPr>
          <w:rFonts w:eastAsia="Calibri" w:cs="Times New Roman"/>
          <w:bCs/>
          <w:iCs/>
          <w:szCs w:val="24"/>
        </w:rPr>
        <w:fldChar w:fldCharType="begin" w:fldLock="1"/>
      </w:r>
      <w:r>
        <w:rPr>
          <w:rFonts w:eastAsia="Calibri" w:cs="Times New Roman"/>
          <w:bCs/>
          <w:iCs/>
          <w:szCs w:val="24"/>
        </w:rPr>
        <w:instrText>ADDIN CSL_CITATION {"citationItems":[{"id":"ITEM-1","itemData":{"abstract":"The findings and recommendations in this Toolkit were identified based on a meta-review of program evaluations and scholarly research in French and English, supplemented by a series of key informant interviews with program implementers. The Toolkit was validated through review by an Advisory Council of external civil society practitioners and researchers as well as practitioners from Search for Common Ground’s field offices across the Sudano-Sahel (Burkina Faso, Central African Republic, Democratic Republic of the Congo, Mali, Nigeria, Niger, South Sudan, Sudan). This analysis primarily focused on pastoralism- related development or conflict prevention programs conducted in the past ten years (2010-2020) in major conflict zones within the Sudano-Sahel ecological zone. The geographic focus included: (i) the Liptako-Gourma triangle at the intersection of Mali, Niger, and Burkina Faso; (ii) Nigeria and the Lake Chad Basin; (iii) the Central African Republic and surrounding border regions; and (iv) the Sudan/South Sudan border region. Where relevant, lessons learned have also been included from other regions where pastoralism is common – including sub-humid areas of West Africa (Benin, Togo, Ivory Coast) and East Africa (Kenya, Uganda).","author":[{"dropping-particle":"","family":"Jobbins","given":"Mike","non-dropping-particle":"","parse-names":false,"suffix":""},{"dropping-particle":"","family":"McDonnell","given":"Andrew","non-dropping-particle":"","parse-names":false,"suffix":""}],"id":"ITEM-1","issued":{"date-parts":[["2021"]]},"title":"Pastoralism and Conflict: Tools for Preventsion and Response in the Sudano-Sahel","type":"article-journal"},"uris":["http://www.mendeley.com/documents/?uuid=cfcc7260-19d5-4d35-8ec2-19f7204b665f"]}],"mendeley":{"formattedCitation":"(Jobbins &amp; McDonnell, 2021)","plainTextFormattedCitation":"(Jobbins &amp; McDonnell, 2021)","previouslyFormattedCitation":"(Jobbins &amp; McDonnell,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(Jobbins &amp; McDonnell, 2021)</w:t>
      </w:r>
      <w:r>
        <w:rPr>
          <w:rFonts w:eastAsia="Calibri" w:cs="Times New Roman"/>
          <w:bCs/>
          <w:iCs/>
          <w:szCs w:val="24"/>
        </w:rPr>
        <w:fldChar w:fldCharType="end"/>
      </w:r>
      <w:r>
        <w:rPr>
          <w:rFonts w:eastAsia="Calibri" w:cs="Times New Roman"/>
          <w:bCs/>
          <w:iCs/>
          <w:szCs w:val="24"/>
        </w:rPr>
        <w:t xml:space="preserve">. The major drivers of pastoralist’s mobility continue to be water and pasture, though there are other cultural and socioeconomic factors. Besides, the borders are insecure and porous. This condition increases the need for mobility in order to improve the survival of the animals as well as the pastoralist's well-being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{"citationItems":[{"id":"ITEM-1","itemData":{"author":[{"dropping-particle":"","family":"USAID","given":"","non-dropping-particle":"","parse-names":false,"suffix":""}],"container-title":"Feed the future","id":"ITEM-1","issued":{"date-parts":[["2016"]]},"title":"USAID East Africa Resilience Learning Project RESILIENCE AND RISK IN PASTORALIST AREAS : RECENT TRENDS IN DIVERSIFIED","type":"article-journal"},"uris":["http://www.mendeley.com/documents/?uuid=3186b9ae-b742-4b8c-a4af-2e68f8147597"]}],"mendeley":{"formattedCitation":"(USAID, 2016)","plainTextFormattedCitation":"(USAID, 2016)","previouslyFormattedCitation":"(USAID, 2016)"},"properties":{"noteIndex":0},"schema":"https://github.com/citation-style-language/schema/raw/master/csl-citation.json"}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(USAID, 2016)</w:t>
      </w:r>
      <w:r>
        <w:rPr>
          <w:rFonts w:eastAsia="Calibri" w:cs="Times New Roman"/>
          <w:bCs/>
          <w:iCs/>
          <w:szCs w:val="24"/>
        </w:rPr>
        <w:fldChar w:fldCharType="end"/>
      </w:r>
      <w:r>
        <w:rPr>
          <w:rFonts w:eastAsia="Calibri" w:cs="Times New Roman"/>
          <w:bCs/>
          <w:iCs/>
          <w:szCs w:val="24"/>
        </w:rPr>
        <w:t>.</w:t>
      </w:r>
    </w:p>
    <w:p w:rsidR="00E53882" w:rsidRDefault="00B16FF7">
      <w:pPr>
        <w:tabs>
          <w:tab w:val="left" w:pos="3600"/>
        </w:tabs>
        <w:spacing w:line="480" w:lineRule="auto"/>
        <w:rPr>
          <w:rFonts w:eastAsia="Calibri" w:cs="Times New Roman"/>
          <w:bCs/>
          <w:iCs/>
          <w:szCs w:val="24"/>
        </w:rPr>
      </w:pPr>
      <w:r>
        <w:rPr>
          <w:rFonts w:eastAsia="Calibri" w:cs="Times New Roman"/>
          <w:bCs/>
          <w:iCs/>
          <w:szCs w:val="24"/>
        </w:rPr>
        <w:t xml:space="preserve">Pastoralists cross the border into Ghana throughout the year in search of food and water for their animals, especially during the dry season. Their decision to move draws from various pieces of information, including past experiences, networks, traditional governance systems, and national design routes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{"citationItems":[{"id":"ITEM-1","itemData":{"DOI":"10.3390/su9112063","ISSN":"20711050","abstract":"In the Global South, there is a push to drive agricultural modernisation processes through private sector investments. In West African drylands, land concessions are required for such agri-businesses are often negotiated through customary authorities, and inject large amounts of money into localised rural systems with low cash bases. The article argues that such transactions serve to increase area under crop cultivation on an inter-seasonal basis, as financial spill-overs allow for farmers to purchase larger quantities of agricultural inputs and prepare larger tracts of land. Simultaneously, such direct and indirect cash flows also result in larger local herd sizes and an increase in the number of locally-owned cattle, as cash is exchanged for cattle, largely regarded as an interest-accruing, savings buffer. Larger herd sizes, in turn, attract Fulani pastoralists in search of employment as contracted herders for local cattle owners. Taking Integrated Water and Agricultural Development (IWAD), a private sector, large-scale irrigation initiative in northern Ghana as a case study, the article argues that there is an inevitability of the pathway, which leads from large-scale land acquisitions in West-African drylands, to an increase in conflict (and/or the risk thereof) between sedentary and Fulani pastoralists.","author":[{"dropping-particle":"","family":"Soeters","given":"Sebastiaan","non-dropping-particle":"","parse-names":false,"suffix":""},{"dropping-particle":"","family":"Weesie","given":"Ruben","non-dropping-particle":"","parse-names":false,"suffix":""},{"dropping-particle":"","family":"Zoomers","given":"Annelies","non-dropping-particle":"","parse-names":false,"suffix":""}],"container-title":"Sustainability (Switzerland)","id":"ITEM-1","issue":"11","issued":{"date-parts":[["2017"]]},"title":"Agricultural investments and farmer-fulani pastoralist conflict in West African drylands: A northern Ghanaian case study","type":"article-journal","volume":"9"},"uris":["http://www.mendeley.com/documents/?uuid=83a24497-e08c-411e-8fe7-dd60765f8693"]},{"id":"ITEM-2","itemData":{"DOI":"10.1002/crq.21346","ISSN":"15411508","abstract":"Climate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Quarterly","id":"ITEM-2","issue":"4","issued":{"date-parts":[["2022"]]},"page":"421-439","title":"Climate change, migration and farmer–herder conflict in Ghana","type":"article-journal","volume":"39"},"uris":["http://www.mendeley.com/documents/?uuid=e7e609e3-e6c5-4d6d-a65e-58b50b736bea"]}],"mendeley":{"formattedCitation":"(Issifu et al., 2022; Soeters et al., 2017)","plainTextFormattedCitation":"(Issifu et al., 2022; Soeters et al., 2017)","previouslyFormattedCitation":"(Issifu et al., 2022; Soeters et al., 2017)"},"properties":{"noteIndex":0},"schema":"https://github.com/citation-style-language/schema/raw/master/csl-citation.json"}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(Issifu et al., 2022; Soeters et al., 2017)</w:t>
      </w:r>
      <w:r>
        <w:rPr>
          <w:rFonts w:eastAsia="Calibri" w:cs="Times New Roman"/>
          <w:bCs/>
          <w:iCs/>
          <w:szCs w:val="24"/>
        </w:rPr>
        <w:fldChar w:fldCharType="end"/>
      </w:r>
      <w:r>
        <w:rPr>
          <w:rFonts w:eastAsia="Calibri" w:cs="Times New Roman"/>
          <w:bCs/>
          <w:iCs/>
          <w:szCs w:val="24"/>
        </w:rPr>
        <w:t xml:space="preserve">. There is a substantial variance with regards to who participates in cross-border mobility. At times, the entire household drives the herds, and sometimes too, the herds are driven by only the adults' sons, or with their wives. The family can also decide to hire a single herder to lead the herds </w:t>
      </w:r>
      <w:r>
        <w:rPr>
          <w:rFonts w:eastAsia="Calibri" w:cs="Times New Roman"/>
          <w:bCs/>
          <w:iCs/>
          <w:szCs w:val="24"/>
        </w:rPr>
        <w:fldChar w:fldCharType="begin" w:fldLock="1"/>
      </w:r>
      <w:r>
        <w:rPr>
          <w:rFonts w:eastAsia="Calibri" w:cs="Times New Roman"/>
          <w:bCs/>
          <w:iCs/>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(Ouoba-Ima, 2018)</w:t>
      </w:r>
      <w:r>
        <w:rPr>
          <w:rFonts w:eastAsia="Calibri" w:cs="Times New Roman"/>
          <w:bCs/>
          <w:iCs/>
          <w:szCs w:val="24"/>
        </w:rPr>
        <w:fldChar w:fldCharType="end"/>
      </w:r>
      <w:r>
        <w:rPr>
          <w:rFonts w:eastAsia="Calibri" w:cs="Times New Roman"/>
          <w:bCs/>
          <w:iCs/>
          <w:szCs w:val="24"/>
        </w:rPr>
        <w:t xml:space="preserve">. Recently, the northern part of Ghana happens to be part of the preferred destination for this pastoralists </w:t>
      </w:r>
      <w:r>
        <w:rPr>
          <w:rFonts w:eastAsia="Calibri" w:cs="Times New Roman"/>
          <w:bCs/>
          <w:iCs/>
          <w:szCs w:val="24"/>
        </w:rPr>
        <w:fldChar w:fldCharType="begin" w:fldLock="1"/>
      </w:r>
      <w:r>
        <w:rPr>
          <w:rFonts w:eastAsia="Calibri" w:cs="Times New Roman"/>
          <w:bCs/>
          <w:iCs/>
          <w:szCs w:val="24"/>
        </w:rPr>
        <w:instrText>ADDIN CSL_CITATION {"citationItems":[{"id":"ITEM-1","itemData":{"DOI":"10.4324/9781003231042-11","ISBN":"9781003231042","author":[{"dropping-particle":"","family":"Bukari","given":"Kaderi Noagah","non-dropping-particle":"","parse-names":false,"suffix":""},{"dropping-particle":"","family":"Osei-Kufuor","given":"Patrick","non-dropping-particle":"","parse-names":false,"suffix":""}],"container-title":"Transborder Pastoral Nomadism and Human Security in Africa","id":"ITEM-1","issued":{"date-parts":[["2021"]]},"page":"87-106","title":"Drivers of “labour” migration of Fulani herders to Ghana","type":"article-journal"},"uris":["http://www.mendeley.com/documents/?uuid=5712e116-3c15-457b-adc2-aa8a3d4ca8fe"]}],"mendeley":{"formattedCitation":"(K. N. Bukari &amp; Osei-Kufuor, 2021)","plainTextFormattedCitation":"(K. N. Bukari &amp; Osei-Kufuor, 2021)","previouslyFormattedCitation":"(K. N. Bukari &amp; Osei-Kufuor,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(K. N. Bukari &amp; Osei-Kufuor, 2021)</w:t>
      </w:r>
      <w:r>
        <w:rPr>
          <w:rFonts w:eastAsia="Calibri" w:cs="Times New Roman"/>
          <w:bCs/>
          <w:iCs/>
          <w:szCs w:val="24"/>
        </w:rPr>
        <w:fldChar w:fldCharType="end"/>
      </w:r>
      <w:r>
        <w:rPr>
          <w:rFonts w:eastAsia="Calibri" w:cs="Times New Roman"/>
          <w:bCs/>
          <w:iCs/>
          <w:szCs w:val="24"/>
        </w:rPr>
        <w:t xml:space="preserve">. The main occupation of the area is predominantly agrarian, with about 90% of farms on smallholdings using rudimentary technologies like hoes, cutlasses, and bullock ploughs </w:t>
      </w:r>
      <w:r>
        <w:rPr>
          <w:rFonts w:eastAsia="Calibri" w:cs="Times New Roman"/>
          <w:bCs/>
          <w:iCs/>
          <w:szCs w:val="24"/>
        </w:rPr>
        <w:fldChar w:fldCharType="begin" w:fldLock="1"/>
      </w:r>
      <w:r w:rsidR="00900D2E">
        <w:rPr>
          <w:rFonts w:eastAsia="Calibri" w:cs="Times New Roman"/>
          <w:bCs/>
          <w:iCs/>
          <w:szCs w:val="24"/>
        </w:rPr>
        <w:instrText>ADDIN CSL_CITATION {"citationItems":[{"id":"ITEM-1","itemData":{"abstract":"There is growing attention on socially differentiated stakeholder groups in understanding vulnerability and adaptation to climate change. However, empirical research on smallholder farmers in Ghana has not paid adequate attention to social differentiation among smallholder farmers. This study sought to assess the perception of vulnerability and adaptation strategies of socially differentiated groups of smallholder farmers to climate change in Lawra district, northwestern Ghana. Gender and age axis of social differentiation are the major focus of this work. The study employed a mix method study design involving 8 FGDs and 160 questionnaire surveys among smallholder farmers. Kendell's W rank correlation was used to rank constrains identified, descriptive statistics and chi-square was used to determine adaptation patterns among different social groups. Results suggest that, smallholder farmers are not homogenous. Rather, males and females and youth and older folks differ in their perception of vulnerability and subsequent adaptation strategies. The results highlight the need for adaptation interventions that pay attention to different stakeholder needs in reducing smallholder farmers' vulnerability.","author":[{"dropping-particle":"","family":"Yidana","given":"Adam","non-dropping-particle":"","parse-names":false,"suffix":""},{"dropping-particle":"","family":"Mensah","given":"Adelina","non-dropping-particle":"","parse-names":false,"suffix":""},{"dropping-particle":"","family":"Salifu","given":"Mubarik","non-dropping-particle":"","parse-names":false,"suffix":""},{"dropping-particle":"","family":"Owusu","given":"Kwadwo","non-dropping-particle":"","parse-names":false,"suffix":""}],"container-title":"Journal of Economics and Sustainable Development","id":"ITEM-1","issue":"10","issued":{"date-parts":[["2018"]]},"page":"175-187","title":"Social Differences in the Vulnerability and Adaptation Patterns among Smallholder Farmers : Evidence from Lawra District in the Upper West Region of Ghana .","type":"article-journal","volume":"9"},"uris":["http://www.mendeley.com/documents/?uuid=338da771-611d-457d-ae97-7b97e2381cf8"]}],"mendeley":{"formattedCitation":"(Yidana et al., 2018)","plainTextFormattedCitation":"(Yidana et al., 2018)","previouslyFormattedCitation":"(Yidana et al., 2018)"},"properties":{"noteIndex":0},"schema":"https://github.com/citation-style-language/schema/raw/master/csl-citation.json"}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(Yidana et al., 2018)</w:t>
      </w:r>
      <w:r>
        <w:rPr>
          <w:rFonts w:eastAsia="Calibri" w:cs="Times New Roman"/>
          <w:bCs/>
          <w:iCs/>
          <w:szCs w:val="24"/>
        </w:rPr>
        <w:fldChar w:fldCharType="end"/>
      </w:r>
      <w:r>
        <w:rPr>
          <w:rFonts w:eastAsia="Calibri" w:cs="Times New Roman"/>
          <w:bCs/>
          <w:iCs/>
          <w:szCs w:val="24"/>
        </w:rPr>
        <w:t xml:space="preserve">. Production is heavily dependent on rainfall and its distribution, but due to the adverse effects of climate change </w:t>
      </w:r>
      <w:r w:rsidR="00096688">
        <w:rPr>
          <w:rFonts w:eastAsia="Calibri" w:cs="Times New Roman"/>
          <w:bCs/>
          <w:iCs/>
          <w:szCs w:val="24"/>
        </w:rPr>
        <w:t>variability</w:t>
      </w:r>
      <w:r>
        <w:rPr>
          <w:rFonts w:eastAsia="Calibri" w:cs="Times New Roman"/>
          <w:bCs/>
          <w:iCs/>
          <w:szCs w:val="24"/>
        </w:rPr>
        <w:t xml:space="preserve"> on these patterns, production output is often low </w:t>
      </w:r>
      <w:r>
        <w:rPr>
          <w:rFonts w:eastAsia="Calibri" w:cs="Times New Roman"/>
          <w:bCs/>
          <w:iCs/>
          <w:szCs w:val="24"/>
        </w:rPr>
        <w:fldChar w:fldCharType="begin" w:fldLock="1"/>
      </w:r>
      <w:r w:rsidR="00900D2E">
        <w:rPr>
          <w:rFonts w:eastAsia="Calibri" w:cs="Times New Roman"/>
          <w:bCs/>
          <w:iCs/>
          <w:szCs w:val="24"/>
        </w:rPr>
        <w:instrText>ADDIN CSL_CITATION {"citationItems":[{"id":"ITEM-1","itemData":{"DOI":"10.1016/j.vas.2022.100240","ISSN":"2451943X","abstract":"This study examines the perception of the pastoral community on climate change and performance, resilience and adaptive capacity of livestock under climatic stress in southeastern Ethiopia. The study used a mixed research approach whereby quantitative and qualitative data were gathered from multiple sources to address the impacts of climate variability on livestock production and livelihood of pastoral-agro-pastoral communities of Guji zone. Data about pastoralist perception on climate change were collected from 198 randomly selected households using a semi-structured questionnaire. Furthermore, climate data were obtained from the national meteorological agency, and climatic water balance was assessed. The household survey result indicated increasing patterns of temperature (82.8%)and drought intensity (84.8%). Majority of respondents perceived decreasing trends of rainfall and feed availability. Similarly, the trend analysis of rainfall showed declining trends of annual (-4.7 mm/year), autumn (-4.5 mm) and winter (-0.54 mm). Rainfall Anomaly Index identifies 13 drought years over the past 32 years, of which 53.85% occurred between 2007- 2017. Significantly higher (p&lt;0.01) cattle and small ruminants than camel per household died during the disastrous drought occurred in 2008/9 and 2015/16. Nonetheless, the result indicated significantly higher (p&lt;0.01) amounts of milk yield (3.32 litre/day) of dairying camel during dry periods than cattle and small ruminants. Camel and goats are perceived as drought-resistant livestock species and cattle keepers shifting to have more camel and goat in response to prevailing drought in the study area. Poor attention is given to identify climate-smart/resilient livestock species and strains. Therefore, extensive investigations are required to select and identify purpose-specific camel and goat strains for drought-prone areas.","author":[{"dropping-particle":"","family":"Habte","given":"Matiwos","non-dropping-particle":"","parse-names":false,"suffix":""},{"dropping-particle":"","family":"Eshetu","given":"Mitiku","non-dropping-particle":"","parse-names":false,"suffix":""},{"dropping-particle":"","family":"Maryo","given":"Melesse","non-dropping-particle":"","parse-names":false,"suffix":""},{"dropping-particle":"","family":"Andualem","given":"Dereje","non-dropping-particle":"","parse-names":false,"suffix":""},{"dropping-particle":"","family":"Legesse","given":"Abiyot","non-dropping-particle":"","parse-names":false,"suffix":""}],"container-title":"Veterinary and Animal Science","id":"ITEM-1","issued":{"date-parts":[["2022"]]},"page":"100240","publisher":"Elsevier Ltd","title":"Effects of climate variability on livestock productivity and pastoralists perception: The case of drought resilience in Southeastern Ethiopia","type":"article-journal","volume":"16"},"uris":["http://www.mendeley.com/documents/?uuid=682c4b99-11aa-4cdf-8d83-896595f2851f"]}],"mendeley":{"formattedCitation":"(Habte et al., 2022)","plainTextFormattedCitation":"(Habte et al., 2022)","previouslyFormattedCitation":"(Habte et al., 2022)"},"properties":{"noteIndex":0},"schema":"https://github.com/citation-style-language/schema/raw/master/csl-citation.json"}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(Habte et al., 2022)</w:t>
      </w:r>
      <w:r>
        <w:rPr>
          <w:rFonts w:eastAsia="Calibri" w:cs="Times New Roman"/>
          <w:bCs/>
          <w:iCs/>
          <w:szCs w:val="24"/>
        </w:rPr>
        <w:fldChar w:fldCharType="end"/>
      </w:r>
      <w:r>
        <w:rPr>
          <w:rFonts w:eastAsia="Calibri" w:cs="Times New Roman"/>
          <w:bCs/>
          <w:iCs/>
          <w:szCs w:val="24"/>
        </w:rPr>
        <w:t xml:space="preserve">. Rural farmers in northern Ghana are, therefore, not only some of the poorest but also constitute the most food insecure segment of the population. Climate change aggravates food insecurity among farmers in this region and increases the proportion and intensity of poverty </w:t>
      </w:r>
      <w:r>
        <w:rPr>
          <w:rFonts w:eastAsia="Calibri" w:cs="Times New Roman"/>
          <w:bCs/>
          <w:iCs/>
          <w:szCs w:val="24"/>
        </w:rPr>
        <w:fldChar w:fldCharType="begin" w:fldLock="1"/>
      </w:r>
      <w:r>
        <w:rPr>
          <w:rFonts w:eastAsia="Calibri" w:cs="Times New Roman"/>
          <w:bCs/>
          <w:iCs/>
          <w:szCs w:val="24"/>
        </w:rPr>
        <w:instrText>ADDIN CSL_CITATION {"citationItems":[{"id":"ITEM-1","itemData":{"abstract":"The paper presents an assessment of climatic trends and patterns, and impacts on food crop productivity in the Bawku West District. The study adopted both statistical and descriptive approaches to achieve the formulated objectives. Rainfall and temperature data were obtained from the Ghana Meteorological Agency, Navrongo-Ghana, and the World Bank Climate Change Knowledge Portal. The main instruments used to gather information from the respondents were questionnaire, structured interview guide and field observation. Data were analysed using SPSS version 20 and presented in tables and figures. The study revealed that there were yearly irregularities in the amount and intensity of rainfall with increasing number of dry spells, implying the area is currently contending more with climate variability. It also revealed that climate variability has had negative implications on food crop production in the district such as unpredictability of onset of rains, crop failure and low yield. The current coping/adaptive mechanisms employed by farmers to climate variability in the district include irrigation, fertilizer application, growing improved crops, getting jobs outside agriculture, support from government and NGOs, and migration of the youth. It is therefore recommended that stakeholders provide subsidised farm inputs and ensure sound environmental management to cater for the consequences of climate variability on their livelihoods.","author":[{"dropping-particle":"","family":"Adu-Boahen","given":"K","non-dropping-particle":"","parse-names":false,"suffix":""},{"dropping-particle":"","family":"Dadson","given":"I","non-dropping-particle":"","parse-names":false,"suffix":""},{"dropping-particle":"","family":"Halidu","given":"Mohamadu Akugre","non-dropping-particle":"","parse-names":false,"suffix":""}],"id":"ITEM-1","issue":"1","issued":{"date-parts":[["2019"]]},"page":"103-123","title":"Climatic Variability and Food Crop Production in the Bawku West District of the Upper East Region of Ghana","type":"article-journal","volume":"11"},"uris":["http://www.mendeley.com/documents/?uuid=340af769-82b2-4079-8c08-5d8c37d40401"]}],"mendeley":{"formattedCitation":"(Adu-Boahen et al., 2019)","plainTextFormattedCitation":"(Adu-Boahen et al., 2019)","previouslyFormattedCitation":"(Adu-Boahen et al., 2019)"},"properties":{"noteIndex":0},"schema":"https://github.com/citation-style-language/schema/raw/master/csl-citation.json"}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(Adu-Boahen et al., 2019)</w:t>
      </w:r>
      <w:r>
        <w:rPr>
          <w:rFonts w:eastAsia="Calibri" w:cs="Times New Roman"/>
          <w:bCs/>
          <w:iCs/>
          <w:szCs w:val="24"/>
        </w:rPr>
        <w:fldChar w:fldCharType="end"/>
      </w:r>
      <w:r>
        <w:rPr>
          <w:rFonts w:eastAsia="Calibri" w:cs="Times New Roman"/>
          <w:bCs/>
          <w:iCs/>
          <w:szCs w:val="24"/>
        </w:rPr>
        <w:t xml:space="preserve">. The trends of poverty in the area show that it has been considerably more extensive and more persistent in this region as compared to the south. Sufficient </w:t>
      </w:r>
      <w:r>
        <w:rPr>
          <w:rFonts w:eastAsia="Calibri" w:cs="Times New Roman"/>
          <w:bCs/>
          <w:iCs/>
          <w:szCs w:val="24"/>
        </w:rPr>
        <w:lastRenderedPageBreak/>
        <w:t xml:space="preserve">opportunities to drive people out of poverty are not provided by the agricultural and rural economies </w:t>
      </w:r>
      <w:r>
        <w:rPr>
          <w:rFonts w:eastAsia="Calibri" w:cs="Times New Roman"/>
          <w:bCs/>
          <w:iCs/>
          <w:szCs w:val="24"/>
        </w:rPr>
        <w:fldChar w:fldCharType="begin" w:fldLock="1"/>
      </w:r>
      <w:r>
        <w:rPr>
          <w:rFonts w:eastAsia="Calibri" w:cs="Times New Roman"/>
          <w:bCs/>
          <w:iCs/>
          <w:szCs w:val="24"/>
        </w:rPr>
        <w:instrText>ADDIN CSL_CITATION {"citationItems":[{"id":"ITEM-1","itemData":{"DOI":"10.4314/gjg.v13i1.6","ISSN":"0855-9414","abstract":"For many households in rural sub-Saharan Africa, drought is an important environmental shock because it undermines livelihoods and wellbeing. There is a growing concern that droughts in the context of a changing climate could magnify migration out of rural areas. Using an exploratory mixed method approach, this paper explores the relationship between drought and migration in five villages in the northern savannah of Ghana. The results suggest that drought-related migration in the savannah is much about rural to rural migration as it is about rural to urban migration. This observation contrasts with the concentration of the literature on the possibilities and outcomes of climate-induced rural to urban migration. The study further highlights the mediating role of a range of idiosyncratic factors in the migration responses to drought. A multivariate analysis showed that selected individual, household, and village variables explain about 21.5% of drought-related migration. The qualitative results revealed additional mediating factors notably; individual aspirations, the effect of pull factors and networks. Thus, drought-related migration is not always about vulnerability and responses as commonly viewed, but intricately intertwined with the socio-economic and political dynamics of people. The multiplicity of factors and the complexity of their interaction clearly show the need to shift away from simplistic and deterministic notions of the climate-migration nexus.","author":[{"dropping-particle":"","family":"Jarawura","given":"Francis Xavier","non-dropping-particle":"","parse-names":false,"suffix":""}],"container-title":"Ghana Journal of Geography","id":"ITEM-1","issue":"1","issued":{"date-parts":[["2021"]]},"page":"103-125","title":"Dynamics of Drought-Related Migration Among Five Villages in the Savannah of Ghana","type":"article-journal","volume":"13"},"uris":["http://www.mendeley.com/documents/?uuid=ba357df3-2e09-4c17-85a3-fa447d60f9c5"]}],"mendeley":{"formattedCitation":"(Jarawura, 2021)","plainTextFormattedCitation":"(Jarawura, 2021)","previouslyFormattedCitation":"(Jarawura,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(Jarawura, 2021)</w:t>
      </w:r>
      <w:r>
        <w:rPr>
          <w:rFonts w:eastAsia="Calibri" w:cs="Times New Roman"/>
          <w:bCs/>
          <w:iCs/>
          <w:szCs w:val="24"/>
        </w:rPr>
        <w:fldChar w:fldCharType="end"/>
      </w:r>
      <w:r>
        <w:rPr>
          <w:rFonts w:eastAsia="Calibri" w:cs="Times New Roman"/>
          <w:bCs/>
          <w:iCs/>
          <w:szCs w:val="24"/>
        </w:rPr>
        <w:t xml:space="preserve">. </w:t>
      </w:r>
    </w:p>
    <w:p w:rsidR="00E53882" w:rsidRDefault="00B16FF7">
      <w:pPr>
        <w:tabs>
          <w:tab w:val="left" w:pos="3600"/>
        </w:tabs>
        <w:spacing w:line="480" w:lineRule="auto"/>
        <w:rPr>
          <w:rFonts w:eastAsia="Calibri" w:cs="Times New Roman"/>
          <w:szCs w:val="24"/>
          <w:shd w:val="clear" w:color="auto" w:fill="FFFFFF"/>
        </w:rPr>
      </w:pPr>
      <w:r>
        <w:rPr>
          <w:rFonts w:eastAsia="Calibri" w:cs="Times New Roman"/>
          <w:bCs/>
          <w:iCs/>
          <w:szCs w:val="24"/>
        </w:rPr>
        <w:t xml:space="preserve">Pastoralism—and farming—is a livelihood and production system that is deeply connected with culture, identity, and socio-political organization. The debate over the role of pastoralism in the economy is also a debate over the culture and lifestyle of host communities. It is all too easy to focus on economic and development policies without sufficient consideration of how they will impact the social relationships between groups whose identity is closely intertwined with their livelihood " </w:t>
      </w:r>
      <w:r>
        <w:rPr>
          <w:rFonts w:eastAsia="Calibri" w:cs="Times New Roman"/>
          <w:bCs/>
          <w:iCs/>
          <w:szCs w:val="24"/>
        </w:rPr>
        <w:fldChar w:fldCharType="begin" w:fldLock="1"/>
      </w:r>
      <w:r>
        <w:rPr>
          <w:rFonts w:eastAsia="Calibri" w:cs="Times New Roman"/>
          <w:bCs/>
          <w:iCs/>
          <w:szCs w:val="24"/>
        </w:rPr>
        <w:instrText>ADDIN CSL_CITATION {"citationItems":[{"id":"ITEM-1","itemData":{"abstract":"The findings and recommendations in this Toolkit were identified based on a meta-review of program evaluations and scholarly research in French and English, supplemented by a series of key informant interviews with program implementers. The Toolkit was validated through review by an Advisory Council of external civil society practitioners and researchers as well as practitioners from Search for Common Ground’s field offices across the Sudano-Sahel (Burkina Faso, Central African Republic, Democratic Republic of the Congo, Mali, Nigeria, Niger, South Sudan, Sudan). This analysis primarily focused on pastoralism- related development or conflict prevention programs conducted in the past ten years (2010-2020) in major conflict zones within the Sudano-Sahel ecological zone. The geographic focus included: (i) the Liptako-Gourma triangle at the intersection of Mali, Niger, and Burkina Faso; (ii) Nigeria and the Lake Chad Basin; (iii) the Central African Republic and surrounding border regions; and (iv) the Sudan/South Sudan border region. Where relevant, lessons learned have also been included from other regions where pastoralism is common – including sub-humid areas of West Africa (Benin, Togo, Ivory Coast) and East Africa (Kenya, Uganda).","author":[{"dropping-particle":"","family":"Jobbins","given":"Mike","non-dropping-particle":"","parse-names":false,"suffix":""},{"dropping-particle":"","family":"McDonnell","given":"Andrew","non-dropping-particle":"","parse-names":false,"suffix":""}],"id":"ITEM-1","issued":{"date-parts":[["2021"]]},"title":"Pastoralism and Conflict: Tools for Preventsion and Response in the Sudano-Sahel","type":"article-journal"},"uris":["http://www.mendeley.com/documents/?uuid=cfcc7260-19d5-4d35-8ec2-19f7204b665f"]}],"mendeley":{"formattedCitation":"(Jobbins &amp; McDonnell, 2021)","plainTextFormattedCitation":"(Jobbins &amp; McDonnell, 2021)","previouslyFormattedCitation":"(Jobbins &amp; McDonnell, 2021)"},"properties":{"noteIndex":0},"schema":"https://github.com/citation-style-language/schema/raw/master/csl-citation.json"}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(Jobbins &amp; McDonnell, 2021)</w:t>
      </w:r>
      <w:r>
        <w:rPr>
          <w:rFonts w:eastAsia="Calibri" w:cs="Times New Roman"/>
          <w:bCs/>
          <w:iCs/>
          <w:szCs w:val="24"/>
        </w:rPr>
        <w:fldChar w:fldCharType="end"/>
      </w:r>
      <w:r>
        <w:rPr>
          <w:rFonts w:eastAsia="Calibri" w:cs="Times New Roman"/>
          <w:bCs/>
          <w:iCs/>
          <w:szCs w:val="24"/>
        </w:rPr>
        <w:t xml:space="preserve">. Therefore, as part of the objectives of this study, we want to find out how climate change have impacted the livelihood of farmers and pastoralists. The study will also find out how pastoralist’s mobility patterns are impacted by changes in climate in the host community </w:t>
      </w:r>
      <w:r>
        <w:rPr>
          <w:rFonts w:eastAsia="Calibri" w:cs="Times New Roman"/>
          <w:szCs w:val="24"/>
        </w:rPr>
        <w:t>and how they have adapted to these changes</w:t>
      </w:r>
      <w:r>
        <w:rPr>
          <w:rFonts w:eastAsia="Calibri" w:cs="Times New Roman"/>
          <w:bCs/>
          <w:iCs/>
          <w:szCs w:val="24"/>
        </w:rPr>
        <w:t xml:space="preserve">. Though the influencing factors of pastoralist’s mobility are largely understood, there is limited knowledge with regards pastoralist’s perceptions of climate changes in the host community. </w:t>
      </w:r>
      <w:r>
        <w:rPr>
          <w:rFonts w:eastAsia="Calibri" w:cs="Times New Roman"/>
          <w:szCs w:val="24"/>
          <w:shd w:val="clear" w:color="auto" w:fill="FFFFFF"/>
        </w:rPr>
        <w:t xml:space="preserve">Herbert &amp; Birch, (2022), has indicated in their study that, various ethnic groups are involved in pastoralism, but there is limited knowledge with </w:t>
      </w:r>
      <w:r w:rsidR="00096688">
        <w:rPr>
          <w:rFonts w:eastAsia="Calibri" w:cs="Times New Roman"/>
          <w:szCs w:val="24"/>
          <w:shd w:val="clear" w:color="auto" w:fill="FFFFFF"/>
        </w:rPr>
        <w:t>regards</w:t>
      </w:r>
      <w:r>
        <w:rPr>
          <w:rFonts w:eastAsia="Calibri" w:cs="Times New Roman"/>
          <w:szCs w:val="24"/>
          <w:shd w:val="clear" w:color="auto" w:fill="FFFFFF"/>
        </w:rPr>
        <w:t xml:space="preserve"> to the ethnics groups that are engaged in </w:t>
      </w:r>
      <w:r w:rsidR="00096688">
        <w:rPr>
          <w:rFonts w:eastAsia="Calibri" w:cs="Times New Roman"/>
          <w:szCs w:val="24"/>
          <w:shd w:val="clear" w:color="auto" w:fill="FFFFFF"/>
        </w:rPr>
        <w:t>pastoralism</w:t>
      </w:r>
      <w:r>
        <w:rPr>
          <w:rFonts w:eastAsia="Calibri" w:cs="Times New Roman"/>
          <w:szCs w:val="24"/>
          <w:shd w:val="clear" w:color="auto" w:fill="FFFFFF"/>
        </w:rPr>
        <w:t xml:space="preserve"> in the study area Also, the characteristics of these category of </w:t>
      </w:r>
      <w:r w:rsidR="00096688">
        <w:rPr>
          <w:rFonts w:eastAsia="Calibri" w:cs="Times New Roman"/>
          <w:szCs w:val="24"/>
          <w:shd w:val="clear" w:color="auto" w:fill="FFFFFF"/>
        </w:rPr>
        <w:t>pastoralist</w:t>
      </w:r>
      <w:r>
        <w:rPr>
          <w:rFonts w:eastAsia="Calibri" w:cs="Times New Roman"/>
          <w:szCs w:val="24"/>
          <w:shd w:val="clear" w:color="auto" w:fill="FFFFFF"/>
        </w:rPr>
        <w:t xml:space="preserve"> has not been </w:t>
      </w:r>
      <w:r w:rsidR="00096688">
        <w:rPr>
          <w:rFonts w:eastAsia="Calibri" w:cs="Times New Roman"/>
          <w:szCs w:val="24"/>
          <w:shd w:val="clear" w:color="auto" w:fill="FFFFFF"/>
        </w:rPr>
        <w:t>largely</w:t>
      </w:r>
      <w:r>
        <w:rPr>
          <w:rFonts w:eastAsia="Calibri" w:cs="Times New Roman"/>
          <w:szCs w:val="24"/>
          <w:shd w:val="clear" w:color="auto" w:fill="FFFFFF"/>
        </w:rPr>
        <w:t xml:space="preserve"> established. This study aimed to fill these gaps. </w:t>
      </w:r>
    </w:p>
    <w:p w:rsidR="00E53882" w:rsidRDefault="00B16FF7">
      <w:pPr>
        <w:pStyle w:val="Heading3"/>
        <w:rPr>
          <w:rStyle w:val="Strong"/>
        </w:rPr>
      </w:pPr>
      <w:bookmarkStart w:id="53" w:name="_Toc164261690"/>
      <w:r>
        <w:t>2.2.3 Climate Change and Pastoralists Mobility</w:t>
      </w:r>
      <w:bookmarkEnd w:id="45"/>
      <w:bookmarkEnd w:id="53"/>
    </w:p>
    <w:p w:rsidR="00E53882" w:rsidRDefault="00B16FF7">
      <w:pPr>
        <w:spacing w:before="0" w:after="100" w:afterAutospacing="1" w:line="480" w:lineRule="auto"/>
        <w:rPr>
          <w:rFonts w:eastAsia="Times New Roman" w:cs="Times New Roman"/>
          <w:szCs w:val="24"/>
        </w:rPr>
      </w:pPr>
      <w:r>
        <w:rPr>
          <w:rFonts w:eastAsia="Times New Roman" w:cs="Times New Roman"/>
          <w:szCs w:val="24"/>
        </w:rPr>
        <w:t xml:space="preserve">As perceived by geographers and meteorologist in the 1970s and 1980s, attributes of climate change have direct and indirect influence on livestock. It has effects on the quantity, quality as well as the distribution. This is not surprising, as there is a strong relationship between the health of livestock and its production, which is greatly affected by high temperature cause by </w:t>
      </w:r>
      <w:r>
        <w:rPr>
          <w:rFonts w:eastAsia="Times New Roman" w:cs="Times New Roman"/>
          <w:szCs w:val="24"/>
        </w:rPr>
        <w:lastRenderedPageBreak/>
        <w:t xml:space="preserve">changes in climate. Some researchers went on to say that the variations in moisture and pasture conditions are related to the rhythm of pastoral herdsmen's mobility and latitudinal oscillation </w:t>
      </w:r>
      <w:r>
        <w:rPr>
          <w:rFonts w:eastAsia="Times New Roman" w:cs="Times New Roman"/>
          <w:szCs w:val="24"/>
        </w:rPr>
        <w:fldChar w:fldCharType="begin" w:fldLock="1"/>
      </w:r>
      <w:r>
        <w:rPr>
          <w:rFonts w:eastAsia="Times New Roman" w:cs="Times New Roman"/>
          <w:szCs w:val="24"/>
        </w:rPr>
        <w:instrText>ADDIN CSL_CITATION {"citationItems":[{"id":"ITEM-1","itemData":{"DOI":"10.1016/j.vas.2022.100240","ISSN":"2451943X","abstract":"This study examines the perception of the pastoral community on climate change and performance, resilience and adaptive capacity of livestock under climatic stress in southeastern Ethiopia. The study used a mixed research approach whereby quantitative and qualitative data were gathered from multiple sources to address the impacts of climate variability on livestock production and livelihood of pastoral-agro-pastoral communities of Guji zone. Data about pastoralist perception on climate change were collected from 198 randomly selected households using a semi-structured questionnaire. Furthermore, climate data were obtained from the national meteorological agency, and climatic water balance was assessed. The household survey result indicated increasing patterns of temperature (82.8%)and drought intensity (84.8%). Majority of respondents perceived decreasing trends of rainfall and feed availability. Similarly, the trend analysis of rainfall showed declining trends of annual (-4.7 mm/year), autumn (-4.5 mm) and winter (-0.54 mm). Rainfall Anomaly Index identifies 13 drought years over the past 32 years, of which 53.85% occurred between 2007- 2017. Significantly higher (p&lt;0.01) cattle and small ruminants than camel per household died during the disastrous drought occurred in 2008/9 and 2015/16. Nonetheless, the result indicated significantly higher (p&lt;0.01) amounts of milk yield (3.32 litre/day) of dairying camel during dry periods than cattle and small ruminants. Camel and goats are perceived as drought-resistant livestock species and cattle keepers shifting to have more camel and goat in response to prevailing drought in the study area. Poor attention is given to identify climate-smart/resilient livestock species and strains. Therefore, extensive investigations are required to select and identify purpose-specific camel and goat strains for drought-prone areas.","author":[{"dropping-particle":"","family":"Habte","given":"Matiwos","non-dropping-particle":"","parse-names":false,"suffix":""},{"dropping-particle":"","family":"Eshetu","given":"Mitiku","non-dropping-particle":"","parse-names":false,"suffix":""},{"dropping-particle":"","family":"Maryo","given":"Melesse","non-dropping-particle":"","parse-names":false,"suffix":""},{"dropping-particle":"","family":"Andualem","given":"Dereje","non-dropping-particle":"","parse-names":false,"suffix":""},{"dropping-particle":"","family":"Legesse","given":"Abiyot","non-dropping-particle":"","parse-names":false,"suffix":""}],"container-title":"Veterinary and Animal Science","id":"ITEM-1","issued":{"date-parts":[["2022"]]},"page":"100240","publisher":"Elsevier Ltd","title":"Effects of climate variability on livestock productivity and pastoralists perception: The case of drought resilience in Southeastern Ethiopia","type":"article-journal","volume":"16"},"uris":["http://www.mendeley.com/documents/?uuid=682c4b99-11aa-4cdf-8d83-896595f2851f"]}],"mendeley":{"formattedCitation":"(Habte et al., 2022)","plainTextFormattedCitation":"(Habte et al., 2022)","previouslyFormattedCitation":"(Habte et al., 2022)"},"properties":{"noteIndex":0},"schema":"https://github.com/citation-style-language/schema/raw/master/csl-citation.json"}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(Habte et al., 2022)</w:t>
      </w:r>
      <w:r>
        <w:rPr>
          <w:rFonts w:eastAsia="Times New Roman" w:cs="Times New Roman"/>
          <w:szCs w:val="24"/>
        </w:rPr>
        <w:fldChar w:fldCharType="end"/>
      </w:r>
      <w:r>
        <w:rPr>
          <w:rFonts w:eastAsia="Times New Roman" w:cs="Times New Roman"/>
          <w:szCs w:val="24"/>
        </w:rPr>
        <w:t xml:space="preserve">. Movement is necessary due to the extreme periodic climate changes, sporadic rainfall, high ambient temperatures, and unpredictable microclimatic changes. The role of climate change in the mobility of herdsmen has gained momentum among scholars and policy makers </w:t>
      </w:r>
      <w:r>
        <w:rPr>
          <w:rFonts w:eastAsia="Times New Roman" w:cs="Times New Roman"/>
          <w:szCs w:val="24"/>
        </w:rPr>
        <w:fldChar w:fldCharType="begin" w:fldLock="1"/>
      </w:r>
      <w:r>
        <w:rPr>
          <w:rFonts w:eastAsia="Times New Roman" w:cs="Times New Roman"/>
          <w:szCs w:val="24"/>
        </w:rPr>
        <w:instrText>ADDIN CSL_CITATION {"citationItems":[{"id":"ITEM-1","itemData":{"DOI":"10.1007/s43545-022-00383-y","ISBN":"0123456789","ISSN":"2662-9283","abstract":"There is limited attention on climate change (CC) and human migration among scholars and policymakers. Meanwhile, natural disasters are projected to induce migration in the coming years which will affect millions of people in sub-Saharan Africa (SSA). In this review, we contribute to climate migration literature by highlighting three important factors (i.e. floods, droughts, and sea-level rise) that predispose migrants in SSA to migrate. The review suggests that the environmental impact of CC in SSA cannot be overlooked. For example, the review discovered that the impact of flooding has intensified, and its impact on agriculture will affect rural–urban migration, forcing farmers to look for alternative job opportunities. Moreover, due to the lack of rainfall to support agricultural activities, the option of migrating away from agriculture and settling in urban areas becomes a possible coping strategy. Rising sea level will adversely affect many, due to a lack of adaptive capacity and emergency preparedness. This should concern policymakers because the major trend in migration, whether climate-related or not, is a movement from rural to urban areas which poses significant challenges to urban sustainability and climate resilience. Given the impact of floods, droughts, and sea-level rise in SSA, we propose the promotion of adaptive capacity through the encouragement of climate insurance programme which is limited in SSA, alternative livelihood opportunity programmes, and providing financial resources for climate adaptation initiatives.","author":[{"dropping-particle":"","family":"Ibrahim","given":"Bachar","non-dropping-particle":"","parse-names":false,"suffix":""},{"dropping-particle":"","family":"Mensah","given":"Henry","non-dropping-particle":"","parse-names":false,"suffix":""}],"container-title":"SN Social Sciences","id":"ITEM-1","issue":"6","issued":{"date-parts":[["2022"]]},"publisher":"Springer International Publishing","title":"Rethinking climate migration in sub-Saharan Africa from the perspective of tripartite drivers of climate change","type":"article-journal","volume":"2"},"uris":["http://www.mendeley.com/documents/?uuid=bc0da279-bc78-4a09-bfde-fc1d6fe9c9fb"]}],"mendeley":{"formattedCitation":"(Ibrahim &amp; Mensah, 2022)","plainTextFormattedCitation":"(Ibrahim &amp; Mensah, 2022)","previouslyFormattedCitation":"(Ibrahim &amp; Mensah, 2022)"},"properties":{"noteIndex":0},"schema":"https://github.com/citation-style-language/schema/raw/master/csl-citation.json"}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(Ibrahim &amp; Mensah, 2022)</w:t>
      </w:r>
      <w:r>
        <w:rPr>
          <w:rFonts w:eastAsia="Times New Roman" w:cs="Times New Roman"/>
          <w:szCs w:val="24"/>
        </w:rPr>
        <w:fldChar w:fldCharType="end"/>
      </w:r>
      <w:r>
        <w:rPr>
          <w:rFonts w:eastAsia="Times New Roman" w:cs="Times New Roman"/>
          <w:szCs w:val="24"/>
        </w:rPr>
        <w:t>. The United Nations sustainable development goals (10.7) have a solid aim to "facilitate orderly, safe, and responsible migration and mobility of people, including through the implementation of planned and well-managed migration policies"</w:t>
      </w:r>
      <w:r>
        <w:rPr>
          <w:rFonts w:eastAsia="Times New Roman" w:cs="Times New Roman"/>
          <w:szCs w:val="24"/>
        </w:rPr>
        <w:fldChar w:fldCharType="begin" w:fldLock="1"/>
      </w:r>
      <w:r>
        <w:rPr>
          <w:rFonts w:eastAsia="Times New Roman" w:cs="Times New Roman"/>
          <w:szCs w:val="24"/>
        </w:rPr>
        <w:instrText>ADDIN CSL_CITATION {"citationItems":[{"id":"ITEM-1","itemData":{"author":[{"dropping-particle":"","family":"United nation","given":"","non-dropping-particle":"","parse-names":false,"suffix":""}],"id":"ITEM-1","issued":{"date-parts":[["2021"]]},"page":"1-8","title":"SDG INDICATOR 10.7.2","type":"article-journal"},"uris":["http://www.mendeley.com/documents/?uuid=1927d2a0-8b32-43fb-867c-0e8829449b75"]}],"mendeley":{"formattedCitation":"(United nation, 2021)","plainTextFormattedCitation":"(United nation, 2021)","previouslyFormattedCitation":"(United nation, 2021)"},"properties":{"noteIndex":0},"schema":"https://github.com/citation-style-language/schema/raw/master/csl-citation.json"}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(United nation, 2021)</w:t>
      </w:r>
      <w:r>
        <w:rPr>
          <w:rFonts w:eastAsia="Times New Roman" w:cs="Times New Roman"/>
          <w:szCs w:val="24"/>
        </w:rPr>
        <w:fldChar w:fldCharType="end"/>
      </w:r>
      <w:r>
        <w:rPr>
          <w:rFonts w:eastAsia="Times New Roman" w:cs="Times New Roman"/>
          <w:szCs w:val="24"/>
        </w:rPr>
        <w:t xml:space="preserve">. This is still a great challenge in the African continent, making it difficult for pastoralists to move. For this to be effective, we need borderless Africa, to facilitate orderly, safe and responsible migration. Studies have shown that pastoralist mobility will rise as a result of their failure to acclimate to the effect of climate  change </w:t>
      </w:r>
      <w:r>
        <w:rPr>
          <w:rFonts w:eastAsia="Times New Roman" w:cs="Times New Roman"/>
          <w:szCs w:val="24"/>
        </w:rPr>
        <w:fldChar w:fldCharType="begin" w:fldLock="1"/>
      </w:r>
      <w:r>
        <w:rPr>
          <w:rFonts w:eastAsia="Times New Roman" w:cs="Times New Roman"/>
          <w:szCs w:val="24"/>
        </w:rPr>
        <w:instrText>ADDIN CSL_CITATION {"citationItems":[{"id":"ITEM-1","itemData":{"DOI":"10.1017/CBO9781139177245.006","ISBN":"9781139177245","abstract":"This chapter addresses changes in weather and climate events relevant to extreme impacts and disasters. An extreme (weather or climate) event is generally defined as the occurrence of a value of a weather or climate variable above (or below) a threshold value near the upper (or lower) ends (‘tails’) of the range of observed values of the variable. Some climate extremes (e.g., droughts, floods) may be the result of an accumulation of weather or climate events that are, individually, not extreme themselves (though their accumulation is extreme). As well, weather or climate events, even if not extreme in a statistical sense, can still lead to extreme conditions or impacts, either by crossing a critical threshold in a social, ecological, or physical system, or by occurring simultaneously with other events. A weather system such as a tropical cyclone can have an extreme impact, depending on where and when it approaches landfall, even if the specific cyclone is not extreme relative to other tropical cyclones. Conversely, not all extremes necessarily lead to serious impacts. [3.1] Many weather and climate extremes are the result of natural climate variability (including phenomena such as El Niño), and natural decadal or multi-decadal variations in the climate provide the backdrop for anthropogenic climate changes. Even if there were no anthropogenic changes in climate, a wide variety of natural weather and climate extremes would still occur. [3.1] A changing climate leads to changes in the frequency, intensity, spatial extent, duration, and timing of weather and climate extremes, and can result in unprecedented extremes. Changes in extremes can also be directly related to changes in mean climate, because mean future conditions in some variables are projected to lie within the tails of present-day conditions. Nevertheless, changes in extremes of a climate or weather variable are not always related in a simple way to changes in the mean of the same variable, and in some cases can be of opposite sign to a change in the mean of the variable. Changes in phenomena such as the El Nino-Southern Oscillation or monsoons could affect the frequency and intensity of extremes in several regions simultaneously.","author":[{"dropping-particle":"","family":"Seneviratne","given":"Sonia I.","non-dropping-particle":"","parse-names":false,"suffix":""},{"dropping-particle":"","family":"Nicholls","given":"Neville","non-dropping-particle":"","parse-names":false,"suffix":""},{"dropping-particle":"","family":"Easterling","given":"David","non-dropping-particle":"","parse-names":false,"suffix":""},{"dropping-particle":"","family":"Goodess","given":"Clare M.","non-dropping-particle":"","parse-names":false,"suffix":""},{"dropping-particle":"","family":"Kanae","given":"Shinjiro","non-dropping-particle":"","parse-names":false,"suffix":""},{"dropping-particle":"","family":"Kossin","given":"James","non-dropping-particle":"","parse-names":false,"suffix":""},{"dropping-particle":"","family":"Luo","given":"Yali","non-dropping-particle":"","parse-names":false,"suffix":""},{"dropping-particle":"","family":"Marengo","given":"Jose","non-dropping-particle":"","parse-names":false,"suffix":""},{"dropping-particle":"","family":"Mc Innes","given":"Kathleen","non-dropping-particle":"","parse-names":false,"suffix":""},{"dropping-particle":"","family":"Rahimi","given":"Mohammad","non-dropping-particle":"","parse-names":false,"suffix":""},{"dropping-particle":"","family":"Reichstein","given":"Markus","non-dropping-particle":"","parse-names":false,"suffix":""},{"dropping-particle":"","family":"Sorteberg","given":"Asgeir","non-dropping-particle":"","parse-names":false,"suffix":""},{"dropping-particle":"","family":"Vera","given":"Carolina","non-dropping-particle":"","parse-names":false,"suffix":""},{"dropping-particle":"","family":"Zhang","given":"Xuebin","non-dropping-particle":"","parse-names":false,"suffix":""},{"dropping-particle":"","family":"Rusticucci","given":"Matilde","non-dropping-particle":"","parse-names":false,"suffix":""},{"dropping-particle":"","family":"Semenov","given":"Vladimir","non-dropping-particle":"","parse-names":false,"suffix":""},{"dropping-particle":"V.","family":"Alexander","given":"Lisa","non-dropping-particle":"","parse-names":false,"suffix":""},{"dropping-particle":"","family":"Allen","given":"Simon","non-dropping-particle":"","parse-names":false,"suffix":""},{"dropping-particle":"","family":"Benito","given":"Gerardo","non-dropping-particle":"","parse-names":false,"suffix":""},{"dropping-particle":"","family":"Cavazos","given":"Tereza","non-dropping-particle":"","parse-names":false,"suffix":""},{"dropping-particle":"","family":"Clague","given":"John","non-dropping-particle":"","parse-names":false,"suffix":""},{"dropping-particle":"","family":"Conway","given":"Declan","non-dropping-particle":"","parse-names":false,"suffix":""},{"dropping-particle":"","family":"Della-Marta","given":"Paul M.","non-dropping-particle":"","parse-names":false,"suffix":""},{"dropping-particle":"","family":"Gerber","given":"Markus","non-dropping-particle":"","parse-names":false,"suffix":""},{"dropping-particle":"","family":"Gong","given":"Sunling","non-dropping-particle":"","parse-names":false,"suffix":""},{"dropping-particle":"","family":"Goswami","given":"B. N.","non-dropping-particle":"","parse-names":false,"suffix":""},{"dropping-particle":"","family":"Hemer","given":"Mark","non-dropping-particle":"","parse-names":false,"suffix":""},{"dropping-particle":"","family":"Huggel","given":"Christian","non-dropping-particle":"","parse-names":false,"suffix":""},{"dropping-particle":"","family":"Hurk","given":"Bart","non-dropping-particle":"Van den","parse-names":false,"suffix":""},{"dropping-particle":"V.","family":"Kharin","given":"Viatcheslav","non-dropping-particle":"","parse-names":false,"suffix":""},{"dropping-particle":"","family":"Kitoh","given":"Akio","non-dropping-particle":"","parse-names":false,"suffix":""},{"dropping-particle":"","family":"Klein Tank","given":"Albert M.G.","non-dropping-particle":"","parse-names":false,"suffix":""},{"dropping-particle":"","family":"Li","given":"Guilong","non-dropping-particle":"","parse-names":false,"suffix":""},{"dropping-particle":"","family":"Mason","given":"Simon","non-dropping-particle":"","parse-names":false,"suffix":""},{"dropping-particle":"","family":"Mc Guire","given":"William","non-dropping-particle":"","parse-names":false,"suffix":""},{"dropping-particle":"","family":"Oldenborgh","given":"Geert Jan","non-dropping-particle":"Van","parse-names":false,"suffix":""},{"dropping-particle":"","family":"Orlowsky","given":"Boris","non-dropping-particle":"","parse-names":false,"suffix":""},{"dropping-particle":"","family":"Smith","given":"Sharon","non-dropping-particle":"","parse-names":false,"suffix":""},{"dropping-particle":"","family":"Thiaw","given":"Wassila","non-dropping-particle":"","parse-names":false,"suffix":""},{"dropping-particle":"","family":"Velegrakis","given":"Adonis","non-dropping-particle":"","parse-names":false,"suffix":""},{"dropping-particle":"","family":"Yiou","given":"Pascal","non-dropping-particle":"","parse-names":false,"suffix":""},{"dropping-particle":"","family":"Zhang","given":"Tingjun","non-dropping-particle":"","parse-names":false,"suffix":""},{"dropping-particle":"","family":"Zhou","given":"Tianjun","non-dropping-particle":"","parse-names":false,"suffix":""},{"dropping-particle":"","family":"Zwiers","given":"Francis W.","non-dropping-particle":"","parse-names":false,"suffix":""}],"container-title":"Managing the Risks of Extreme Events and Disasters to Advance Climate Change Adaptation: Special Report of the Intergovernmental Panel on Climate Change","id":"ITEM-1","issued":{"date-parts":[["2012"]]},"page":"109-230","title":"Changes in climate extremes and their impacts on the natural physical environment","type":"article-journal","volume":"9781107025"},"uris":["http://www.mendeley.com/documents/?uuid=8d940645-1a86-4d55-9d29-afc030f561bd"]},{"id":"ITEM-2","itemData":{"DOI":"10.1007/s43545-022-00383-y","ISBN":"0123456789","ISSN":"2662-9283","abstract":"There is limited attention on climate change (CC) and human migration among scholars and policymakers. Meanwhile, natural disasters are projected to induce migration in the coming years which will affect millions of people in sub-Saharan Africa (SSA). In this review, we contribute to climate migration literature by highlighting three important factors (i.e. floods, droughts, and sea-level rise) that predispose migrants in SSA to migrate. The review suggests that the environmental impact of CC in SSA cannot be overlooked. For example, the review discovered that the impact of flooding has intensified, and its impact on agriculture will affect rural–urban migration, forcing farmers to look for alternative job opportunities. Moreover, due to the lack of rainfall to support agricultural activities, the option of migrating away from agriculture and settling in urban areas becomes a possible coping strategy. Rising sea level will adversely affect many, due to a lack of adaptive capacity and emergency preparedness. This should concern policymakers because the major trend</w:instrText>
      </w:r>
      <w:r>
        <w:rPr>
          <w:rFonts w:eastAsia="Times New Roman" w:cs="Times New Roman"/>
          <w:szCs w:val="24"/>
          <w:lang w:val="fr-FR"/>
        </w:rPr>
        <w:instrText xml:space="preserve"> in migration, whether climate-related or not, is a movement from rural to urban areas which poses significant challenges to urban sustainability and climate resilience. Given the impact of floods, droughts, and sea-level rise in SSA, we propose the promotion of adaptive capacity through the encouragement of climate insurance programme which is limited in SSA, alternative livelihood opportunity programmes, and providing financial resources for climate adaptation initiatives.","author":[{"dropping-particle":"","family":"Ibrahim","given":"Bachar","non-dropping-particle":"","parse-names":false,"suffix":""},{"dropping-particle":"","family":"Mensah","given":"Henry","non-dropping-particle":"","parse-names":false,"suffix":""}],"container-title":"SN Social Sciences","id":"ITEM-2","issue":"6","issued":{"date-parts":[["2022"]]},"publisher":"Springer International Publishing","title":"Rethinking climate migration in sub-Saharan Africa from the perspective of tripartite drivers of climate change","type":"article-journal","volume":"2"},"uris":["http://www.mendeley.com/documents/?uuid=bc0da279-bc78-4a09-bfde-fc1d6fe9c9fb"]}],"mendeley":{"formattedCitation":"(Ibrahim &amp; Mensah, 2022; Seneviratne et al., 2012)","plainTextFormattedCitation":"(Ibrahim &amp; Mensah, 2022; Seneviratne et al., 2012)","previouslyFormattedCitation":"(Ibrahim &amp; Mensah, 2022; Seneviratne et al., 2012)"},"properties":{"noteIndex":0},"schema":"https://github.com/citation-style-language/schema/raw/master/csl-citation.json"}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lang w:val="fr-FR"/>
        </w:rPr>
        <w:t>(Ibrahim &amp; Mensah, 2022; Seneviratne et al., 2012)</w:t>
      </w:r>
      <w:r>
        <w:rPr>
          <w:rFonts w:eastAsia="Times New Roman" w:cs="Times New Roman"/>
          <w:szCs w:val="24"/>
        </w:rPr>
        <w:fldChar w:fldCharType="end"/>
      </w:r>
      <w:r>
        <w:rPr>
          <w:rFonts w:eastAsia="Times New Roman" w:cs="Times New Roman"/>
          <w:szCs w:val="24"/>
          <w:lang w:val="fr-FR"/>
        </w:rPr>
        <w:t xml:space="preserve">. </w:t>
      </w:r>
      <w:r>
        <w:rPr>
          <w:rFonts w:eastAsia="Times New Roman" w:cs="Times New Roman"/>
          <w:szCs w:val="24"/>
        </w:rPr>
        <w:fldChar w:fldCharType="begin" w:fldLock="1"/>
      </w:r>
      <w:r>
        <w:rPr>
          <w:rFonts w:eastAsia="Times New Roman" w:cs="Times New Roman"/>
          <w:szCs w:val="24"/>
          <w:lang w:val="fr-FR"/>
        </w:rPr>
        <w:instrText>ADDIN CSL_CITATION {"citationItems":[{"id":"ITEM-1","itemData":{"DOI":"10.3389/fsufs.2020.543403","ISSN":"2571581X","abstract":"The industrialization of agriculture based on inexpensive fossil fuels allowed for unprecedented levels of food production and population growth, but simultaneously contributed to a threat to food systems and population well-being: climate change. This paper analyses the impacts and adaptations available to the world's pastoral production systems including potential mitigation and adaptation strategies. The current food system is under pressure to satisfy the needs of the increasing population with already limited natural resources particularly land and water, and now increasingly under pressure due to climate change. Increasing incomes from greater number of people have increased demand for animal source foods. As a result, domestic livestock numbers are rising, particularly in low-income countries with greater dependence on pasture for animal feed. The carrying capacity of pastured land is limited; therefore, increasing animal numbers may cause environmental degradation and loss of productivity from pastoral industries. In some countries, the increasing demand has prompted some to burn forestlands and convert them into crop production, and after the land is degraded into pasture mainly for raising large ruminants. Changes in atmospheric carbon dioxide levels and ambient temperatures are predicted to make a number of changes to the growth of herbage for animals. Several strategies can be implemented to optimize the pasture-based food system, including choosing the right breed, improving reproductive efficiency, improving grazing management, and maintaining an animal feed base. The global challenge is to meet our food production needs while sustaining our environment. Producers in all income categories have a role to play in adapting to these challenges.","author":[{"dropping-particle":"","family":"Uddin","given":"Md E.","non-dropping-particle":"","parse-names":false,"suffix":""},{"dropping-particle":"","family":"Kebreab","given":"Ermias","non-dropping-particle":"","parse-names":false,"suffix":""}],"container-title":"Frontiers in Sustainable Food Systems","id":"ITEM-1","issue":"October","issued":{"date-parts":[["2020"]]},"page":"1-13","title":"Review: Impact of Food and Climate Change on Pastoral Industries","type":"article-journal","volume":"4"},"uris":["http://www.mendeley.com/documents/?uuid=005ac4bb-e148-46f6-8250-aa571af324ab"]}],"mendeley":{"formattedCitation":"(Uddin &amp; Kebreab, 2020)","manualFormatting":"Uddin &amp; Kebreab, (2020)","plainTextFormattedCitation":"(Uddin &amp; Kebreab, 2020)","previouslyFormattedCitation":"(Uddin &amp; Kebreab, 2020)"},"properties":{"noteIndex":0},"schema":"https://github.com/citation-style-language/schema/raw/master/csl-citation.json"}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lang w:val="fr-FR"/>
        </w:rPr>
        <w:t>Uddin &amp; Kebreab, (2020)</w:t>
      </w:r>
      <w:r>
        <w:rPr>
          <w:rFonts w:eastAsia="Times New Roman" w:cs="Times New Roman"/>
          <w:szCs w:val="24"/>
        </w:rPr>
        <w:fldChar w:fldCharType="end"/>
      </w:r>
      <w:r>
        <w:rPr>
          <w:rFonts w:eastAsia="Times New Roman" w:cs="Times New Roman"/>
          <w:szCs w:val="24"/>
          <w:lang w:val="fr-FR"/>
        </w:rPr>
        <w:t xml:space="preserve">; </w:t>
      </w:r>
      <w:r>
        <w:rPr>
          <w:rFonts w:eastAsia="Times New Roman" w:cs="Times New Roman"/>
          <w:szCs w:val="24"/>
        </w:rPr>
        <w:fldChar w:fldCharType="begin" w:fldLock="1"/>
      </w:r>
      <w:r>
        <w:rPr>
          <w:rFonts w:eastAsia="Times New Roman" w:cs="Times New Roman"/>
          <w:szCs w:val="24"/>
          <w:lang w:val="fr-FR"/>
        </w:rPr>
        <w:instrText>ADDIN CSL_CITATION {"citationItems":[{"id":"ITEM-1","itemData":{"DOI":"10.1007/s43545-022-00383-y","ISBN":"0123456789","ISSN":"2662-9283","abstract":"There is limited attention on climate change (CC) and human migration among scholars and policymakers. Meanwhile, natural disasters are projected to induce migration in the coming years which will affect millions of people in sub-Saharan Africa (SSA). In this review, we contribute to climate migration literature by highlighting three important factors (i.e. floods, droughts, and sea-level rise) that predispose migrants in SSA to migrate. The review suggests that the environmental impact of CC in SSA cannot be overlooked. For example, the review discovered that the impact of flooding has intensified, and its impact on agriculture will affect rural–urban migration, forcing farmers to look for alternative job opportunities. Moreover, due to the lack of rainfall to support agricultural activities, the option of migrating away from agriculture and settling in urban areas becomes a possible coping strategy. Rising sea level will adversely affect many, due to a lack of adaptive capacity and emergency preparedness. This should concern policymakers because the major trend in migration, whether climate-related or not, is a movement from rural to urban areas which poses significant challenges to urban sustainability and climate resilience. Given the impact of floods, droughts, and sea-level rise in SSA, we propose the promotion of adaptive capacity through the encouragement of climate insurance programme which is limited in SSA, alternative livelihood opportunity programmes, and providing financial resources for climate adaptation initiatives.","author":[{"dropping-particle":"","family":"Ibrahim","given":"Bachar","non-dropping-particle":"","parse-names":false,"suffix":""},{"dropping-particle":"","family":"Mensah","given":"Henry","non-dropping-particle":"","parse-names":false,"suffix":""}],"container-title":"SN Social Sciences","id":"ITEM-1","issue":"6","issued":{"date-parts":[["2022"]]},"publisher":"Springer International Publishing","title":"Rethinking climate migration in sub-Saharan Africa from the perspective of tripartite drivers of climate change","type":"article-journal","volume":"2"},"uris":["http://www.mendeley.com/documents/?uuid=bc0da279-bc78-4a09-bfde-fc1d6fe9c9fb"]}],"mendeley":{"formattedCitation":"(Ibrahim &amp; Mensah, 2022)","manualFormatting":"Ibrahim &amp; Mensah, (2022)","plainTextFormattedCitation":"(Ibrahim &amp; Mensah, 2022)","previouslyFormattedCitation":"(Ibrahim &amp; Mensah, 2022)"},"properties":{"noteIndex":0},"schema":"https://github.com/citation-style-language/schema/raw/master/csl-citation.json"}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lang w:val="fr-FR"/>
        </w:rPr>
        <w:t>Ibrahim &amp; Mensah, (2022)</w:t>
      </w:r>
      <w:r>
        <w:rPr>
          <w:rFonts w:eastAsia="Times New Roman" w:cs="Times New Roman"/>
          <w:szCs w:val="24"/>
        </w:rPr>
        <w:fldChar w:fldCharType="end"/>
      </w:r>
      <w:r>
        <w:rPr>
          <w:rFonts w:eastAsia="Times New Roman" w:cs="Times New Roman"/>
          <w:szCs w:val="24"/>
          <w:lang w:val="fr-FR"/>
        </w:rPr>
        <w:t xml:space="preserve"> </w:t>
      </w:r>
      <w:proofErr w:type="spellStart"/>
      <w:r>
        <w:rPr>
          <w:rFonts w:eastAsia="Times New Roman" w:cs="Times New Roman"/>
          <w:szCs w:val="24"/>
          <w:lang w:val="fr-FR"/>
        </w:rPr>
        <w:t>further</w:t>
      </w:r>
      <w:proofErr w:type="spellEnd"/>
      <w:r>
        <w:rPr>
          <w:rFonts w:eastAsia="Times New Roman" w:cs="Times New Roman"/>
          <w:szCs w:val="24"/>
          <w:lang w:val="fr-FR"/>
        </w:rPr>
        <w:t xml:space="preserve"> </w:t>
      </w:r>
      <w:proofErr w:type="spellStart"/>
      <w:r>
        <w:rPr>
          <w:rFonts w:eastAsia="Times New Roman" w:cs="Times New Roman"/>
          <w:szCs w:val="24"/>
          <w:lang w:val="fr-FR"/>
        </w:rPr>
        <w:t>opined</w:t>
      </w:r>
      <w:proofErr w:type="spellEnd"/>
      <w:r>
        <w:rPr>
          <w:rFonts w:eastAsia="Times New Roman" w:cs="Times New Roman"/>
          <w:szCs w:val="24"/>
          <w:lang w:val="fr-FR"/>
        </w:rPr>
        <w:t xml:space="preserve"> </w:t>
      </w:r>
      <w:proofErr w:type="spellStart"/>
      <w:r>
        <w:rPr>
          <w:rFonts w:eastAsia="Times New Roman" w:cs="Times New Roman"/>
          <w:szCs w:val="24"/>
          <w:lang w:val="fr-FR"/>
        </w:rPr>
        <w:t>that</w:t>
      </w:r>
      <w:proofErr w:type="spellEnd"/>
      <w:r>
        <w:rPr>
          <w:rFonts w:eastAsia="Times New Roman" w:cs="Times New Roman"/>
          <w:szCs w:val="24"/>
          <w:lang w:val="fr-FR"/>
        </w:rPr>
        <w:t xml:space="preserve"> </w:t>
      </w:r>
      <w:proofErr w:type="spellStart"/>
      <w:r>
        <w:rPr>
          <w:rFonts w:eastAsia="Times New Roman" w:cs="Times New Roman"/>
          <w:szCs w:val="24"/>
          <w:lang w:val="fr-FR"/>
        </w:rPr>
        <w:t>pastoralist</w:t>
      </w:r>
      <w:proofErr w:type="spellEnd"/>
      <w:r>
        <w:rPr>
          <w:rFonts w:eastAsia="Times New Roman" w:cs="Times New Roman"/>
          <w:szCs w:val="24"/>
          <w:lang w:val="fr-FR"/>
        </w:rPr>
        <w:t xml:space="preserve"> </w:t>
      </w:r>
      <w:proofErr w:type="spellStart"/>
      <w:r>
        <w:rPr>
          <w:rFonts w:eastAsia="Times New Roman" w:cs="Times New Roman"/>
          <w:szCs w:val="24"/>
          <w:lang w:val="fr-FR"/>
        </w:rPr>
        <w:t>mobility</w:t>
      </w:r>
      <w:proofErr w:type="spellEnd"/>
      <w:r>
        <w:rPr>
          <w:rFonts w:eastAsia="Times New Roman" w:cs="Times New Roman"/>
          <w:szCs w:val="24"/>
          <w:lang w:val="fr-FR"/>
        </w:rPr>
        <w:t xml:space="preserve"> </w:t>
      </w:r>
      <w:proofErr w:type="spellStart"/>
      <w:r>
        <w:rPr>
          <w:rFonts w:eastAsia="Times New Roman" w:cs="Times New Roman"/>
          <w:szCs w:val="24"/>
          <w:lang w:val="fr-FR"/>
        </w:rPr>
        <w:t>will</w:t>
      </w:r>
      <w:proofErr w:type="spellEnd"/>
      <w:r>
        <w:rPr>
          <w:rFonts w:eastAsia="Times New Roman" w:cs="Times New Roman"/>
          <w:szCs w:val="24"/>
          <w:lang w:val="fr-FR"/>
        </w:rPr>
        <w:t xml:space="preserve"> continue to </w:t>
      </w:r>
      <w:proofErr w:type="spellStart"/>
      <w:r>
        <w:rPr>
          <w:rFonts w:eastAsia="Times New Roman" w:cs="Times New Roman"/>
          <w:szCs w:val="24"/>
          <w:lang w:val="fr-FR"/>
        </w:rPr>
        <w:t>increase</w:t>
      </w:r>
      <w:proofErr w:type="spellEnd"/>
      <w:r>
        <w:rPr>
          <w:rFonts w:eastAsia="Times New Roman" w:cs="Times New Roman"/>
          <w:szCs w:val="24"/>
          <w:lang w:val="fr-FR"/>
        </w:rPr>
        <w:t xml:space="preserve"> due to </w:t>
      </w:r>
      <w:proofErr w:type="spellStart"/>
      <w:r>
        <w:rPr>
          <w:rFonts w:eastAsia="Times New Roman" w:cs="Times New Roman"/>
          <w:szCs w:val="24"/>
          <w:lang w:val="fr-FR"/>
        </w:rPr>
        <w:t>climate</w:t>
      </w:r>
      <w:proofErr w:type="spellEnd"/>
      <w:r>
        <w:rPr>
          <w:rFonts w:eastAsia="Times New Roman" w:cs="Times New Roman"/>
          <w:szCs w:val="24"/>
          <w:lang w:val="fr-FR"/>
        </w:rPr>
        <w:t xml:space="preserve"> change. </w:t>
      </w:r>
      <w:r>
        <w:rPr>
          <w:rFonts w:eastAsia="Times New Roman" w:cs="Times New Roman"/>
          <w:szCs w:val="24"/>
        </w:rPr>
        <w:t>There is no doubt about this, because since pastoralists depends on the environment for survival, they are most likely to move in a situation where they are unable to cope or adapt to the changes in the environment.</w:t>
      </w:r>
    </w:p>
    <w:p w:rsidR="00E53882" w:rsidRDefault="00B16FF7">
      <w:pPr>
        <w:pStyle w:val="NoSpacing"/>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Climate change-induced pastoralist mobility is a multifaceted idea with different meanings for viewers of climate-induced mobility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{"citationItems":[{"id":"ITEM-1","itemData":{"DOI":"10.1080/1369183X.2022.2066260","ISSN":"1369-183X","author":[{"dropping-particle":"","family":"Durand-Delacre","given":"David","non-dropping-particle":"","parse-names":false,"suffix":""}],"container-title":"Journal of Ethnic and Migration Studies","id":"ITEM-1","issue":"14","issued":{"date-parts":[["2022","10","26"]]},"note":"doi: 10.1080/1369183X.2022.2066260","page":"3397-3415","publisher":"Routledge","title":"(Mis)representing climate mobilities: lessons from documentary filmmaking","type":"article-journal","volume":"48"},"uris":["http://www.mendeley.com/documents/?uuid=a7c034d9-61e7-40a4-9361-b1e567356107"]}],"mendeley":{"formattedCitation":"(Durand-Delacre, 2022)","plainTextFormattedCitation":"(Durand-Delacre, 2022)","previouslyFormattedCitation":"(Durand-Delacre, 2022)"},"properties":{"noteIndex":0},"schema":"https://github.com/citation-style-language/schema/raw/master/csl-citation.json"}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(Durand-Delacre, 2022)</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mobility of pastoralists in West Africa together with their livestock has been witnessed by foreigners as operations in contradiction of the environment as well as the aims of economic growth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-1","issue":"1","issued":{"date-parts":[["2019"]]},"publisher":"Pastoralism","title":"Livestock mobility in sub-Saharan Africa: A critical review","type":"article-journal","volume":"9"},"uris":["http://www.mendeley.com/documents/?uuid=3bc8f263-23c8-4179-97af-ffc3d9bfb212"]}],"mendeley":{"formattedCitation":"(Turner &amp; Schlecht, 2019)","plainTextFormattedCitation":"(Turner &amp; Schlecht, 2019)","previouslyFormattedCitation":"(Turner &amp; Schlecht,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(Turner &amp; Schlecht,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In recent times, pastoralist mobility has been embraced, though there have been doubts regarding its meaning and in what way it may be measured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{"citationItems":[{"id":"ITEM-1","itemData":{"DOI":"10.1186/s13570-021-00203-7","ISSN":"20417136","abstract":"As the “new rangeland paradigm” took shape in the 1990s, climatic variability in pastoral ecosystems was often discussed as “uncertainty”, and the essential mobility of pastoral systems was argued to be possible only with flexible land access rights. These context-specific principles have increasingly been globalized in analyses of diverse pastoral systems. While new understandings of the role of uncertainty and flexibility in pastoral systems have been unquestionably beneficial for particular contexts, uncertainty has been problematically embraced as intrinsically central to pastoral systems. This paper combines a critical review of the literature and field work in Tajikistan’s Rasht Valley to bring into clear relief differences between variability and uncertainty, on the one hand, and mobility and flexibility, on the other. This allows us to see that livestock mobility is a strategy to cope with environmental variability in all pastoral contexts. Flexibility, however, is a strategy to cope with environmental uncertainty that is only present in a subset of pastoral contexts. Importantly, flexibility is not a required precondition for mobility. These realizations carry important implications for governance in pastoral settings. Due to the many challenges of building flexibility into property systems, pastoral land governance should be developed by looking for predictability, and efforts to maintain flexibility should be judicious and empirically well-justified.","author":[{"dropping-particle":"","family":"Gillin","given":"Kramer","non-dropping-particle":"","parse-names":false,"suffix":""}],"container-title":"Pastoralism","id":"ITEM-1","issue":"1","issued":{"date-parts":[["2021"]]},"publisher":"Pastoralism","title":"Variability is not uncertainty; mobility is not flexibility: Clarifying concepts in pastoralism studies with evidence from Tajikistan","type":"article-journal","volume":"11"},"uris":["http://www.mendeley.com/documents/?uuid=b414634f-d6e2-4e38-b0a7-bcdfba93acd4"]},{"id":"ITEM-2","itemData":{"DOI":"10.1186/s13570-019-0150-z","ISSN":"20417136","abstract":"Livestock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-2","issue":"1","issued":{"date-parts":[["2019"]]},"publisher":"Pastoralism","title":"Livestock mobility in sub-Saharan Africa: A critical review","type":"article-journal","volume":"9"},"uris":["http://www.mendeley.com/documents/?uuid=3bc8f263-23c8-4179-97af-ffc3d9bfb212"]}],"mendeley":{"formattedCitation":"(Gillin, 2021; Turner &amp; Schlecht, 2019)","plainTextFormattedCitation":"(Gillin, 2021; Turner &amp; Schlecht, 2019)","previouslyFormattedCitation":"(Gillin, 2021; Turner &amp; Schlecht,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 xml:space="preserve">(Gillin, 2021; Turner &amp; Schlecht, </w:t>
      </w:r>
      <w:r>
        <w:rPr>
          <w:rFonts w:ascii="Times New Roman" w:eastAsia="Times New Roman" w:hAnsi="Times New Roman" w:cs="Times New Roman"/>
          <w:noProof/>
          <w:sz w:val="24"/>
          <w:szCs w:val="24"/>
        </w:rPr>
        <w:lastRenderedPageBreak/>
        <w:t>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When we scrutinize this historically, we will understand the ever-changing set of agreements accepted to connect ecology, mobility, livelihood, and institutions </w:t>
      </w:r>
      <w:r>
        <w:rPr>
          <w:rFonts w:ascii="Times New Roman" w:eastAsia="Times New Roman" w:hAnsi="Times New Roman" w:cs="Times New Roman"/>
          <w:sz w:val="24"/>
          <w:szCs w:val="24"/>
        </w:rPr>
        <w:fldChar w:fldCharType="begin" w:fldLock="1"/>
      </w:r>
      <w:r w:rsidR="00900D2E">
        <w:rPr>
          <w:rFonts w:ascii="Times New Roman" w:eastAsia="Times New Roman" w:hAnsi="Times New Roman" w:cs="Times New Roman"/>
          <w:sz w:val="24"/>
          <w:szCs w:val="24"/>
        </w:rPr>
        <w:instrText>ADDIN CSL_CITATION {"citationItems":[{"id":"ITEM-1","itemData":{"DOI":"10.1007/s11111-021-00387-5","ISBN":"0123456789","ISSN":"15737810","abstract":"Development cooperation actors have been addressing climate change as a cross-cutting issue and investing in climate adaptation projects since the early 2000s. More recently, as concern has risen about the potential impacts of climate variability and change on human mobility, development cooperation actors have begun to design projects that intentionally address the drivers of migration, including climate impacts on livelihoods. However, to date, we know little about the development cooperation’s role and function in responding to climate related mobility and migration. As such, the main aim of this paper is to outline the policy frameworks and approaches shaping development cooperation actors’ engagement and to identify areas for further exploration and investment. First, we frame the concept of climate mobility and migration and discuss some applicable policy frameworks that govern the issue from various perspectives; secondly, we review the toolbox of approaches that development cooperation actors bring to climate mobility; and third, we discuss the implications of the current Covid-19 pandemic and identify avenues for the way forward. We conclude that ensuring safe and orderly mobility and the decent reception and long-term inclusion of migrants and displaced persons under conditions of more severe climate hazards, and in the context of rising nationalism and xenophobia, poses significant challenges. Integrated approaches across multiple policy sectors and levels of governance are needed. In addition to resources, development cooperation actors can bring data to help empower the most affected communities and regions and leverage their convening power to foster more coordinated approaches within and across countries.","author":[{"dropping-particle":"","family":"Stojanov","given":"Robert","non-dropping-particle":"","parse-names":false,"suffix":""},{"dropping-particle":"","family":"Rosengaertner","given":"Sarah","non-dropping-particle":"","parse-names":false,"suffix":""},{"dropping-particle":"","family":"Sherbinin","given":"Alex","non-dropping-particle":"de","parse-names":false,"suffix":""},{"dropping-particle":"","family":"Nawrotzki","given":"Raphael","non-dropping-particle":"","parse-names":false,"suffix":""}],"container-title":"Population and Environment","id":"ITEM-1","issue":"2","issued":{"date-parts":[["2021"]]},"page":"209-231","publisher":"Springer Netherlands","title":"Climate Mobility and Development Cooperation","type":"article-journal","volume":"43"},"uris":["http://www.mendeley.com/documents/?uuid=8593f5a6-5d69-4f1e-a6fb-95dbe60973a3"]}],"mendeley":{"formattedCitation":"(Stojanov et al., 2021)","plainTextFormattedCitation":"(Stojanov et al., 2021)","previouslyFormattedCitation":"(Stojanov et al., 2021)"},"properties":{"noteIndex":0},"schema":"https://github.com/citation-style-language/schema/raw/master/csl-citation.json"}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(Stojanov et al., 2021)</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Some of the movements of pastoralist have been within the country, while others have been cross-border to other countries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author":[{"dropping-particle":"","family":"Herbert","given":"Siân","non-dropping-particle":"","parse-names":false,"suffix":""},{"dropping-particle":"","family":"Birch","given":"Izzy","non-dropping-particle":"","parse-names":false,"suffix":""}],"id":"ITEM-1","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Birmingham.","type":"article-journal"},"uris":["http://www.mendeley.com/documents/?uuid=1a598de7-0b9a-40ad-ad96-afe5a753c43a"]}],"mendeley":{"formattedCitation":"(Herbert &amp; Birch, 2022)","plainTextFormattedCitation":"(Herbert &amp; Birch, 2022)","previouslyFormattedCitation":"(Herbert &amp; Birch, 2022)"},"properties":{"noteIndex":0},"schema":"https://github.com/citation-style-language/schema/raw/master/csl-citation.json"}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(Herbert &amp; Birch, 2022)</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xml:space="preserve">. The focus of this research is on those who cross the border into Ghana and those who stay in the study area. Ellen </w:t>
      </w:r>
      <w:proofErr w:type="spellStart"/>
      <w:r>
        <w:rPr>
          <w:rFonts w:ascii="Times New Roman" w:eastAsia="Times New Roman" w:hAnsi="Times New Roman" w:cs="Times New Roman"/>
          <w:sz w:val="24"/>
          <w:szCs w:val="24"/>
        </w:rPr>
        <w:t>Semple</w:t>
      </w:r>
      <w:proofErr w:type="spellEnd"/>
      <w:r>
        <w:rPr>
          <w:rFonts w:ascii="Times New Roman" w:eastAsia="Times New Roman" w:hAnsi="Times New Roman" w:cs="Times New Roman"/>
          <w:sz w:val="24"/>
          <w:szCs w:val="24"/>
        </w:rPr>
        <w:t xml:space="preserve"> (1915) was one of the early environmental determinists; the scholar associated the high </w:t>
      </w:r>
      <w:proofErr w:type="spellStart"/>
      <w:r>
        <w:rPr>
          <w:rFonts w:ascii="Times New Roman" w:eastAsia="Times New Roman" w:hAnsi="Times New Roman" w:cs="Times New Roman"/>
          <w:sz w:val="24"/>
          <w:szCs w:val="24"/>
        </w:rPr>
        <w:t>spatio</w:t>
      </w:r>
      <w:proofErr w:type="spellEnd"/>
      <w:r>
        <w:rPr>
          <w:rFonts w:ascii="Times New Roman" w:eastAsia="Times New Roman" w:hAnsi="Times New Roman" w:cs="Times New Roman"/>
          <w:sz w:val="24"/>
          <w:szCs w:val="24"/>
        </w:rPr>
        <w:t xml:space="preserve">-temporal unpredictability of the dry lands with an increase in herds in Africa as a reason for mobility. This was interpreted as increasing the possibility for administrative form, but with limited capability to grow an advanced governance structure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{"citationItems":[{"id":"ITEM-1","itemData":{"author":[{"dropping-particle":"","family":"Söderberg","given":"Nora","non-dropping-particle":"","parse-names":false,"suffix":""}],"id":"ITEM-1","issued":{"date-parts":[["2019"]]},"title":"Climate-Induced Human Mobility in Policy","type":"article-journal"},"uris":["http://www.mendeley.com/documents/?uuid=187bc09d-e002-42fe-8134-0adec057cbde"]},{"id":"ITEM-2","itemData":{"DOI":"10.1186/s13570-019-0150-z","ISSN":"20417136","abstract":"Livestock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-2","issue":"1","issued":{"date-parts":[["2019"]]},"publisher":"Pastoralism","title":"Livestock mobility in sub-Saharan Africa: A critical review","type":"article-journal","volume":"9"},"uris":["http://www.mendeley.com/documents/?uuid=3bc8f263-23c8-4179-97af-ffc3d9bfb212"]}],"mendeley":{"formattedCitation":"(Söderberg, 2019; Turner &amp; Schlecht, 2019)","plainTextFormattedCitation":"(Söderberg, 2019; Turner &amp; Schlecht, 2019)","previouslyFormattedCitation":"(Söderberg, 2019; Turner &amp; Schlecht,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(Söderberg, 2019; Turner &amp; Schlecht,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These connections are what supported the earlier but still persistent view of the concurrence of environmental variability, mobility, and primitiveness, which contributed to the malign neglect of pastoral needs by governments and development actors</w:t>
      </w:r>
      <w:r>
        <w:rPr>
          <w:rFonts w:ascii="Times New Roman" w:hAnsi="Times New Roman" w:cs="Times New Roman"/>
          <w:sz w:val="24"/>
          <w:szCs w:val="24"/>
        </w:rPr>
        <w:t xml:space="preserve">. </w:t>
      </w:r>
      <w:r>
        <w:rPr>
          <w:rFonts w:ascii="Times New Roman" w:eastAsia="Times New Roman" w:hAnsi="Times New Roman" w:cs="Times New Roman"/>
          <w:sz w:val="24"/>
          <w:szCs w:val="24"/>
        </w:rPr>
        <w:t xml:space="preserve">Mobility cannot only be described as a way of life. However, outcomes from a series of decisions formed by the benefits and cost of mobility. Though, this is true, but the interest of cattle owner is the well fair of the cow, and not necessarily the cost involves in finding appropriate grazing land for them. Regardless of the increasing obstacles and a changing set of motivations facing herders, their decisions to move are influenced by the strength and nutritional status of their herds </w:t>
      </w:r>
      <w:r>
        <w:rPr>
          <w:rFonts w:ascii="Times New Roman" w:eastAsia="Times New Roman" w:hAnsi="Times New Roman" w:cs="Times New Roman"/>
          <w:sz w:val="24"/>
          <w:szCs w:val="24"/>
        </w:rPr>
        <w:fldChar w:fldCharType="begin" w:fldLock="1"/>
      </w:r>
      <w:r>
        <w:rPr>
          <w:rFonts w:ascii="Times New Roman" w:eastAsia="Times New Roman" w:hAnsi="Times New Roman" w:cs="Times New Roman"/>
          <w:sz w:val="24"/>
          <w:szCs w:val="24"/>
        </w:rPr>
        <w:instrText>ADDIN CSL_CITATION {"citationItems":[{"id":"ITEM-1","itemData":{"DOI":"10.1186/s13570-019-0150-z","ISSN":"20417136","abstract":"Livestock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-1","issue":"1","issued":{"date-parts":[["2019"]]},"publisher":"Pastoralism","title":"Livestock mobility in sub-Saharan Africa: A critical review","type":"article-journal","volume":"9"},"uris":["http://www.mendeley.com/documents/?uuid=3bc8f263-23c8-4179-97af-ffc3d9bfb212"]}],"mendeley":{"formattedCitation":"(Turner &amp; Schlecht, 2019)","plainTextFormattedCitation":"(Turner &amp; Schlecht, 2019)","previouslyFormattedCitation":"(Turner &amp; Schlecht, 2019)"},"properties":{"noteIndex":0},"schema":"https://github.com/citation-style-language/schema/raw/master/csl-citation.json"}</w:instrText>
      </w:r>
      <w:r>
        <w:rPr>
          <w:rFonts w:ascii="Times New Roman" w:eastAsia="Times New Roman" w:hAnsi="Times New Roman" w:cs="Times New Roman"/>
          <w:sz w:val="24"/>
          <w:szCs w:val="24"/>
        </w:rPr>
        <w:fldChar w:fldCharType="separate"/>
      </w:r>
      <w:r>
        <w:rPr>
          <w:rFonts w:ascii="Times New Roman" w:eastAsia="Times New Roman" w:hAnsi="Times New Roman" w:cs="Times New Roman"/>
          <w:noProof/>
          <w:sz w:val="24"/>
          <w:szCs w:val="24"/>
        </w:rPr>
        <w:t>(Turner &amp; Schlecht, 2019)</w:t>
      </w:r>
      <w:r>
        <w:rPr>
          <w:rFonts w:ascii="Times New Roman" w:eastAsia="Times New Roman" w:hAnsi="Times New Roman" w:cs="Times New Roman"/>
          <w:sz w:val="24"/>
          <w:szCs w:val="24"/>
        </w:rPr>
        <w:fldChar w:fldCharType="end"/>
      </w:r>
      <w:r>
        <w:rPr>
          <w:rFonts w:ascii="Times New Roman" w:eastAsia="Times New Roman" w:hAnsi="Times New Roman" w:cs="Times New Roman"/>
          <w:sz w:val="24"/>
          <w:szCs w:val="24"/>
        </w:rPr>
        <w:t>. This is why they always leverage on the services of veterinary to ensure that their animals are properly vaccinated and also feed well.</w:t>
      </w:r>
    </w:p>
    <w:p w:rsidR="00E53882" w:rsidRDefault="00B16FF7">
      <w:pPr>
        <w:spacing w:line="480" w:lineRule="auto"/>
        <w:rPr>
          <w:rFonts w:eastAsia="Calibri" w:cs="Times New Roman"/>
          <w:szCs w:val="24"/>
        </w:rPr>
      </w:pPr>
      <w:r>
        <w:rPr>
          <w:rFonts w:eastAsia="Calibri" w:cs="Times New Roman"/>
          <w:szCs w:val="24"/>
        </w:rPr>
        <w:t xml:space="preserve">Recently, there have been a growing debate concerning whether climate change is the main driver for pastoralist mobility. Studies have shown that climate change does not always increase mobility </w:t>
      </w:r>
      <w:r>
        <w:rPr>
          <w:rFonts w:eastAsia="Calibri" w:cs="Times New Roman"/>
          <w:szCs w:val="24"/>
        </w:rPr>
        <w:fldChar w:fldCharType="begin" w:fldLock="1"/>
      </w:r>
      <w:r>
        <w:rPr>
          <w:rFonts w:eastAsia="Calibri" w:cs="Times New Roman"/>
          <w:szCs w:val="24"/>
        </w:rPr>
        <w:instrText>ADDIN CSL_CITATION {"citationItems":[{"id":"ITEM-1","itemData":{"author":[{"dropping-particle":"","family":"Szaboova","given":"L.","non-dropping-particle":"","parse-names":false,"suffix":""},{"dropping-particle":"","family":"Colón","given":"C.","non-dropping-particle":"","parse-names":false,"suffix":""}],"id":"ITEM-1","issued":{"date-parts":[["2020"]]},"title":"Concepts, Contexts and Categorisations of Climate Mobility","type":"article-journal"},"uris":["http://www.mendeley.com/documents/?uuid=22c97ff5-4bed-4bef-b225-b3def57f6d72"]}],"mendeley":{"formattedCitation":"(Szaboova &amp; Colón, 2020)","plainTextFormattedCitation":"(Szaboova &amp; Colón, 2020)","previouslyFormattedCitation":"(Szaboova &amp; Colón, 2020)"},"properties":{"noteIndex":0},"schema":"https://github.com/citation-style-language/schema/raw/master/csl-citation.json"}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(Szaboova &amp; Colón, 2020)</w:t>
      </w:r>
      <w:r>
        <w:rPr>
          <w:rFonts w:eastAsia="Calibri" w:cs="Times New Roman"/>
          <w:szCs w:val="24"/>
        </w:rPr>
        <w:fldChar w:fldCharType="end"/>
      </w:r>
      <w:r>
        <w:rPr>
          <w:rFonts w:eastAsia="Calibri" w:cs="Times New Roman"/>
          <w:szCs w:val="24"/>
        </w:rPr>
        <w:t xml:space="preserve">. Because the attributes of climate change-related mobility do not work in isolation as they can be driven by economic and social factors such </w:t>
      </w:r>
      <w:r>
        <w:rPr>
          <w:rFonts w:eastAsia="Calibri" w:cs="Times New Roman"/>
          <w:szCs w:val="24"/>
        </w:rPr>
        <w:lastRenderedPageBreak/>
        <w:t xml:space="preserve">as an increase in population, inequalities, unemployment, and an increase in technology, trigging mobility to occur significantly </w:t>
      </w:r>
      <w:r>
        <w:rPr>
          <w:rFonts w:eastAsia="Calibri" w:cs="Times New Roman"/>
          <w:szCs w:val="24"/>
        </w:rPr>
        <w:fldChar w:fldCharType="begin" w:fldLock="1"/>
      </w:r>
      <w:r>
        <w:rPr>
          <w:rFonts w:eastAsia="Calibri" w:cs="Times New Roman"/>
          <w:szCs w:val="24"/>
        </w:rPr>
        <w:instrText>ADDIN CSL_CITATION {"citationItems":[{"id":"ITEM-1","itemData":{"DOI":"10.1080/1369183x.2022.2066262","ISSN":"1369-183X","author":[{"dropping-particle":"","family":"Boas","given":"Ingrid","non-dropping-particle":"","parse-names":false,"suffix":""}],"container-title":"Journal of Ethnic and Migration Studies","id":"ITEM-1","issued":{"date-parts":[["2022"]]},"page":"1-17","title":"The diversification of pastoralist herding: navigating socio-climatic risk via mobile technologies","type":"article-journal"},"uris":["http://www.mendeley.com/documents/?uuid=9b1cffaf-8106-4757-b876-26b5a82bea8a"]}],"mendeley":{"formattedCitation":"(Boas, 2022)","plainTextFormattedCitation":"(Boas, 2022)","previouslyFormattedCitation":"(Boas, 2022)"},"properties":{"noteIndex":0},"schema":"https://github.com/citation-style-language/schema/raw/master/csl-citation.json"}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(Boas, 2022)</w:t>
      </w:r>
      <w:r>
        <w:rPr>
          <w:rFonts w:eastAsia="Calibri" w:cs="Times New Roman"/>
          <w:szCs w:val="24"/>
        </w:rPr>
        <w:fldChar w:fldCharType="end"/>
      </w:r>
      <w:r>
        <w:rPr>
          <w:rFonts w:eastAsia="Calibri" w:cs="Times New Roman"/>
          <w:szCs w:val="24"/>
        </w:rPr>
        <w:t xml:space="preserve">. In some parts of West Africa, mobility is mostly caused by poor economic growth, human rights infringement, development of large-scale projects, and environmental changes </w:t>
      </w:r>
      <w:r>
        <w:rPr>
          <w:rFonts w:eastAsia="Calibri" w:cs="Times New Roman"/>
          <w:szCs w:val="24"/>
        </w:rPr>
        <w:fldChar w:fldCharType="begin" w:fldLock="1"/>
      </w:r>
      <w:r>
        <w:rPr>
          <w:rFonts w:eastAsia="Calibri" w:cs="Times New Roman"/>
          <w:szCs w:val="24"/>
        </w:rPr>
        <w:instrText>ADDIN CSL_CITATION {"citationItems":[{"id":"ITEM-1","itemData":{"abstract":"West Africa, through its strategic position between North Africa and the tropical zones, but also through its opening towards the Atlantic and the Americas, has always been a place of intensive mobility and intermixing of populations. Since the 1960s, it has included a number of areas of political and economic stability (Senegal, Ivory Coast, Ghana, Nigeria), which have made it an attractive space compared to the rest of the continent. West Africa, while a land of immigration since the colonial period, has also become a land of emigration. There have been substantial population movements from the countries at the centre of the sub-region towards the coastal countries as well as other African countries (Gabon, Congo, Cameroon) and, to a lesser extent, the former colonial countries (France, Great Britain, Portugal). In the last few years, the arrival of fishing boats from the Sub-Sahara on the coasts of Spain and Italy, highly politicized and with intense media coverage, has also given the sub-region a new image: one of a \" transit \" area from which \" thousands of Africans \" are departing in the hope of reaching the European El Dorado. West Africa as a Migration Area The first part of this paper demonstrates that this image does not reflect reality. The most recent statistics show in fact that there are ten times more migration movements within West Africa than towards European countries. These migration flows, while they have never stopped adapting to the political and economic vicissitudes of the sub-region have emphasized three main migration areas since the end of the 1960s: a central area, a western area and an eastern area. With the exception of refugee flows, movements responded to family strategies for diversifying risks and were organized on a village or ethnic basis, using commercial networks which are often very old. Since the beginning of the 1990s, these intra-regional migration dynamics have not only been increasingly diversified and become volatile, but also individualized and placed in jeopardy. This evolution can be explained by several factors, among them: (i) the population and urban explosion which has characterized the region over the last 50 years and led to a redefinition of family structures and the weakening of some mutual aid networks in the host countries; (ii) the growing fragility of the \" traditional \" hubs of political and economic stability as well as the wars in Sierra Leone and Liberia which resulted in substantial refuge…","author":[{"dropping-particle":"","family":"Charrièrre","given":"F.","non-dropping-particle":"","parse-names":false,"suffix":""},{"dropping-particle":"","family":"Fresia","given":"M.","non-dropping-particle":"","parse-names":false,"suffix":""}],"container-title":"UN High Commissioner for Refugees (UNHCR)","id":"ITEM-1","issued":{"date-parts":[["2008"]]},"title":"West Africa as a Migration and Protection area","type":"article-journal"},"uris":["http://www.mendeley.com/documents/?uuid=ac2a598d-dd1d-4429-bc58-74c9230ffb84"]},{"id":"ITEM-2","itemData":{"abstract":"This paper seeks to advance understanding of the connection between the slow onset adverse effects of climate change, human rights, and the cross-border movement of people in order to promote informed actions to protect the rights of those affected. The study was undertaken on behalf of the Office of the United Nations High Commissioner for Human Rights (OHCHR), in collaboration with the Platform on Disaster Displacement (PDD).","author":[{"dropping-particle":"","family":"Nishimura","given":"","non-dropping-particle":"","parse-names":false,"suffix":""}],"id":"ITEM-2","issue":"October","issued":{"date-parts":[["2017"]]},"page":"1-6","title":"The Slow onset effects of climate change and human rights protection for cross-border migrants","type":"article-journal","volume":"04452"},"uris":["http://www.mendeley.com/documents/?uuid=7f0d74de-91e8-4f34-a1ed-1253fca6cde5"]}],"mendeley":{"formattedCitation":"(Charrièrre &amp; Fresia, 2008; Nishimura, 2017)","plainTextFormattedCitation":"(Charrièrre &amp; Fresia, 2008; Nishimura, 2017)","previouslyFormattedCitation":"(Charrièrre &amp; Fresia, 2008; Nishimura, 2017)"},"properties":{"noteIndex":0},"schema":"https://github.com/citation-style-language/schema/raw/master/csl-citation.json"}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(Charrièrre &amp; Fresia, 2008; Nishimura, 2017)</w:t>
      </w:r>
      <w:r>
        <w:rPr>
          <w:rFonts w:eastAsia="Calibri" w:cs="Times New Roman"/>
          <w:szCs w:val="24"/>
        </w:rPr>
        <w:fldChar w:fldCharType="end"/>
      </w:r>
      <w:r>
        <w:rPr>
          <w:rFonts w:eastAsia="Calibri" w:cs="Times New Roman"/>
          <w:szCs w:val="24"/>
        </w:rPr>
        <w:t xml:space="preserve">. As a result, migration scholars have explained that, it is important to look beyond the climate change been the main influence of mobility and considered other socioeconomic drivers that could influence pastoralist to move out of their comfort zone to other places, either within or cross the state borders to different countries where they can seek for pasture. </w:t>
      </w:r>
      <w:r>
        <w:rPr>
          <w:rFonts w:eastAsia="Calibri" w:cs="Times New Roman"/>
          <w:szCs w:val="24"/>
          <w:lang w:val="en"/>
        </w:rPr>
        <w:t xml:space="preserve">For instance, in Burkina Faso, pastoral zone was created at </w:t>
      </w:r>
      <w:proofErr w:type="spellStart"/>
      <w:r>
        <w:rPr>
          <w:rFonts w:eastAsia="Calibri" w:cs="Times New Roman"/>
          <w:szCs w:val="24"/>
          <w:lang w:val="en"/>
        </w:rPr>
        <w:t>Nouhao</w:t>
      </w:r>
      <w:proofErr w:type="spellEnd"/>
      <w:r>
        <w:rPr>
          <w:rFonts w:eastAsia="Calibri" w:cs="Times New Roman"/>
          <w:szCs w:val="24"/>
          <w:lang w:val="en"/>
        </w:rPr>
        <w:t xml:space="preserve"> in 1976 by the Burkinabe State for the purpose of creating the conditions for a conclusive </w:t>
      </w:r>
      <w:proofErr w:type="spellStart"/>
      <w:r>
        <w:rPr>
          <w:rFonts w:eastAsia="Calibri" w:cs="Times New Roman"/>
          <w:szCs w:val="24"/>
          <w:lang w:val="en"/>
        </w:rPr>
        <w:t>sedentarization</w:t>
      </w:r>
      <w:proofErr w:type="spellEnd"/>
      <w:r>
        <w:rPr>
          <w:rFonts w:eastAsia="Calibri" w:cs="Times New Roman"/>
          <w:szCs w:val="24"/>
          <w:lang w:val="en"/>
        </w:rPr>
        <w:t xml:space="preserve"> of breeders. In view of that, preparations and provisions were put in place to ensure a reliable and satisfactory availability of food, water and health care service of animals and people all year round. Years later, they find out that despite all the provision made for the herdsmen who were admitted to the place, they continue to keep their traditional system, thus, both internal and external mobility </w:t>
      </w:r>
      <w:r>
        <w:rPr>
          <w:rFonts w:eastAsia="Calibri" w:cs="Times New Roman"/>
          <w:szCs w:val="24"/>
          <w:lang w:val="en"/>
        </w:rPr>
        <w:fldChar w:fldCharType="begin" w:fldLock="1"/>
      </w:r>
      <w:r>
        <w:rPr>
          <w:rFonts w:eastAsia="Calibri" w:cs="Times New Roman"/>
          <w:szCs w:val="24"/>
          <w:lang w:val="en"/>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eastAsia="Calibri" w:cs="Times New Roman"/>
          <w:szCs w:val="24"/>
          <w:lang w:val="en"/>
        </w:rPr>
        <w:fldChar w:fldCharType="separate"/>
      </w:r>
      <w:r>
        <w:rPr>
          <w:rFonts w:eastAsia="Calibri" w:cs="Times New Roman"/>
          <w:noProof/>
          <w:szCs w:val="24"/>
          <w:lang w:val="en"/>
        </w:rPr>
        <w:t>(Ouoba-Ima, 2018)</w:t>
      </w:r>
      <w:r>
        <w:rPr>
          <w:rFonts w:eastAsia="Calibri" w:cs="Times New Roman"/>
          <w:szCs w:val="24"/>
          <w:lang w:val="en"/>
        </w:rPr>
        <w:fldChar w:fldCharType="end"/>
      </w:r>
      <w:r>
        <w:rPr>
          <w:rFonts w:eastAsia="Calibri" w:cs="Times New Roman"/>
          <w:szCs w:val="24"/>
        </w:rPr>
        <w:t xml:space="preserve">. From the narration above, it is clear that, climatic factors are not the only reasons herdsmen move. Looking at the example above, the researcher realized that, even though, the </w:t>
      </w:r>
      <w:r>
        <w:rPr>
          <w:rFonts w:eastAsia="Calibri" w:cs="Times New Roman"/>
          <w:szCs w:val="24"/>
          <w:lang w:val="en"/>
        </w:rPr>
        <w:t xml:space="preserve">Burkinabe State provides climate change adaptation strategies for herdsmen in this area, the herdsmen still move. This is not surprising, several studies have found that, pastoralists internal or external mobility is not only associated with climatic factors, but there are other socioeconomic, and cultural drivers. For instance, </w:t>
      </w:r>
      <w:r>
        <w:rPr>
          <w:rFonts w:eastAsia="Calibri" w:cs="Times New Roman"/>
          <w:iCs/>
          <w:szCs w:val="24"/>
        </w:rPr>
        <w:t xml:space="preserve">According to </w:t>
      </w:r>
      <w:r>
        <w:rPr>
          <w:rFonts w:eastAsia="Calibri" w:cs="Times New Roman"/>
          <w:iCs/>
          <w:szCs w:val="24"/>
        </w:rPr>
        <w:fldChar w:fldCharType="begin" w:fldLock="1"/>
      </w:r>
      <w:r>
        <w:rPr>
          <w:rFonts w:eastAsia="Calibri" w:cs="Times New Roman"/>
          <w:iCs/>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(Ouoba-Ima, 2018)</w:t>
      </w:r>
      <w:r>
        <w:rPr>
          <w:rFonts w:eastAsia="Calibri" w:cs="Times New Roman"/>
          <w:iCs/>
          <w:szCs w:val="24"/>
        </w:rPr>
        <w:fldChar w:fldCharType="end"/>
      </w:r>
      <w:r>
        <w:rPr>
          <w:rFonts w:eastAsia="Calibri" w:cs="Times New Roman"/>
          <w:iCs/>
          <w:szCs w:val="24"/>
        </w:rPr>
        <w:t xml:space="preserve">, pastoralist mobility serves as an opportunity to showcase cultural and individual values, where young individuals returning with healthy animals garner prestige. The cultural significance of mobility is further emphasized by </w:t>
      </w:r>
      <w:r>
        <w:rPr>
          <w:rFonts w:eastAsia="Calibri" w:cs="Times New Roman"/>
          <w:iCs/>
          <w:szCs w:val="24"/>
        </w:rPr>
        <w:fldChar w:fldCharType="begin" w:fldLock="1"/>
      </w:r>
      <w:r>
        <w:rPr>
          <w:rFonts w:eastAsia="Calibri" w:cs="Times New Roman"/>
          <w:iCs/>
          <w:szCs w:val="24"/>
        </w:rPr>
        <w:instrText>ADDIN CSL_CITATION {"citationItems":[{"id":"ITEM-1","itemData":{"author":[{"dropping-particle":"","family":"Tilman","given":"David","non-dropping-particle":"","parse-names":false,"suffix":""}],"container-title":"Oikos","id":"ITEM-1","issued":{"date-parts":[["1997"]]},"page":"185","title":"Distinguishing between the effects of species diversity and species composition","type":"article-journal","volume":"80"},"uris":["http://www.mendeley.com/documents/?uuid=7d775ee3-975f-4b9a-8efe-8687b7e2f4b1"]}],"mendeley":{"formattedCitation":"(Tilman, 1997)","plainTextFormattedCitation":"(Tilman, 1997)","previouslyFormattedCitation":"(Tilman, 1997)"},"properties":{"noteIndex":0},"schema":"https://github.com/citation-style-language/schema/raw/master/csl-citation.json"}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(Tilman, 1997)</w:t>
      </w:r>
      <w:r>
        <w:rPr>
          <w:rFonts w:eastAsia="Calibri" w:cs="Times New Roman"/>
          <w:iCs/>
          <w:szCs w:val="24"/>
        </w:rPr>
        <w:fldChar w:fldCharType="end"/>
      </w:r>
      <w:r>
        <w:rPr>
          <w:rFonts w:eastAsia="Calibri" w:cs="Times New Roman"/>
          <w:iCs/>
          <w:szCs w:val="24"/>
        </w:rPr>
        <w:t xml:space="preserve">, who views it as a special occasion for young </w:t>
      </w:r>
      <w:r>
        <w:rPr>
          <w:rFonts w:eastAsia="Calibri" w:cs="Times New Roman"/>
          <w:iCs/>
          <w:szCs w:val="24"/>
        </w:rPr>
        <w:lastRenderedPageBreak/>
        <w:t xml:space="preserve">men to test their strength and courage. </w:t>
      </w:r>
      <w:r>
        <w:rPr>
          <w:rFonts w:eastAsia="Calibri" w:cs="Times New Roman"/>
          <w:iCs/>
          <w:szCs w:val="24"/>
        </w:rPr>
        <w:fldChar w:fldCharType="begin" w:fldLock="1"/>
      </w:r>
      <w:r>
        <w:rPr>
          <w:rFonts w:eastAsia="Calibri" w:cs="Times New Roman"/>
          <w:iCs/>
          <w:szCs w:val="24"/>
        </w:rPr>
        <w:instrText>ADDIN CSL_CITATION {"citationItems":[{"id":"ITEM-1","itemData":{"author":[{"dropping-particle":"","family":"Bierschenk","given":"Thomas","non-dropping-particle":"","parse-names":false,"suffix":""}],"id":"ITEM-1","issue":"January","issued":{"date-parts":[["2018"]]},"page":"110-128","title":"Bierschenk , T ., &amp; Forster , R . ( 1991 ). Rational herdsmen . Economic strategies of the agropastoral Fulani of Northern Benin . Applied Geography and","type":"article-journal"},"uris":["http://www.mendeley.com/documents/?uuid=f65e9a88-b21b-4109-a674-b3951ac52984"]}],"mendeley":{"formattedCitation":"(Bierschenk, 2018)","plainTextFormattedCitation":"(Bierschenk, 2018)","previouslyFormattedCitation":"(Bierschenk, 2018)"},"properties":{"noteIndex":0},"schema":"https://github.com/citation-style-language/schema/raw/master/csl-citation.json"}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(Bierschenk, 2018)</w:t>
      </w:r>
      <w:r>
        <w:rPr>
          <w:rFonts w:eastAsia="Calibri" w:cs="Times New Roman"/>
          <w:iCs/>
          <w:szCs w:val="24"/>
        </w:rPr>
        <w:fldChar w:fldCharType="end"/>
      </w:r>
      <w:r>
        <w:rPr>
          <w:rFonts w:eastAsia="Calibri" w:cs="Times New Roman"/>
          <w:iCs/>
          <w:szCs w:val="24"/>
        </w:rPr>
        <w:t xml:space="preserve"> acknowledge that factors such as escaping epidemics, expanding social networks, and avoiding attempts at control play secondary roles in motivating mobility. Additionally, mobility serves as an initial step towards independence from paternal authority, providing young individuals with a trial period to develop a sense of responsibility and decision-making abilities. Simultaneously, it acts as a "release valve," allowing temporary geographical separation to defuse potential conflicts within families. Lastly, </w:t>
      </w:r>
      <w:r>
        <w:rPr>
          <w:rFonts w:eastAsia="Calibri" w:cs="Times New Roman"/>
          <w:iCs/>
          <w:szCs w:val="24"/>
        </w:rPr>
        <w:fldChar w:fldCharType="begin" w:fldLock="1"/>
      </w:r>
      <w:r w:rsidR="00900D2E">
        <w:rPr>
          <w:rFonts w:eastAsia="Calibri" w:cs="Times New Roman"/>
          <w:iCs/>
          <w:szCs w:val="24"/>
        </w:rPr>
        <w:instrText>ADDIN CSL_CITATION {"citationItems":[{"id":"ITEM-1","itemData":{"ISSN":"08227942, 17522366","author":[{"dropping-particle":"Ben","family":"Hounet","given":"Yazid","non-dropping-particle":"","parse-names":false,"suffix":""},{"dropping-particle":"","family":"Brisebarre","given":"Anne-Marie","non-dropping-particle":"","parse-names":false,"suffix":""},{"dropping-particle":"","family":"Guinand","given":"Sandra","non-dropping-particle":"","parse-names":false,"suffix":""},{"dropping-particle":"","family":"Mellott","given":"Noal","non-dropping-particle":"","parse-names":false,"suffix":""}],"container-title":"Nomadic Peoples","id":"ITEM-1","issue":"2","issued":{"date-parts":[["2016","10","2"]]},"page":"163-175","publisher":"White Horse Press","title":"INTRODUCTION: THE MAKING OF HERITAGES AMONG NOMADIC, PASTORAL PEOPLES IN MUSLIM SOCIETIES","type":"article-journal","volume":"20"},"uris":["http://www.mendeley.com/documents/?uuid=a647d289-c720-48a7-94b4-4dcedbc64cb7"]}],"mendeley":{"formattedCitation":"(Hounet et al., 2016)","plainTextFormattedCitation":"(Hounet et al., 2016)","previouslyFormattedCitation":"(Hounet et al., 2016)"},"properties":{"noteIndex":0},"schema":"https://github.com/citation-style-language/schema/raw/master/csl-citation.json"}</w:instrText>
      </w:r>
      <w:r>
        <w:rPr>
          <w:rFonts w:eastAsia="Calibri" w:cs="Times New Roman"/>
          <w:iCs/>
          <w:szCs w:val="24"/>
        </w:rPr>
        <w:fldChar w:fldCharType="separate"/>
      </w:r>
      <w:r>
        <w:rPr>
          <w:rFonts w:eastAsia="Calibri" w:cs="Times New Roman"/>
          <w:iCs/>
          <w:noProof/>
          <w:szCs w:val="24"/>
        </w:rPr>
        <w:t>(Hounet et al., 2016)</w:t>
      </w:r>
      <w:r>
        <w:rPr>
          <w:rFonts w:eastAsia="Calibri" w:cs="Times New Roman"/>
          <w:iCs/>
          <w:szCs w:val="24"/>
        </w:rPr>
        <w:fldChar w:fldCharType="end"/>
      </w:r>
      <w:r>
        <w:rPr>
          <w:rFonts w:eastAsia="Calibri" w:cs="Times New Roman"/>
          <w:iCs/>
          <w:szCs w:val="24"/>
        </w:rPr>
        <w:t>, focusing on Fulani nomads in Park W, underscore the cultural values of pride and initiation into pastoralism as pivotal socio-cultural motivations behind mobility. These comprehensive findings reemphasize the multi-faceted motivations driving pastoralist mobility.</w:t>
      </w:r>
    </w:p>
    <w:p w:rsidR="00E53882" w:rsidRDefault="00B16FF7">
      <w:pPr>
        <w:spacing w:line="480" w:lineRule="auto"/>
        <w:rPr>
          <w:rFonts w:eastAsia="Times New Roman" w:cs="Times New Roman"/>
          <w:szCs w:val="24"/>
        </w:rPr>
      </w:pPr>
      <w:r>
        <w:rPr>
          <w:rFonts w:eastAsia="Times New Roman" w:cs="Times New Roman"/>
          <w:szCs w:val="24"/>
        </w:rPr>
        <w:t xml:space="preserve">Therefore, the idea of catastrophic mass migration brought on by climate change has outlived its usefulness </w:t>
      </w:r>
      <w:r>
        <w:rPr>
          <w:rFonts w:eastAsia="Times New Roman" w:cs="Times New Roman"/>
          <w:szCs w:val="24"/>
        </w:rPr>
        <w:fldChar w:fldCharType="begin" w:fldLock="1"/>
      </w:r>
      <w:r>
        <w:rPr>
          <w:rFonts w:eastAsia="Times New Roman" w:cs="Times New Roman"/>
          <w:szCs w:val="24"/>
        </w:rPr>
        <w:instrText>ADDIN CSL_CITATION {"citationItems":[{"id":"ITEM-1","itemData":{"DOI":"10.1002/wcc.610","ISSN":"17577799","abstract":"Academic, political, and policy debates about the connection between environmental change and human migration have long focused on migration drivers and outcomes, resulting in a limited discussion between the discourses of “desolate climate refugees” and “environmental migrants as agents of adaptation.” These perspectives remain dominant, particularly in policy and media circles, despite academic critique and the recent emergence of more diverse approaches. In this intervention, we contribute to the recent turn in environmental migration research by seeking to better ground and pluralize our understanding of how environmental change and human mobility relate. We do so by offering a mobilities perspective that centers on the practices, motives, and experiences of mobility and immobility in the context of environmental change: When and why do people decide to move—or not to move—in response to environmental changes? How do they cope with migration pressures? Where do they move, under what conditions, and who can or must stay behind? This approach attends to the diverse aspirations and differential capabilities that underlie particular practices of movement or nonmovement, reflecting both individual characteristics as well as interconnections with uneven power relations across local, regional, and global scales. A mobilities approach offers a starting point for an expanded research agenda on environmental im/mobilities. This enables academic analysis and policy discussion of the human (im)mobility-environmental change nexus to become better attuned to the actual practice and heterogeneous needs of those affected. This article is categorized under: Climate and Development ' Social Justice and the Politics of Development Vulnerability and Adaptation to Climate Change ' Values-Based Approach to Vulnerability and Adaptation.","author":[{"dropping-particle":"","family":"Wiegel","given":"Hanne","non-dropping-particle":"","parse-names":false,"suffix":""},{"dropping-particle":"","family":"Boas","given":"Ingrid","non-dropping-particle":"","parse-names":false,"suffix":""},{"dropping-particle":"","family":"Warner","given":"Jeroen","non-dropping-particle":"","parse-names":false,"suffix":""}],"container-title":"Wiley Interdisciplinary Reviews: Climate Change","id":"ITEM-1","issue":"6","issued":{"date-parts":[["2019"]]},"page":"1-9","title":"A mobilities perspective on migration in the context of environmental change","type":"article-journal","volume":"10"},"uris":["http://www.mendeley.com/documents/?uuid=d57e3734-2e3e-48a8-9b4d-c3b80724c628"]}],"mendeley":{"formattedCitation":"(Wiegel et al., 2019)","plainTextFormattedCitation":"(Wiegel et al., 2019)","previouslyFormattedCitation":"(Wiegel et al., 2019)"},"properties":{"noteIndex":0},"schema":"https://github.com/citation-style-language/schema/raw/master/csl-citation.json"}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(Wiegel et al., 2019)</w:t>
      </w:r>
      <w:r>
        <w:rPr>
          <w:rFonts w:eastAsia="Times New Roman" w:cs="Times New Roman"/>
          <w:szCs w:val="24"/>
        </w:rPr>
        <w:fldChar w:fldCharType="end"/>
      </w:r>
      <w:r>
        <w:rPr>
          <w:rFonts w:eastAsia="Times New Roman" w:cs="Times New Roman"/>
          <w:szCs w:val="24"/>
        </w:rPr>
        <w:t xml:space="preserve">. It has been heavily criticized, particularly since the early 2010s </w:t>
      </w:r>
      <w:r>
        <w:rPr>
          <w:rFonts w:eastAsia="Times New Roman" w:cs="Times New Roman"/>
          <w:szCs w:val="24"/>
        </w:rPr>
        <w:fldChar w:fldCharType="begin" w:fldLock="1"/>
      </w:r>
      <w:r w:rsidR="00900D2E">
        <w:rPr>
          <w:rFonts w:eastAsia="Times New Roman" w:cs="Times New Roman"/>
          <w:szCs w:val="24"/>
        </w:rPr>
        <w:instrText>ADDIN CSL_CITATION {"citationItems":[{"id":"ITEM-1","itemData":{"DOI":"10.1080/1369183x.2022.2066264","ISSN":"1369-183X","abstract":"The discussion on the relation between human mobility and climate change has moved beyond linear and exceptional terms. Building on these debates, this article, and the Special Issue on Climate Mob...","author":[{"dropping-particle":"","family":"Boas","given":"Ingrid","non-dropping-particle":"","parse-names":false,"suffix":""},{"dropping-particle":"","family":"Wiegel","given":"Hanne","non-dropping-particle":"","parse-names":false,"suffix":""},{"dropping-particle":"","family":"Farbotko","given":"Carol","non-dropping-particle":"","parse-names":false,"suffix":""},{"dropping-particle":"","family":"Warner","given":"Jeroen","non-dropping-particle":"","parse-names":false,"suffix":""},{"dropping-particle":"","family":"Sheller","given":"Mimi","non-dropping-particle":"","parse-names":false,"suffix":""}],"container-title":"Journal of Ethnic and Migration Studies","id":"ITEM-1","issue":"May","issued":{"date-parts":[["2022"]]},"page":"1-15","title":"Climate mobilities: migration, im/mobilities and mobility regimes in a changing climate","type":"article-journal"},"uris":["http://www.mendeley.com/documents/?uuid=95087fa8-5e7a-4d3c-93b2-1d0c5ddf0b2c"]}],"mendeley":{"formattedCitation":"(Boas et al., 2022)","plainTextFormattedCitation":"(Boas et al., 2022)","previouslyFormattedCitation":"(Boas et al., 2022)"},"properties":{"noteIndex":0},"schema":"https://github.com/citation-style-language/schema/raw/master/csl-citation.json"}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(Boas et al., 2022)</w:t>
      </w:r>
      <w:r>
        <w:rPr>
          <w:rFonts w:eastAsia="Times New Roman" w:cs="Times New Roman"/>
          <w:szCs w:val="24"/>
        </w:rPr>
        <w:fldChar w:fldCharType="end"/>
      </w:r>
      <w:r>
        <w:rPr>
          <w:rFonts w:eastAsia="Times New Roman" w:cs="Times New Roman"/>
          <w:szCs w:val="24"/>
        </w:rPr>
        <w:t xml:space="preserve"> and the majority of migration academics no longer predict monotonic, massive, and globally life-changing mobility of pastoralist in response to climate change. In fact, a growing body of research demonstrates that the opposite is true: relationships between climate change and pastoralist mobility are frequently indirect, localized, and come into focus in situational ways, driven by a myriad of other socio-economic and political factors </w:t>
      </w:r>
      <w:r>
        <w:rPr>
          <w:rFonts w:eastAsia="Times New Roman" w:cs="Times New Roman"/>
          <w:szCs w:val="24"/>
        </w:rPr>
        <w:fldChar w:fldCharType="begin" w:fldLock="1"/>
      </w:r>
      <w:r>
        <w:rPr>
          <w:rFonts w:eastAsia="Times New Roman" w:cs="Times New Roman"/>
          <w:szCs w:val="24"/>
        </w:rPr>
        <w:instrText>ADDIN CSL_CITATION {"citationItems":[{"id":"ITEM-1","itemData":{"DOI":"10.1080/1369183x.2022.2066264","ISSN":"1369-183X","abstract":"The discussion on the relation between human mobility and climate change has moved beyond linear and exceptional terms. Building on these debates, this article, and the Special Issue on Climate Mob...","author":[{"dropping-particle":"","family":"Boas","given":"Ingrid","non-dropping-particle":"","parse-names":false,"suffix":""},{"dropping-particle":"","family":"Wiegel","given":"Hanne","non-dropping-particle":"","parse-names":false,"suffix":""},{"dropping-particle":"","family":"Farbotko","given":"Carol","non-dropping-particle":"","parse-names":false,"suffix":""},{"dropping-particle":"","family":"Warner","given":"Jeroen","non-dropping-particle":"","parse-names":false,"suffix":""},{"dropping-particle":"","family":"Sheller","given":"Mimi","non-dropping-particle":"","parse-names":false,"suffix":""}],"container-title":"Journal of Ethnic and Migration Studies","id":"ITEM-1","issue":"May","issued":{"date-parts":[["2022"]]},"page":"1-15","title":"Climate mobilities: migration, im/mobilities and mobility regimes in a changing climate","type":"article-journal"},"uris":["http://www.mendeley.com/documents/?uuid=95087fa8-5e7a-4d3c-93b2-1d0c5ddf0b2c"]},{"id":"ITEM-2","itemData":{"DOI":"10.1007/s11111-021-00387-5","ISBN":"0123456789","ISSN":"15737810","abstract":"Development cooperation actors have been addressing climate change as a cross-cutting issue and investing in climate adaptation projects since the early 2000s. More recently, as concern has risen about the potential impacts of climate variability and change on human mobility, development cooperation actors have begun to design projects that intentionally address the drivers of migration, including climate impacts on livelihoods. However, to date, we know little about the development cooperation’s role and function in responding to climate related mobility and migration. As such, the main aim of this paper is to outline the policy frameworks and approaches shaping development cooperation actors’ engagement and to identify areas for further exploration and investment. First, we frame the concept of climate mobility and migration and discuss some applicable policy frameworks that govern the issue from various perspectives; secondly, we review the toolbox of approaches that development cooperation actors bring to climate mobility; and third, we discuss the implications of the current Covid-19 pandemic and identify avenues for the way forward. We conclude that ensuring safe and orderly mobility and the decent reception and long-term inclusion of migrants and displaced persons under conditions of more severe climate hazards, and in the context of rising nationalism and xenophobia, poses significant challenges. Integrated approaches across multiple policy sectors and levels of governance are needed. In addition to resources, development cooperation actors can bring data to help empower the most affected communities and regions and leverage their convening power to foster more coordinated approaches within and across countries.","author":[{"dropping-particle":"","family":"Stojanov","given":"Robert","non-dropping-particle":"","parse-names":false,"suffix":""},{"dropping-particle":"","family":"Rosengaertner","given":"Sarah","non-dropping-particle":"","parse-names":false,"suffix":""},{"dropping-particle":"","family":"Sherbinin","given":"Alex","non-dropping-particle":"de","parse-names":false,"suffix":""},{"dropping-particle":"","family":"Nawrotzki","given":"Raphael","non-dropping-particle":"","parse-names":false,"suffix":""}],"container-title":"Population and Environment","id":"ITEM-2","issue":"2","issued":{"date-parts":[["2021"]]},"page":"209-231","publisher":"Springer Netherlands","title":"Climate Mobility and Development Cooperation","type":"article-journal","volume":"43"},"uris":["http://www.mendeley.com/documents/?uuid=8593f5a6-5d69-4f1e-a6fb-95dbe60973a3"]},{"id":"ITEM-3","itemData":{"DOI":"10.1016/j.heliyon.2021.e08434","ISSN":"24058440","abstract":"Since the late 1970s, extensive livestock production in the high plateaus of Eastern Morocco, particularly of small ruminants, has been seriously threatened by climate change (CC). Negative impacts include reduction in rangeland forage production and water availability, increased poverty and inequality, and increased degradation of rangelands. Different categories of pastoralists have adopted different combinations of adaptation strategies, but the factors influencing adoption have not to date been investigated. This paper aims to identify the perceptions of pastoralists on CC, to analyze the adaptive responses of different wealth categories, and to determine the factors affecting the adoption of adaptation measures. The Mann-Kendall, Pettitt and Buishand tests and the standardized precipitation index were used to analyze the climate data. Data on adaptation were examined using the chi-square homogeneity test, Kruskal-Wallis test and binary logistic regression. The observed climate trends perfectly corroborated pastoralists' perceptions of significant changes in their local climate since the 1970s: a considerable decrease in annual rainfall and an increase in temperature and frequency of droughts and high winds. There were significant differences (Chi square = 7.603, p = 0.022, df = 2) between small, medium and large pastoralists in the frequency adoption of adaptation strategies, especially between small and large pastoralists (U statistic = 16.000, p = 0.009). The distribution of most adaptation actions also differed significantly between these two groups. Wealthier pastoralists have adopted a greater range of strategies, while poorer pastoralists have less diverse adaptation portfolios, and are more likely to adopt less advantageous strategies such as casual labor. The adoption of adaptation practices was significantly influenced by equipment, educational level, household size, herd size, training received, CC perceptions and agroecological setting. Public interventions to improve the adaptive capacity of pastoralists in Morocco's arid rangelands should be geared towards addressing these determinants and should prioritise small-scale pastoralists.","author":[{"dropping-particle":"","family":"Snaibi","given":"Wadii","non-dropping-particle":"","parse-names":false,"suffix":""},{"dropping-particle":"","family":"Mezrhab","given":"Abdelhamid","non-dropping-particle":"","parse-names":false,"suffix":""},{"dropping-particle":"","family":"Sy","given":"Oumar","non-dropping-particle":"","parse-names":false,"suffix":""},{"dropping-particle":"","family":"Morton","given":"John F.","non-dropping-particle":"","parse-names":false,"suffix":""}],"container-title":"Heliyon","id":"ITEM-3","issue":"11","issued":{"date-parts":[["2021"]]},"page":"e08434","publisher":"Elsevier Ltd","title":"Perception and adaptation of pastoralists to climate variability and change in Morocco's arid rangelands","type":"article-journal","volume":"7"},"uris":["http://www.mendeley.com/documents/?uuid=2d2f786c-d6e5-426a-86ba-034dc0ff9e10"]}],"mendeley":{"formattedCitation":"(Boas et al., 2022; Snaibi et al., 2021; Stojanov et al., 2021)","plainTextFormattedCitation":"(Boas et al., 2022; Snaibi et al., 2021; Stojanov et al., 2021)","previouslyFormattedCitation":"(Boas et al., 2022; Snaibi et al., 2021; Stojanov et al., 2021)"},"properties":{"noteIndex":0},"schema":"https://github.com/citation-style-language/schema/raw/master/csl-citation.json"}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(Boas et al., 2022; Snaibi et al., 2021; Stojanov et al., 2021)</w:t>
      </w:r>
      <w:r>
        <w:rPr>
          <w:rFonts w:eastAsia="Times New Roman" w:cs="Times New Roman"/>
          <w:szCs w:val="24"/>
        </w:rPr>
        <w:fldChar w:fldCharType="end"/>
      </w:r>
      <w:r>
        <w:rPr>
          <w:rFonts w:eastAsia="Times New Roman" w:cs="Times New Roman"/>
          <w:szCs w:val="24"/>
        </w:rPr>
        <w:t xml:space="preserve">. In a changing environment, pastoralist travel in a variety of ways, most of which involve relatively local mobility’s </w:t>
      </w:r>
      <w:r>
        <w:rPr>
          <w:rFonts w:eastAsia="Times New Roman" w:cs="Times New Roman"/>
          <w:szCs w:val="24"/>
        </w:rPr>
        <w:fldChar w:fldCharType="begin" w:fldLock="1"/>
      </w:r>
      <w:r>
        <w:rPr>
          <w:rFonts w:eastAsia="Times New Roman" w:cs="Times New Roman"/>
          <w:szCs w:val="24"/>
        </w:rPr>
        <w:instrText>ADDIN CSL_CITATION {"citationItems":[{"id":"ITEM-1","itemData":{"DOI":"10.1186/s13570-019-0150-z","ISSN":"20417136","abstract":"Livestock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-1","issue":"1","issued":{"date-parts":[["2019"]]},"publisher":"Pastoralism","title":"Livestock mobility in sub-Saharan Africa: A critical review","type":"article-journal","volume":"9"},"uris":["http://www.mendeley.com/documents/?uuid=3bc8f263-23c8-4179-97af-ffc3d9bfb212"]},{"id":"ITEM-2","itemData":{"DOI":"10.1080/1369183x.2022.2066262","ISSN":"1369-183X","author":[{"dropping-particle":"","family":"Boas","given":"Ingrid","non-dropping-particle":"","parse-names":false,"suffix":""}],"container-title":"Journal of Ethnic and Migration Studies","id":"ITEM-2","issued":{"date-parts":[["2022"]]},"page":"1-17","title":"The diversification of pastoralist herding: navigating socio-climatic risk via mobile technologies","type":"article-journal"},"uris":["http://www.mendeley.com/documents/?uuid=9b1cffaf-8106-4757-b876-26b5a82bea8a"]}],"mendeley":{"formattedCitation":"(Boas, 2022; Turner &amp; Schlecht, 2019)","plainTextFormattedCitation":"(Boas, 2022; Turner &amp; Schlecht, 2019)","previouslyFormattedCitation":"(Boas, 2022; Turner &amp; Schlecht, 2019)"},"properties":{"noteIndex":0},"schema":"https://github.com/citation-style-language/schema/raw/master/csl-citation.json"}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(Boas, 2022; Turner &amp; Schlecht, 2019)</w:t>
      </w:r>
      <w:r>
        <w:rPr>
          <w:rFonts w:eastAsia="Times New Roman" w:cs="Times New Roman"/>
          <w:szCs w:val="24"/>
        </w:rPr>
        <w:fldChar w:fldCharType="end"/>
      </w:r>
      <w:r>
        <w:rPr>
          <w:rFonts w:eastAsia="Times New Roman" w:cs="Times New Roman"/>
          <w:szCs w:val="24"/>
        </w:rPr>
        <w:t xml:space="preserve">. Using these findings as a foundation, this work and the special issue it presents argue for an analytical research viewpoint that looks at the diversity of pastoralist mobility patterns in the context of climate change </w:t>
      </w:r>
      <w:r>
        <w:rPr>
          <w:rFonts w:eastAsia="Times New Roman" w:cs="Times New Roman"/>
          <w:szCs w:val="24"/>
        </w:rPr>
        <w:fldChar w:fldCharType="begin" w:fldLock="1"/>
      </w:r>
      <w:r w:rsidR="00900D2E">
        <w:rPr>
          <w:rFonts w:eastAsia="Times New Roman" w:cs="Times New Roman"/>
          <w:szCs w:val="24"/>
        </w:rPr>
        <w:instrText>ADDIN CSL_CITATION {"citationItems":[{"id":"ITEM-1","itemData":{"DOI":"10.1007/s00267-019-01231-1","ISBN":"0026701901231","ISSN":"14321009","PMID":"31797037","abstract":"The 17 Sustainable Development Goals (SDGs) underpinned by 169 targets presents national governments with huge challenges for implementation. We developed a proposal for a National Blueprint Framework (NBF) with 24 water-related indicators, centered on SDG 6 (clean water and sanitation for all), each with a specific target. We applied the NBF to 28 EU Member States (EU-28) and conclude that: (1)The current SDG 6 indicators are useful for monitoring progress toward water-related targets but their usefulness can be improved by focusing more on their practical implementation.(2)The extension of SDG 6 with complementary indicators (e.g. for the circular economy of water) and quantitative policy targets is urgently needed. This will benefit the communication process and progress at the science-policy interface.(3)SDG indicators can be improved in a SMART (specific, measurable, achievable, relevant, and time-bound) manner and by setting clear policy targets for each indicator, allowing for measuring distance-to-targets. This allows country-to-country comparison and learning, and accelerates the SDG implementation process.(4)We propose 24 water-related indicators centered on SDG 6, with complementary indicators including quantitative policy targets. The approach is doable, easily scalable, and flexibly deployable by collecting information for the EU-28.(5)Main gaps in the EU-28 are observed for water quality, wastewater treatment, nutrient, and energy recovery, as well as climate adaptation to extreme weather events (heat, droughts, and floods).(6)The framework was less successful for non-OECD countries due to lack of data and EU-centric targets for each indicator. This needs further research.","author":[{"dropping-particle":"","family":"Essex","given":"B.","non-dropping-particle":"","parse-names":false,"suffix":""},{"dropping-particle":"","family":"Koop","given":"S. H.A.","non-dropping-particle":"","parse-names":false,"suffix":""},{"dropping-particle":"","family":"Leeuwen","given":"C. J.","non-dropping-particle":"Van","parse-names":false,"suffix":""}],"container-title":"Environmental Management","id":"ITEM-1","issue":"1","issued":{"date-parts":[["2020"]]},"page":"1-18","publisher":"Springer US","title":"Proposal for a National Blueprint Framework to Monitor Progress on Water-Related Sustainable Development Goals in Europe","type":"article-journal","volume":"65"},"uris":["http://www.mendeley.com/documents/?uuid=8e4da2fa-a803-4341-814e-1f5aa6f1f404"]}],"mendeley":{"formattedCitation":"(Essex et al., 2020)","plainTextFormattedCitation":"(Essex et al., 2020)","previouslyFormattedCitation":"(Essex et al., 2020)"},"properties":{"noteIndex":0},"schema":"https://github.com/citation-style-language/schema/raw/master/csl-citation.json"}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(Essex et al., 2020)</w:t>
      </w:r>
      <w:r>
        <w:rPr>
          <w:rFonts w:eastAsia="Times New Roman" w:cs="Times New Roman"/>
          <w:szCs w:val="24"/>
        </w:rPr>
        <w:fldChar w:fldCharType="end"/>
      </w:r>
      <w:r>
        <w:rPr>
          <w:rFonts w:eastAsia="Times New Roman" w:cs="Times New Roman"/>
          <w:szCs w:val="24"/>
        </w:rPr>
        <w:t xml:space="preserve"> . A comprehensive understanding of pastoralist mobility needs to consider both the </w:t>
      </w:r>
      <w:r>
        <w:rPr>
          <w:rFonts w:eastAsia="Times New Roman" w:cs="Times New Roman"/>
          <w:szCs w:val="24"/>
        </w:rPr>
        <w:lastRenderedPageBreak/>
        <w:t xml:space="preserve">environmental drivers of mobility related to climate change as well as cultural and socio-economic influences on herd supervision and herder decision-making </w:t>
      </w:r>
      <w:r>
        <w:rPr>
          <w:rFonts w:eastAsia="Times New Roman" w:cs="Times New Roman"/>
          <w:szCs w:val="24"/>
        </w:rPr>
        <w:fldChar w:fldCharType="begin" w:fldLock="1"/>
      </w:r>
      <w:r>
        <w:rPr>
          <w:rFonts w:eastAsia="Times New Roman" w:cs="Times New Roman"/>
          <w:szCs w:val="24"/>
        </w:rPr>
        <w:instrText>ADDIN CSL_CITATION {"citationItems":[{"id":"ITEM-1","itemData":{"ISBN":"4155801906","abstract":"Misleading claims about mass migration induced by climate change continue to surface in both academia and policy. This requires a new research agenda on ‘climate mobilities’ that moves beyond simplistic assumptions and more accurately advances knowledge of the nexus between human mobility and climate change.","author":[{"dropping-particle":"al","family":"Boas","given":"Ingrid et","non-dropping-particle":"","parse-names":false,"suffix":""}],"container-title":"Nature Climate change","id":"ITEM-1","issue":"December","issued":{"date-parts":[["2019"]]},"page":"901-903","title":"Climate migration myths Misleading","type":"article-journal","volume":"9"},"uris":["http://www.mendeley.com/documents/?uuid=03b16d4c-7b95-4dad-959b-5c64222dbf1d"]}],"mendeley":{"formattedCitation":"(Boas, 2019)","plainTextFormattedCitation":"(Boas, 2019)","previouslyFormattedCitation":"(Boas, 2019)"},"properties":{"noteIndex":0},"schema":"https://github.com/citation-style-language/schema/raw/master/csl-citation.json"}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(Boas, 2019)</w:t>
      </w:r>
      <w:r>
        <w:rPr>
          <w:rFonts w:eastAsia="Times New Roman" w:cs="Times New Roman"/>
          <w:szCs w:val="24"/>
        </w:rPr>
        <w:fldChar w:fldCharType="end"/>
      </w:r>
      <w:r>
        <w:rPr>
          <w:rFonts w:eastAsia="Times New Roman" w:cs="Times New Roman"/>
          <w:szCs w:val="24"/>
        </w:rPr>
        <w:t xml:space="preserve">. This means that the cultural, economic, and environmental drivers of pastoralist mobility, as well as how each of these influences pastoralist decisions to cross borders and live in other states, are the topics of our interest </w:t>
      </w:r>
      <w:r>
        <w:rPr>
          <w:rFonts w:eastAsia="Times New Roman" w:cs="Times New Roman"/>
          <w:szCs w:val="24"/>
        </w:rPr>
        <w:fldChar w:fldCharType="begin" w:fldLock="1"/>
      </w:r>
      <w:r>
        <w:rPr>
          <w:rFonts w:eastAsia="Times New Roman" w:cs="Times New Roman"/>
          <w:szCs w:val="24"/>
        </w:rPr>
        <w:instrText>ADDIN CSL_CITATION {"citationItems":[{"id":"ITEM-1","itemData":{"ISBN":"9789177974109","author":[{"dropping-particle":"","family":"Pas Schrijver","given":"Annemiek","non-dropping-particle":"","parse-names":false,"suffix":""}],"id":"ITEM-1","issued":{"date-parts":[["2019"]]},"number-of-pages":"139","title":"Pastoralists, mobility and conservation","type":"book"},"uris":["http://www.mendeley.com/documents/?uuid=c6268015-0c94-4be1-bbbc-daa35d9c716b"]}],"mendeley":{"formattedCitation":"(Pas Schrijver, 2019)","plainTextFormattedCitation":"(Pas Schrijver, 2019)","previouslyFormattedCitation":"(Pas Schrijver, 2019)"},"properties":{"noteIndex":0},"schema":"https://github.com/citation-style-language/schema/raw/master/csl-citation.json"}</w:instrText>
      </w:r>
      <w:r>
        <w:rPr>
          <w:rFonts w:eastAsia="Times New Roman" w:cs="Times New Roman"/>
          <w:szCs w:val="24"/>
        </w:rPr>
        <w:fldChar w:fldCharType="separate"/>
      </w:r>
      <w:r>
        <w:rPr>
          <w:rFonts w:eastAsia="Times New Roman" w:cs="Times New Roman"/>
          <w:noProof/>
          <w:szCs w:val="24"/>
        </w:rPr>
        <w:t>(Pas Schrijver, 2019)</w:t>
      </w:r>
      <w:r>
        <w:rPr>
          <w:rFonts w:eastAsia="Times New Roman" w:cs="Times New Roman"/>
          <w:szCs w:val="24"/>
        </w:rPr>
        <w:fldChar w:fldCharType="end"/>
      </w:r>
      <w:r>
        <w:rPr>
          <w:rFonts w:eastAsia="Times New Roman" w:cs="Times New Roman"/>
          <w:szCs w:val="24"/>
        </w:rPr>
        <w:t xml:space="preserve">. </w:t>
      </w:r>
    </w:p>
    <w:p w:rsidR="00E53882" w:rsidRDefault="00B16FF7">
      <w:pPr>
        <w:spacing w:before="100" w:beforeAutospacing="1" w:after="100" w:afterAutospacing="1" w:line="480" w:lineRule="auto"/>
        <w:rPr>
          <w:rFonts w:eastAsia="Calibri" w:cs="Times New Roman"/>
          <w:szCs w:val="24"/>
        </w:rPr>
      </w:pPr>
      <w:r>
        <w:rPr>
          <w:rFonts w:eastAsia="Calibri" w:cs="Times New Roman"/>
          <w:szCs w:val="24"/>
        </w:rPr>
        <w:t xml:space="preserve">This innovative </w:t>
      </w:r>
      <w:proofErr w:type="spellStart"/>
      <w:r>
        <w:rPr>
          <w:rFonts w:eastAsia="Calibri" w:cs="Times New Roman"/>
          <w:szCs w:val="24"/>
        </w:rPr>
        <w:t>mindset</w:t>
      </w:r>
      <w:proofErr w:type="spellEnd"/>
      <w:r>
        <w:rPr>
          <w:rFonts w:eastAsia="Calibri" w:cs="Times New Roman"/>
          <w:szCs w:val="24"/>
        </w:rPr>
        <w:t xml:space="preserve"> aimed to get through the idea that factors related to climate change are fundamentally responsible for pastoralist mobility’s. This idea conflicts with the impression that pastoralist mobility is jointly shaped by socioeconomic, political, and historical factors </w:t>
      </w:r>
      <w:r>
        <w:rPr>
          <w:rFonts w:eastAsia="Calibri" w:cs="Times New Roman"/>
          <w:szCs w:val="24"/>
        </w:rPr>
        <w:fldChar w:fldCharType="begin" w:fldLock="1"/>
      </w:r>
      <w:r>
        <w:rPr>
          <w:rFonts w:eastAsia="Calibri" w:cs="Times New Roman"/>
          <w:szCs w:val="24"/>
        </w:rPr>
        <w:instrText>ADDIN CSL_CITATION {"citationItems":[{"id":"ITEM-1","itemData":{"DOI":"10.1080/1369183x.2022.2066262","ISSN":"1369-183X","author":[{"dropping-particle":"","family":"Boas","given":"Ingrid","non-dropping-particle":"","parse-names":false,"suffix":""}],"container-title":"Journal of Ethnic and Migration Studies","id":"ITEM-1","issued":{"date-parts":[["2022"]]},"page":"1-17","title":"The diversification of pastoralist herding: navigating socio-climatic risk via mobile technologies","type":"article-journal"},"uris":["http://www.mendeley.com/documents/?uuid=9b1cffaf-8106-4757-b876-26b5a82bea8a"]},{"id":"ITEM-2","itemData":{"DOI":"10.1002/wcc.610","ISSN":"17577799","abstract":"Academic, political, and policy debates about the connection between environmental change and human migration have long focused on migration drivers and outcomes, resulting in a limited discussion between the discourses of “desolate climate refugees” and “environmental migrants as agents of adaptation.” These perspectives remain dominant, particularly in policy and media circles, despite academic critique and the recent emergence of more diverse approaches. In this intervention, we contribute to the recent turn in environmental migration research by seeking to better ground and pluralize our understanding of how environmental change and human mobility relate. We do so by offering a mobilities perspective that centers on the practices, motives, and experiences of mobility and immobility in the context of environmental change: When and why do people decide to move—or not to move—in response to environmental changes? How do they cope with migration pressures? Where do they move, under what conditions, and who can or must stay behind? This approach attends to the diverse aspirations and differential capabilities that underlie particular practices of movement or nonmovement, reflecting both individual characteristics as well as interconnections with uneven power relations across local, regional, and global scales. A mobilities approach offers a starting point for an expanded research agenda on environmental im/mobilities. This enables academic analysis and policy discussion of the human (im)mobility-environmental change nexus to become better attuned to the actual practice and heterogeneous needs of those affected. This article is categorized under: Climate and Development ' Social Justice and the Politics of Development Vulnerability and Adaptation to Climate Change ' Values-Based Approach to Vulnerability and Adaptation.","author":[{"dropping-particle":"","family":"Wiegel","given":"Hanne","non-dropping-particle":"","parse-names":false,"suffix":""},{"dropping-particle":"","family":"Boas","given":"Ingrid","non-dropping-particle":"","parse-names":false,"suffix":""},{"dropping-particle":"","family":"Warner","given":"Jeroen","non-dropping-particle":"","parse-names":false,"suffix":""}],"container-title":"Wiley Interdisciplinary Reviews: Climate Change","id":"ITEM-2","issue":"6","issued":{"date-parts":[["2019"]]},"page":"1-9","title":"A mobilities perspective on migration in the context of environmental change","type":"article-journal","volume":"10"},"uris":["http://www.mendeley.com/documents/?uuid=d57e3734-2e3e-48a8-9b4d-c3b80724c628"]},{"id":"ITEM-3","itemData":{"DOI":"10.1080/1369183x.2022.2066264","ISSN":"1369-183X","abstract":"The discussion on the relation between human mobility and climate change has moved beyond linear and exceptional terms. Building on these debates, this article, and the Special Issue on Climate Mob...","author":[{"dropping-particle":"","family":"Boas","given":"Ingrid","non-dropping-particle":"","parse-names":false,"suffix":""},{"dropping-particle":"","family":"Wiegel","given":"Hanne","non-dropping-particle":"","parse-names":false,"suffix":""},{"dropping-particle":"","family":"Farbotko","given":"Carol","non-dropping-particle":"","parse-names":false,"suffix":""},{"dropping-particle":"","family":"Warner","given":"Jeroen","non-dropping-particle":"","parse-names":false,"suffix":""},{"dropping-particle":"","family":"Sheller","given":"Mimi","non-dropping-particle":"","parse-names":false,"suffix":""}],"container-title":"Journal of Ethnic and Migration Studies","id":"ITEM-3","issue":"May","issued":{"date-parts":[["2022"]]},"page":"1-15","title":"Climate mobilities: migration, im/mobilities and mobility regimes in a changing climate","type":"article-journal"},"uris":["http://www.mendeley.com/documents/?uuid=95087fa8-5e7a-4d3c-93b2-1d0c5ddf0b2c"]}],"mendeley":{"formattedCitation":"(Boas, 2022; Boas et al., 2022; Wiegel et al., 2019)","plainTextFormattedCitation":"(Boas, 2022; Boas et al., 2022; Wiegel et al., 2019)","previouslyFormattedCitation":"(Boas, 2022; Boas et al., 2022; Wiegel et al., 2019)"},"properties":{"noteIndex":0},"schema":"https://github.com/citation-style-language/schema/raw/master/csl-citation.json"}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(Boas, 2022; Boas et al., 2022; Wiegel et al., 2019)</w:t>
      </w:r>
      <w:r>
        <w:rPr>
          <w:rFonts w:eastAsia="Calibri" w:cs="Times New Roman"/>
          <w:szCs w:val="24"/>
        </w:rPr>
        <w:fldChar w:fldCharType="end"/>
      </w:r>
      <w:r>
        <w:rPr>
          <w:rFonts w:eastAsia="Calibri" w:cs="Times New Roman"/>
          <w:szCs w:val="24"/>
        </w:rPr>
        <w:t xml:space="preserve">. As a result, academics have suggested that we need to "pluralize" our understanding of this relationship. This includes, among other things, paying more attention to the various ways that pastoralist mobility manifests itself in the context of climate change and how this interacts with other historical and modern processes </w:t>
      </w:r>
      <w:r>
        <w:rPr>
          <w:rFonts w:eastAsia="Calibri" w:cs="Times New Roman"/>
          <w:szCs w:val="24"/>
        </w:rPr>
        <w:fldChar w:fldCharType="begin" w:fldLock="1"/>
      </w:r>
      <w:r>
        <w:rPr>
          <w:rFonts w:eastAsia="Calibri" w:cs="Times New Roman"/>
          <w:szCs w:val="24"/>
        </w:rPr>
        <w:instrText>ADDIN CSL_CITATION {"citationItems":[{"id":"ITEM-1","itemData":{"DOI":"10.1080/1369183x.2022.2066264","ISSN":"1369-183X","abstract":"The discussion on the relation between human mobility and climate change has moved beyond linear and exceptional terms. Building on these debates, this article, and the Special Issue on Climate Mob...","author":[{"dropping-particle":"","family":"Boas","given":"Ingrid","non-dropping-particle":"","parse-names":false,"suffix":""},{"dropping-particle":"","family":"Wiegel","given":"Hanne","non-dropping-particle":"","parse-names":false,"suffix":""},{"dropping-particle":"","family":"Farbotko","given":"Carol","non-dropping-particle":"","parse-names":false,"suffix":""},{"dropping-particle":"","family":"Warner","given":"Jeroen","non-dropping-particle":"","parse-names":false,"suffix":""},{"dropping-particle":"","family":"Sheller","given":"Mimi","non-dropping-particle":"","parse-names":false,"suffix":""}],"container-title":"Journal of Ethnic and Migration Studies","id":"ITEM-1","issue":"May","issued":{"date-parts":[["2022"]]},"page":"1-15","title":"Climate mobilities: migration, im/mobilities and mobility regimes in a changing climate","type":"article-journal"},"uris":["http://www.mendeley.com/documents/?uuid=95087fa8-5e7a-4d3c-93b2-1d0c5ddf0b2c"]}],"mendeley":{"formattedCitation":"(Boas et al., 2022)","plainTextFormattedCitation":"(Boas et al., 2022)","previouslyFormattedCitation":"(Boas et al., 2022)"},"properties":{"noteIndex":0},"schema":"https://github.com/citation-style-language/schema/raw/master/csl-citation.json"}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(Boas et al., 2022)</w:t>
      </w:r>
      <w:r>
        <w:rPr>
          <w:rFonts w:eastAsia="Calibri" w:cs="Times New Roman"/>
          <w:szCs w:val="24"/>
        </w:rPr>
        <w:fldChar w:fldCharType="end"/>
      </w:r>
      <w:r>
        <w:rPr>
          <w:rFonts w:eastAsia="Calibri" w:cs="Times New Roman"/>
          <w:szCs w:val="24"/>
        </w:rPr>
        <w:t>. It is in line with this thinking that this research focuses on understanding the drivers that manifest in the context of climate change and how it interacts with each other. Therefore, we maintain that since pastoralists are dependent on the environment for their subsistence, they are most likely to exhibit climate mobility due to environmental crises. Hence, the need to examine the role of climate changes in the mobility of herdsmen. The main focus of this objective is to understand how climate change shapes pastoralist movement and how their mobility patterns evolved over a period of time. The study will also examine how this movement interact with other drivers.</w:t>
      </w:r>
      <w:bookmarkStart w:id="54" w:name="_Toc128438188"/>
      <w:r>
        <w:rPr>
          <w:rFonts w:eastAsia="Calibri" w:cs="Times New Roman"/>
          <w:szCs w:val="24"/>
        </w:rPr>
        <w:t xml:space="preserve"> </w:t>
      </w:r>
    </w:p>
    <w:p w:rsidR="00E53882" w:rsidRDefault="00B16FF7">
      <w:pPr>
        <w:pStyle w:val="Heading2"/>
        <w:rPr>
          <w:rFonts w:eastAsia="Calibri"/>
        </w:rPr>
      </w:pPr>
      <w:bookmarkStart w:id="55" w:name="_Toc164261691"/>
      <w:r>
        <w:rPr>
          <w:rFonts w:eastAsia="Calibri"/>
        </w:rPr>
        <w:t>2.3 Empirical Review</w:t>
      </w:r>
      <w:bookmarkEnd w:id="55"/>
    </w:p>
    <w:p w:rsidR="00E53882" w:rsidRDefault="00B16FF7">
      <w:pPr>
        <w:spacing w:line="480" w:lineRule="auto"/>
        <w:rPr>
          <w:rFonts w:cs="Times New Roman"/>
          <w:szCs w:val="24"/>
        </w:rPr>
      </w:pPr>
      <w:r>
        <w:rPr>
          <w:rFonts w:cs="Times New Roman"/>
          <w:szCs w:val="24"/>
        </w:rPr>
        <w:t xml:space="preserve">Several scholars have assert that engaging in an empirical review yields numerous advantages, such as preventing redundant efforts and enhancing understanding of the studied topic </w:t>
      </w:r>
      <w:r>
        <w:rPr>
          <w:rFonts w:cs="Times New Roman"/>
          <w:szCs w:val="24"/>
        </w:rPr>
        <w:lastRenderedPageBreak/>
        <w:fldChar w:fldCharType="begin" w:fldLock="1"/>
      </w:r>
      <w:r>
        <w:rPr>
          <w:rFonts w:cs="Times New Roman"/>
          <w:szCs w:val="24"/>
        </w:rPr>
        <w:instrText>ADDIN CSL_CITATION {"citationItems":[{"id":"ITEM-1","itemData":{"author":[{"dropping-particle":"","family":"Griffee","given":"Dale T","non-dropping-particle":"","parse-names":false,"suffix":""}],"container-title":"TESL-EJ Publications","id":"ITEM-1","issued":{"date-parts":[["2012"]]},"title":"An introduction to second language research methods","type":"article-journal"},"uris":["http://www.mendeley.com/documents/?uuid=8f12bfef-bbc4-4259-8de3-75910a31905d","http://www.mendeley.com/documents/?uuid=3364ee93-1632-4985-8808-ceaf1dd05bd1"]},{"id":"ITEM-2","itemData":{"ISSN":"1040-2446","author":[{"dropping-particle":"","family":"Neumann","given":"Melanie","non-dropping-particle":"","parse-names":false,"suffix":""},{"dropping-particle":"","family":"Edelhäuser","given":"Friedrich","non-dropping-particle":"","parse-names":false,"suffix":""},{"dropping-particle":"","family":"Tauschel","given":"Diethard","non-dropping-particle":"","parse-names":false,"suffix":""},{"dropping-particle":"","family":"Fischer","given":"Martin R","non-dropping-particle":"","parse-names":false,"suffix":""},{"dropping-particle":"","family":"Wirtz","given":"Markus","non-dropping-particle":"","parse-names":false,"suffix":""},{"dropping-particle":"","family":"Woopen","given":"Christiane","non-dropping-particle":"","parse-names":false,"suffix":""},{"dropping-particle":"","family":"Haramati","given":"Aviad","non-dropping-particle":"","parse-names":false,"suffix":""},{"dropping-particle":"","family":"Scheffer","given":"Christian","non-dropping-particle":"","parse-names":false,"suffix":""}],"container-title":"Academic medicine","id":"ITEM-2","issue":"8","issued":{"date-parts":[["2011"]]},"page":"996-1009","publisher":"LWW","title":"Empathy decline and its reasons: a systematic review of studies with medical students and residents","type":"article-journal","volume":"86"},"uris":["http://www.mendeley.com/documents/?uuid=dc152738-9904-4f1f-9e7e-f8aa418c9a4d","http://www.mendeley.com/documents/?uuid=4aba845f-292f-4c2a-8150-533d136b4f15","http://www.mendeley.com/documents/?uuid=9bbc7e02-0858-4378-9896-42c3f2399c5e"]}],"mendeley":{"formattedCitation":"(Griffee, 2012; Neumann et al., 2011)","plainTextFormattedCitation":"(Griffee, 2012; Neumann et al., 2011)","previouslyFormattedCitation":"(Griffee, 2012; Neumann et al., 2011)"},"properties":{"noteIndex":0},"schema":"https://github.com/citation-style-language/schema/raw/master/csl-citation.json"}</w:instrText>
      </w:r>
      <w:r>
        <w:rPr>
          <w:rFonts w:cs="Times New Roman"/>
          <w:szCs w:val="24"/>
        </w:rPr>
        <w:fldChar w:fldCharType="separate"/>
      </w:r>
      <w:r>
        <w:rPr>
          <w:rFonts w:cs="Times New Roman"/>
          <w:noProof/>
          <w:szCs w:val="24"/>
        </w:rPr>
        <w:t>(Griffee, 2012; Neumann et al., 2011)</w:t>
      </w:r>
      <w:r>
        <w:rPr>
          <w:rFonts w:cs="Times New Roman"/>
          <w:szCs w:val="24"/>
        </w:rPr>
        <w:fldChar w:fldCharType="end"/>
      </w:r>
      <w:r>
        <w:rPr>
          <w:rFonts w:cs="Times New Roman"/>
          <w:szCs w:val="24"/>
        </w:rPr>
        <w:t xml:space="preserve">. </w:t>
      </w:r>
      <w:proofErr w:type="spellStart"/>
      <w:r>
        <w:rPr>
          <w:rFonts w:cs="Times New Roman"/>
          <w:szCs w:val="24"/>
        </w:rPr>
        <w:t>Walliman</w:t>
      </w:r>
      <w:proofErr w:type="spellEnd"/>
      <w:r>
        <w:rPr>
          <w:rFonts w:cs="Times New Roman"/>
          <w:szCs w:val="24"/>
        </w:rPr>
        <w:t xml:space="preserve"> (2011) contends that empirical review, in particular, facilitates an appreciation of the existing knowledge within a specific field </w:t>
      </w:r>
      <w:r>
        <w:rPr>
          <w:rFonts w:cs="Times New Roman"/>
          <w:szCs w:val="24"/>
        </w:rPr>
        <w:fldChar w:fldCharType="begin" w:fldLock="1"/>
      </w:r>
      <w:r>
        <w:rPr>
          <w:rFonts w:cs="Times New Roman"/>
          <w:szCs w:val="24"/>
        </w:rPr>
        <w:instrText>ADDIN CSL_CITATION {"citationItems":[{"id":"ITEM-1","itemData":{"ISBN":"1849204624","author":[{"dropping-particle":"","family":"Walliman","given":"Nicholas","non-dropping-particle":"","parse-names":false,"suffix":""}],"id":"ITEM-1","issued":{"date-parts":[["2011"]]},"publisher":"Sage Publications","title":"Your research project: Designing and planning your work","type":"book"},"uris":["http://www.mendeley.com/documents/?uuid=d42c2444-28f5-4481-81f1-a25b979ccd47","http://www.mendeley.com/documents/?uuid=21a12bb2-3117-4d27-800b-513c475ad9cb"]}],"mendeley":{"formattedCitation":"(Walliman, 2011)","plainTextFormattedCitation":"(Walliman, 2011)","previouslyFormattedCitation":"(Walliman, 2011)"},"properties":{"noteIndex":0},"schema":"https://github.com/citation-style-language/schema/raw/master/csl-citation.json"}</w:instrText>
      </w:r>
      <w:r>
        <w:rPr>
          <w:rFonts w:cs="Times New Roman"/>
          <w:szCs w:val="24"/>
        </w:rPr>
        <w:fldChar w:fldCharType="separate"/>
      </w:r>
      <w:r>
        <w:rPr>
          <w:rFonts w:cs="Times New Roman"/>
          <w:noProof/>
          <w:szCs w:val="24"/>
        </w:rPr>
        <w:t>(Walliman, 2011)</w:t>
      </w:r>
      <w:r>
        <w:rPr>
          <w:rFonts w:cs="Times New Roman"/>
          <w:szCs w:val="24"/>
        </w:rPr>
        <w:fldChar w:fldCharType="end"/>
      </w:r>
      <w:r>
        <w:rPr>
          <w:rFonts w:cs="Times New Roman"/>
          <w:szCs w:val="24"/>
        </w:rPr>
        <w:t xml:space="preserve">. Moreover, the process of conducting an empirical review is instrumental in identifying knowledge gaps, showcasing diverse research approaches that can inform the study, and providing context for findings </w:t>
      </w:r>
      <w:r>
        <w:rPr>
          <w:rFonts w:cs="Times New Roman"/>
          <w:szCs w:val="24"/>
        </w:rPr>
        <w:fldChar w:fldCharType="begin" w:fldLock="1"/>
      </w:r>
      <w:r>
        <w:rPr>
          <w:rFonts w:cs="Times New Roman"/>
          <w:szCs w:val="24"/>
        </w:rPr>
        <w:instrText>ADDIN CSL_CITATION {"citationItems":[{"id":"ITEM-1","itemData":{"author":[{"dropping-particle":"","family":"Griffee","given":"Dale T","non-dropping-particle":"","parse-names":false,"suffix":""}],"container-title":"TESL-EJ Publications","id":"ITEM-1","issued":{"date-parts":[["2012"]]},"title":"An introduction to second language research methods","type":"article-journal"},"uris":["http://www.mendeley.com/documents/?uuid=8f12bfef-bbc4-4259-8de3-75910a31905d","http://www.mendeley.com/documents/?uuid=3364ee93-1632-4985-8808-ceaf1dd05bd1"]},{"id":"ITEM-2","itemData":{"ISSN":"1040-2446","author":[{"dropping-particle":"","family":"Neumann","given":"Melanie","non-dropping-particle":"","parse-names":false,"suffix":""},{"dropping-particle":"","family":"Edelhäuser","given":"Friedrich","non-dropping-particle":"","parse-names":false,"suffix":""},{"dropping-particle":"","family":"Tauschel","given":"Diethard","non-dropping-particle":"","parse-names":false,"suffix":""},{"dropping-particle":"","family":"Fischer","given":"Martin R","non-dropping-particle":"","parse-names":false,"suffix":""},{"dropping-particle":"","family":"Wirtz","given":"Markus","non-dropping-particle":"","parse-names":false,"suffix":""},{"dropping-particle":"","family":"Woopen","given":"Christiane","non-dropping-particle":"","parse-names":false,"suffix":""},{"dropping-particle":"","family":"Haramati","given":"Aviad","non-dropping-particle":"","parse-names":false,"suffix":""},{"dropping-particle":"","family":"Scheffer","given":"Christian","non-dropping-particle":"","parse-names":false,"suffix":""}],"container-title":"Academic medicine","id":"ITEM-2","issue":"8","issued":{"date-parts":[["2011"]]},"page":"996-1009","publisher":"LWW","title":"Empathy decline and its reasons: a systematic review of studies with medical students and residents","type":"article-journal","volume":"86"},"uris":["http://www.mendeley.com/documents/?uuid=dc152738-9904-4f1f-9e7e-f8aa418c9a4d","http://www.mendeley.com/documents/?uuid=4aba845f-292f-4c2a-8150-533d136b4f15","http://www.mendeley.com/documents/?uuid=329f446d-c236-4670-ae48-63d86306894c"]}],"mendeley":{"formattedCitation":"(Griffee, 2012; Neumann et al., 2011)","plainTextFormattedCitation":"(Griffee, 2012; Neumann et al., 2011)","previouslyFormattedCitation":"(Griffee, 2012; Neumann et al., 2011)"},"properties":{"noteIndex":0},"schema":"https://github.com/citation-style-language/schema/raw/master/csl-citation.json"}</w:instrText>
      </w:r>
      <w:r>
        <w:rPr>
          <w:rFonts w:cs="Times New Roman"/>
          <w:szCs w:val="24"/>
        </w:rPr>
        <w:fldChar w:fldCharType="separate"/>
      </w:r>
      <w:r>
        <w:rPr>
          <w:rFonts w:cs="Times New Roman"/>
          <w:noProof/>
          <w:szCs w:val="24"/>
        </w:rPr>
        <w:t>(Griffee, 2012; Neumann et al., 2011)</w:t>
      </w:r>
      <w:r>
        <w:rPr>
          <w:rFonts w:cs="Times New Roman"/>
          <w:szCs w:val="24"/>
        </w:rPr>
        <w:fldChar w:fldCharType="end"/>
      </w:r>
      <w:r>
        <w:rPr>
          <w:rFonts w:cs="Times New Roman"/>
          <w:szCs w:val="24"/>
        </w:rPr>
        <w:t xml:space="preserve">. This section of the study presents the empirical research on climate change and pastoralist mobility. It is important to note that the empirical research was cantered on climate change and pastoralists, encompassing a total of nine reviewed studies. </w:t>
      </w:r>
      <w:r>
        <w:rPr>
          <w:rFonts w:cs="Times New Roman"/>
          <w:szCs w:val="24"/>
        </w:rPr>
        <w:fldChar w:fldCharType="begin" w:fldLock="1"/>
      </w:r>
      <w:r w:rsidR="00900D2E">
        <w:rPr>
          <w:rFonts w:cs="Times New Roman"/>
          <w:szCs w:val="24"/>
        </w:rPr>
        <w:instrText>ADDIN CSL_CITATION {"citationItems":[{"id":"ITEM-1","itemData":{"DOI":"10.3197/np.2020.240102","author":[{"dropping-particle":"","family":"Bukari","given":"Kaderi","non-dropping-particle":"","parse-names":false,"suffix":""},{"dropping-particle":"","family":"Bukari","given":"Shaibu","non-dropping-particle":"","parse-names":false,"suffix":""},{"dropping-particle":"","family":"Sow","given":"Papa","non-dropping-particle":"","parse-names":false,"suffix":""},{"dropping-particle":"","family":"Scheffran","given":"Jürgen","non-dropping-particle":"","parse-names":false,"suffix":""}],"container-title":"Nomadic Peoples","id":"ITEM-1","issued":{"date-parts":[["2020","3","1"]]},"page":"4-31","title":"Diversity and Multiple Drivers of Pastoral Fulani Migration to Ghana","type":"article-journal","volume":"24"},"uris":["http://www.mendeley.com/documents/?uuid=63cd46e9-cafe-40d3-bcc1-99b22ea09773"]},{"id":"ITEM-2","itemData":{"DOI":"10.1002/crq.21346","ISSN":"15411508","abstract":"Climate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Quarterly","id":"ITEM-2","issue":"4","issued":{"date-parts":[["2022"]]},"page":"421-439","title":"Climate change, migration and farmer–herder conflict in Ghana","type":"article-journal","volume":"39"},"uris":["http://www.mendeley.com/documents/?uuid=9040542a-42d0-4963-951f-59dbae297b95"]},{"id":"ITEM-3","itemData":{"author":[{"dropping-particle":"","family":"Kimaro","given":"Esther G","non-dropping-particle":"","parse-names":false,"suffix":""},{"dropping-particle":"","family":"Mor","given":"Siobhan M","non-dropping-particle":"","parse-names":false,"suffix":""},{"dropping-particle":"","family":"Toribio","given":"Jenny-ann L M L","non-dropping-particle":"","parse-names":false,"suffix":""}],"container-title":"Pastoralism: Research, Policy and Practice","id":"ITEM-3","issued":{"date-parts":[["2018"]]},"page":"1-16","publisher":"Pastoralism","title":"CC Perception and impacts on cattle production.pdf","type":"article-journal","volume":"5"},"uris":["http://www.mendeley.com/documents/?uuid=ff0e97fc-b406-445a-a7e6-f9fa3ac27b61"]},{"id":"ITEM-4","itemData":{"DOI":"10.4000/vertigo.20698","author":[{"dropping-particle":"","family":"Ouoba-Ima","given":"Sidonie","non-dropping-particle":"","parse-names":false,"suffix":""}],"container-title":"VertigO","id":"ITEM-4","issue":"Volume 18 numéro 2","issued":{"date-parts":[["2018"]]},"title":"Caractéristiques socio-démographiques et dynamique de la transhumance des bouviers peuls de la Nouhao au Burkina Faso","type":"article-journal"},"uris":["http://www.mendeley.com/documents/?uuid=8dfdb95a-cb1f-43e7-80bd-0eba76a5fc0b"]},{"id":"ITEM-5","itemData":{"DOI":"10.1017/S1751731120001378","ISSN":"1751732X","PMID":"32618549","abstract":"For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-5","issue":"11","issued":{"date-parts":[["2020"]]},"page":"2378-2386","publisher":"Elsevier","title":"The role of cross-border transhumance in influencing resident herders’ cattle husbandry practices and use of genetic resources","type":"article-journal","volume":"14"},"uris":["http://www.mendeley.com/documents/?uuid=aeaac0bd-2ff0-4b89-a6ae-3e140cdd6193"]},{"id":"ITEM-6","itemData":{"DOI":"10.1016/j.vas.2022.100240","ISSN":"2451943X","abstract":"This study examines the perception of the pastoral community on climate change and performance, resilience and adaptive capacity of livestock under climatic stress in southeastern Ethiopia. The study used a mixed research approach whereby quantitative and qualitative data were gathered from multiple sources to address the impacts of climate variability on livestock production and livelihood of pastoral-agro-pastoral communities of Guji zone. Data about pastoralist perception on climate change were collected from 198 randomly selected households using a semi-structured questionnaire. Furthermore, climate data were obtained from the national meteorological agency, and climatic water balance was assessed. The household survey result indicated increasing patterns of temperature (82.8%)and drought intensity (84.8%). Majority of respondents perceived decreasing trends of rainfall and feed availability. Similarly, the trend analysis of rainfall showed declining trends of annual (-4.7 mm/year), autumn (-4.5 mm) and winter (-0.54 mm). Rainfall Anomaly Index identifies 13 drought years over the past 32 years, of which 53.85% occurred between 2007- 2017. Significantly higher (p&lt;0.01) cattle and small ruminants than camel per household died during the disastrous drought occurred in 2008/9 and 2015/16. Nonetheless, the result indicated significantly higher (p&lt;0.01) amounts of milk yield (3.32 litre/day) of dairying camel during dry periods than cattle and small ruminants. Camel and goats are perceived as drought-resistant livestock species and cattle keepers shifting to have more camel and goat in response to prevailing drought in the study area. Poor attention is given to identify climate-smart/resilient livestock species and strains. Therefore, extensive investigations are required to select and identify purpose-specific camel and goat strains for drought-prone areas.","author":[{"dropping-particle":"","family":"Habte","given":"Matiwos","non-dropping-particle":"","parse-names":false,"suffix":""},{"dropping-particle":"","family":"Eshetu","given":"Mitiku","non-dropping-particle":"","parse-names":false,"suffix":""},{"dropping-particle":"","family":"Maryo","given":"Melesse","non-dropping-particle":"","parse-names":false,"suffix":""},{"dropping-particle":"","family":"Andualem","given":"Dereje","non-dropping-particle":"","parse-names":false,"suffix":""},{"dropping-particle":"","family":"Legesse","given":"Abiyot","non-dropping-particle":"","parse-names":false,"suffix":""}],"container-title":"Veterinary and Animal Science","id":"ITEM-6","issued":{"date-parts":[["2022"]]},"page":"100240","publisher":"Elsevier Ltd","title":"Effects of climate variability on livestock productivity and pastoralists perception: The case of drought resilience in Southeastern Ethiopia","type":"article-journal","volume":"16"},"uris":["http://www.mendeley.com/documents/?uuid=682c4b99-11aa-4cdf-8d83-896595f2851f"]},{"id":"ITEM-7","itemData":{"author":[{"dropping-particle":"","family":"Sulieman","given":"Hussein","non-dropping-particle":"","parse-names":false,"suffix":""},{"dropping-particle":"","family":"Young","given":"Helen","non-dropping-particle":"","parse-names":false,"suffix":""}],"container-title":"Feinstein International Center","id":"ITEM-7","issue":"January","issued":{"date-parts":[["2019"]]},"page":"1-66","title":"Transforming Pastoralist Mobility in West Darfur: Understanding Continuity and Change","type":"article-journal"},"uris":["http://www.mendeley.com/documents/?uuid=7b61219d-c029-4bbb-9aea-55befbe20bfc"]},{"id":"ITEM-8","itemData":{"DOI":"10.1186/s13570-017-0093-1","ISSN":"20417136","abstract":"Pastoral societies in dryland Africa continue to face changes to their systems. These systems are influenced by a range of historical factors, but little use is made of this information to design policies that suit pastoralists’ landscapes. This article provides a synthesis of historical perspectives on pastoral land use and tenure transformations in Ngamiland, south of the Okavango Delta, Botswana. Little documentation of herders’ historical perspectives exists and less is known about how past experiences can be applied to sustainable pastoralism policies. In this article, current land use pressing issues are examined and analysed within the context of past experiences. We use a series of oral histories with key informants, focus group discussions, expert interviews and rangeland field observations. Results show that Nagamiland’s pastoral landscape has been shaped by a variety of factors: livestock diseases, human-wildlife conflicts, droughts, land tenure transformations associated with rangeland policies and the pastoral identity of the Ovaherero/Ovambanderu ethnic groups. Pastoralists have followed unique trajectories, specific to their rangeland conditions and socio-cultural context. Resilience to climate shocks and diseases has been weakened by inequitable patterns of control over rangeland resources. We recommend institutional diversity such that from experiences of the past, lessons can be drawn of processes and institutions required for pastoralism policies targeted pastoralists’ adaptations. Using pastoralists to provide information, especially in the area of indigenous knowledge, strategies can be developed to link conservation of wildlife and rangelands with pastoral production by developing ecologically sensitive low-volume tourism that pastoral communities can tap to diversify their livelihoods.","author":[{"dropping-particle":"","family":"Basupi","given":"Lenyeletse Vincent","non-dropping-particle":"","parse-names":false,"suffix":""},{"dropping-particle":"","family":"Quinn","given":"Claire Helen","non-dropping-particle":"","parse-names":false,"suffix":""},{"dropping-particle":"","family":"Dougill","given":"Andrew John","non-dropping-particle":"","parse-names":false,"suffix":""}],"container-title":"Pastoralism","id":"ITEM-8","issue":"1","issued":{"date-parts":[["2017"]]},"page":"1-14","publisher":"Pastoralism","title":"Historical perspectives on pastoralism and land tenure transformation in Ngamiland, Botswana: What are the policy and institutional lessons?","type":"article-journal","volume":"7"},"uris":["http://www.mendeley.com/documents/?uuid=01ca4ec2-18b5-431c-8d9e-7c5a56e42c3e"]},{"id":"ITEM-9","itemData":{"DOI":"10.3389/fsoc.2020.518797","ISSN":"22977775","abstract":"Intra-African migration in sub-Saharan Africa is increasingly characterized by migration further and further south of the equator. The study focuses on the relationship between pastoralist migration and climate change, followed by loss of control of epidemics, which can lead to losses of large numbers of livestock. While increasing changes in the natural environment have been widely cited in the empirical literature, less attention has been paid to the social context and sociological factors influencing modern-day climate-induced intra-African pastoralist migration. Using Blumer's structural symbolic interaction as an analytic framework, this study examines how social and cultural perceptions influence subjective interpretations that lead to decision points that trigger intra-African pastoralist migration. Using structural symbolic interaction as an analytic framework to study interrelationships between climate-induced stimulus, symbolic interpretation, and migration response, the study identifies that decisions to migrate to other ecosystems were mediated through symbolic signs with assigned meaning and significance communicated through language, signs, symbols, ritual, and religion, which makes up the overall pastoralist cosmology of migration. That these signs and meanings, which are given symbolic meaning, form the basis of African pastoralist sociology of migration. These are the key factors that explain why some pastoralist households decide to migrate to other ecological zones while others remain in traditional pastoralist lands. This study was guided by two hypotheses. The first is that intra-African pastoralist migration is socially defined based on the social and cultural perceptions and meanings attached to interactions with their increasingly changing natural and social circumstances (H1). The second (H2) is that this meaning is defined and modified through an interpretative process in response to changing social and natural circumstances. The sample examined in the study covered seven districts with a high proportion of pastoralists across four eco-climatic zones. A total of 544 pastoralist households were interviewed. In-depth qualitative interviews and observation studies were conducted in three case-study villages. The study concludes that decisions to migrate to other ecosystems are mediated through symbolic signs with assigned meanings and significances communicated through language, signs, symbols, rituals, and religion. Together, the…","author":[{"dropping-particle":"","family":"Awinia","given":"Christopher Simeon","non-dropping-particle":"","parse-names":false,"suffix":""}],"container-title":"Frontiers in Sociology","id":"ITEM-9","issue":"November","issued":{"date-parts":[["2020"]]},"page":"1-10","title":"The Sociology of Intra-African Pastoralist Migration: The Case of Tanzania","type":"article-journal","volume":"5"},"uris":["http://www.mendeley.com/documents/?uuid=a69c72c8-3320-4e99-9a33-4b350381b6b9"]}],"mendeley":{"formattedCitation":"(Awinia, 2020; Basupi et al., 2017; K. Bukari et al., 2020; Habte et al., 2022; Houessou et al., 2020; Issifu et al., 2022; Kimaro et al., 2018; Ouoba-Ima, 2018; Sulieman &amp; Young, 2019)","manualFormatting":"(Basupi et al., 2017; Kimaro et al., 2018; Ouoba-Ima 2018; Sulieman &amp; Young 2019; Awinia, 2020; Kw2. Bukari, Bukari, Sow, &amp; Scheffran, 2020;Houessou et al., 2020; Habte et al., 2022; Issifu et al., 2022;)","plainTextFormattedCitation":"(Awinia, 2020; Basupi et al., 2017; K. Bukari et al., 2020; Habte et al., 2022; Houessou et al., 2020; Issifu et al., 2022; Kimaro et al., 2018; Ouoba-Ima, 2018; Sulieman &amp; Young, 2019)","previouslyFormattedCitation":"(Awinia, 2020; Basupi et al., 2017; K. Bukari et al., 2020; Habte et al., 2022; Houessou et al., 2020; Issifu et al., 2022; Kimaro et al., 2018; Ouoba-Ima, 2018; Sulieman &amp; Young, 2019)"},"properties":{"noteIndex":0},"schema":"https://github.com/citation-style-language/schema/raw/master/csl-citation.json"}</w:instrText>
      </w:r>
      <w:r>
        <w:rPr>
          <w:rFonts w:cs="Times New Roman"/>
          <w:szCs w:val="24"/>
        </w:rPr>
        <w:fldChar w:fldCharType="separate"/>
      </w:r>
      <w:r>
        <w:rPr>
          <w:rFonts w:cs="Times New Roman"/>
          <w:noProof/>
          <w:szCs w:val="24"/>
        </w:rPr>
        <w:t>(Basupi et al., 2017; Kimaro et al., 2018; Ouoba-Ima 2018; Sulieman &amp; Young 2019; Awinia, 2020; Kw2. Bukari, Bukari, Sow, &amp; Scheffran, 2020;Houessou et al., 2020; Habte et al., 2022; Issifu et al., 2022;)</w:t>
      </w:r>
      <w:r>
        <w:rPr>
          <w:rFonts w:cs="Times New Roman"/>
          <w:szCs w:val="24"/>
        </w:rPr>
        <w:fldChar w:fldCharType="end"/>
      </w:r>
    </w:p>
    <w:p w:rsidR="00E53882" w:rsidRDefault="00B16FF7">
      <w:pPr>
        <w:spacing w:line="480" w:lineRule="auto"/>
        <w:rPr>
          <w:rFonts w:cs="Times New Roman"/>
          <w:szCs w:val="24"/>
          <w:lang w:val="en-US"/>
        </w:rPr>
      </w:pPr>
      <w:r>
        <w:rPr>
          <w:rFonts w:cs="Times New Roman"/>
          <w:szCs w:val="24"/>
          <w:lang w:val="en-US"/>
        </w:rPr>
        <w:t xml:space="preserve">Firstly, the work of </w:t>
      </w:r>
      <w:r>
        <w:rPr>
          <w:rFonts w:cs="Times New Roman"/>
          <w:szCs w:val="24"/>
          <w:lang w:val="en-US"/>
        </w:rPr>
        <w:fldChar w:fldCharType="begin" w:fldLock="1"/>
      </w:r>
      <w:r>
        <w:rPr>
          <w:rFonts w:cs="Times New Roman"/>
          <w:szCs w:val="24"/>
          <w:lang w:val="en-US"/>
        </w:rPr>
        <w:instrText>ADDIN CSL_CITATION {"citationItems":[{"id":"ITEM-1","itemData":{"DOI":"10.1186/s13570-017-0093-1","ISSN":"20417136","abstract":"Pastoral societies in dryland Africa continue to face changes to their systems. These systems are influenced by a range of historical factors, but little use is made of this information to design policies that suit pastoralists’ landscapes. This article provides a synthesis of historical perspectives on pastoral land use and tenure transformations in Ngamiland, south of the Okavango Delta, Botswana. Little documentation of herders’ historical perspectives exists and less is known about how past experiences can be applied to sustainable pastoralism policies. In this article, current land use pressing issues are examined and analysed within the context of past experiences. We use a series of oral histories with key informants, focus group discussions, expert interviews and rangeland field observations. Results show that Nagamiland’s pastoral landscape has been shaped by a variety of factors: livestock diseases, human-wildlife conflicts, droughts, land tenure transformations associated with rangeland policies and the pastoral identity of the Ovaherero/Ovambanderu ethnic groups. Pastoralists have followed unique trajectories, specific to their rangeland conditions and socio-cultural context. Resilience to climate shocks and diseases has been weakened by inequitable patterns of control over rangeland resources. We recommend institutional diversity such that from experiences of the past, lessons can be drawn of processes and institutions required for pastoralism policies targeted pastoralists’ adaptations. Using pastoralists to provide information, especially in the area of indigenous knowledge, strategies can be developed to link conservation of wildlife and rangelands with pastoral production by developing ecologically sensitive low-volume tourism that pastoral communities can tap to diversify their livelihoods.","author":[{"dropping-particle":"","family":"Basupi","given":"Lenyeletse Vincent","non-dropping-particle":"","parse-names":false,"suffix":""},{"dropping-particle":"","family":"Quinn","given":"Claire Helen","non-dropping-particle":"","parse-names":false,"suffix":""},{"dropping-particle":"","family":"Dougill","given":"Andrew John","non-dropping-particle":"","parse-names":false,"suffix":""}],"container-title":"Pastoralism","id":"ITEM-1","issue":"1","issued":{"date-parts":[["2017"]]},"page":"1-14","publisher":"Pastoralism","title":"Historical perspectives on pastoralism and land tenure transformation in Ngamiland, Botswana: What are the policy and institutional lessons?","type":"article-journal","volume":"7"},"uris":["http://www.mendeley.com/documents/?uuid=01ca4ec2-18b5-431c-8d9e-7c5a56e42c3e"]}],"mendeley":{"formattedCitation":"(Basupi et al., 2017)","manualFormatting":"Basupi et al., (2017)","plainTextFormattedCitation":"(Basupi et al., 2017)","previouslyFormattedCitation":"(Basupi et al., 2017)"},"properties":{"noteIndex":0},"schema":"https://github.com/citation-style-language/schema/raw/master/csl-citation.json"}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Basupi et al., (2017)</w:t>
      </w:r>
      <w:r>
        <w:rPr>
          <w:rFonts w:cs="Times New Roman"/>
          <w:szCs w:val="24"/>
          <w:lang w:val="en-US"/>
        </w:rPr>
        <w:fldChar w:fldCharType="end"/>
      </w:r>
      <w:r>
        <w:rPr>
          <w:rFonts w:cs="Times New Roman"/>
          <w:szCs w:val="24"/>
          <w:lang w:val="en-US"/>
        </w:rPr>
        <w:t xml:space="preserve"> presents a synthesis of historical perspectives regarding pastoral land use and tenure changes in </w:t>
      </w:r>
      <w:proofErr w:type="spellStart"/>
      <w:r>
        <w:rPr>
          <w:rFonts w:cs="Times New Roman"/>
          <w:szCs w:val="24"/>
          <w:lang w:val="en-US"/>
        </w:rPr>
        <w:t>Ngamiland</w:t>
      </w:r>
      <w:proofErr w:type="spellEnd"/>
      <w:r>
        <w:rPr>
          <w:rFonts w:cs="Times New Roman"/>
          <w:szCs w:val="24"/>
          <w:lang w:val="en-US"/>
        </w:rPr>
        <w:t xml:space="preserve">, located south of the Okavango Delta in Botswana. The author examines current issues in pastoral land use and analyzes them within the context of past experiences. Employing a mixed-method approach that incorporates oral histories, focus group discussions, and expert interviews, the study collected data from seven study villages: </w:t>
      </w:r>
      <w:proofErr w:type="spellStart"/>
      <w:r>
        <w:rPr>
          <w:rFonts w:cs="Times New Roman"/>
          <w:szCs w:val="24"/>
          <w:lang w:val="en-US"/>
        </w:rPr>
        <w:t>Sehithwa</w:t>
      </w:r>
      <w:proofErr w:type="spellEnd"/>
      <w:r>
        <w:rPr>
          <w:rFonts w:cs="Times New Roman"/>
          <w:szCs w:val="24"/>
          <w:lang w:val="en-US"/>
        </w:rPr>
        <w:t xml:space="preserve">, </w:t>
      </w:r>
      <w:proofErr w:type="spellStart"/>
      <w:r>
        <w:rPr>
          <w:rFonts w:cs="Times New Roman"/>
          <w:szCs w:val="24"/>
          <w:lang w:val="en-US"/>
        </w:rPr>
        <w:t>Toteng</w:t>
      </w:r>
      <w:proofErr w:type="spellEnd"/>
      <w:r>
        <w:rPr>
          <w:rFonts w:cs="Times New Roman"/>
          <w:szCs w:val="24"/>
          <w:lang w:val="en-US"/>
        </w:rPr>
        <w:t xml:space="preserve">, </w:t>
      </w:r>
      <w:proofErr w:type="spellStart"/>
      <w:r>
        <w:rPr>
          <w:rFonts w:cs="Times New Roman"/>
          <w:szCs w:val="24"/>
          <w:lang w:val="en-US"/>
        </w:rPr>
        <w:t>Bodibeng</w:t>
      </w:r>
      <w:proofErr w:type="spellEnd"/>
      <w:r>
        <w:rPr>
          <w:rFonts w:cs="Times New Roman"/>
          <w:szCs w:val="24"/>
          <w:lang w:val="en-US"/>
        </w:rPr>
        <w:t xml:space="preserve">, </w:t>
      </w:r>
      <w:proofErr w:type="spellStart"/>
      <w:r>
        <w:rPr>
          <w:rFonts w:cs="Times New Roman"/>
          <w:szCs w:val="24"/>
          <w:lang w:val="en-US"/>
        </w:rPr>
        <w:t>Bothatogo</w:t>
      </w:r>
      <w:proofErr w:type="spellEnd"/>
      <w:r>
        <w:rPr>
          <w:rFonts w:cs="Times New Roman"/>
          <w:szCs w:val="24"/>
          <w:lang w:val="en-US"/>
        </w:rPr>
        <w:t xml:space="preserve">, </w:t>
      </w:r>
      <w:proofErr w:type="spellStart"/>
      <w:r>
        <w:rPr>
          <w:rFonts w:cs="Times New Roman"/>
          <w:szCs w:val="24"/>
          <w:lang w:val="en-US"/>
        </w:rPr>
        <w:t>Kareng</w:t>
      </w:r>
      <w:proofErr w:type="spellEnd"/>
      <w:r>
        <w:rPr>
          <w:rFonts w:cs="Times New Roman"/>
          <w:szCs w:val="24"/>
          <w:lang w:val="en-US"/>
        </w:rPr>
        <w:t xml:space="preserve">, </w:t>
      </w:r>
      <w:proofErr w:type="spellStart"/>
      <w:r>
        <w:rPr>
          <w:rFonts w:cs="Times New Roman"/>
          <w:szCs w:val="24"/>
          <w:lang w:val="en-US"/>
        </w:rPr>
        <w:t>Semboyo</w:t>
      </w:r>
      <w:proofErr w:type="spellEnd"/>
      <w:r>
        <w:rPr>
          <w:rFonts w:cs="Times New Roman"/>
          <w:szCs w:val="24"/>
          <w:lang w:val="en-US"/>
        </w:rPr>
        <w:t xml:space="preserve">, and </w:t>
      </w:r>
      <w:proofErr w:type="spellStart"/>
      <w:r>
        <w:rPr>
          <w:rFonts w:cs="Times New Roman"/>
          <w:szCs w:val="24"/>
          <w:lang w:val="en-US"/>
        </w:rPr>
        <w:t>Makakung</w:t>
      </w:r>
      <w:proofErr w:type="spellEnd"/>
      <w:r>
        <w:rPr>
          <w:rFonts w:cs="Times New Roman"/>
          <w:szCs w:val="24"/>
          <w:lang w:val="en-US"/>
        </w:rPr>
        <w:t xml:space="preserve">. These villages were chosen because the majority of residents practice agro-pastoralism, relying heavily on livestock, particularly cattle, as their primary investment in agricultural assets and livelihoods. The findings reveal that </w:t>
      </w:r>
      <w:proofErr w:type="spellStart"/>
      <w:r>
        <w:rPr>
          <w:rFonts w:cs="Times New Roman"/>
          <w:szCs w:val="24"/>
          <w:lang w:val="en-US"/>
        </w:rPr>
        <w:t>Ngamiland's</w:t>
      </w:r>
      <w:proofErr w:type="spellEnd"/>
      <w:r>
        <w:rPr>
          <w:rFonts w:cs="Times New Roman"/>
          <w:szCs w:val="24"/>
          <w:lang w:val="en-US"/>
        </w:rPr>
        <w:t xml:space="preserve"> pastoral landscape has been influenced by various factors, including livestock diseases, human-wildlife conflicts, droughts, and land tenure transformations linked to rangeland policies and the pastoral identity of the </w:t>
      </w:r>
      <w:proofErr w:type="spellStart"/>
      <w:r>
        <w:rPr>
          <w:rFonts w:cs="Times New Roman"/>
          <w:szCs w:val="24"/>
          <w:lang w:val="en-US"/>
        </w:rPr>
        <w:t>Ovaherero</w:t>
      </w:r>
      <w:proofErr w:type="spellEnd"/>
      <w:r>
        <w:rPr>
          <w:rFonts w:cs="Times New Roman"/>
          <w:szCs w:val="24"/>
          <w:lang w:val="en-US"/>
        </w:rPr>
        <w:t>/</w:t>
      </w:r>
      <w:proofErr w:type="spellStart"/>
      <w:r>
        <w:rPr>
          <w:rFonts w:cs="Times New Roman"/>
          <w:szCs w:val="24"/>
          <w:lang w:val="en-US"/>
        </w:rPr>
        <w:t>Ovambanderu</w:t>
      </w:r>
      <w:proofErr w:type="spellEnd"/>
      <w:r>
        <w:rPr>
          <w:rFonts w:cs="Times New Roman"/>
          <w:szCs w:val="24"/>
          <w:lang w:val="en-US"/>
        </w:rPr>
        <w:t xml:space="preserve"> ethnic groups. Pastoralists have followed distinct trajectories specific to their rangeland conditions and socio-cultural context. Inequitable control over </w:t>
      </w:r>
      <w:r>
        <w:rPr>
          <w:rFonts w:cs="Times New Roman"/>
          <w:szCs w:val="24"/>
          <w:lang w:val="en-US"/>
        </w:rPr>
        <w:lastRenderedPageBreak/>
        <w:t>rangeland resources has weakened resilience to climate shocks and diseases. The study concludes that comprehending rangeland management through pastoralism holds significant policy relevance and can inform the development of entry points for sustainable land management initiatives. However, the research falls short in examining the perceptions of pastoralists and how the identified factors shape their movement patterns</w:t>
      </w:r>
    </w:p>
    <w:p w:rsidR="00E53882" w:rsidRDefault="00B16FF7">
      <w:pPr>
        <w:spacing w:line="480" w:lineRule="auto"/>
        <w:rPr>
          <w:rFonts w:cs="Times New Roman"/>
          <w:szCs w:val="24"/>
          <w:lang w:val="en-US"/>
        </w:rPr>
      </w:pPr>
      <w:r>
        <w:rPr>
          <w:rFonts w:cs="Times New Roman"/>
          <w:szCs w:val="24"/>
          <w:lang w:val="en-US"/>
        </w:rPr>
        <w:t xml:space="preserve">Second, </w:t>
      </w:r>
      <w:proofErr w:type="spellStart"/>
      <w:r>
        <w:rPr>
          <w:rFonts w:cs="Times New Roman"/>
          <w:szCs w:val="24"/>
        </w:rPr>
        <w:t>Kimaro</w:t>
      </w:r>
      <w:proofErr w:type="spellEnd"/>
      <w:r>
        <w:rPr>
          <w:rFonts w:cs="Times New Roman"/>
          <w:szCs w:val="24"/>
        </w:rPr>
        <w:t xml:space="preserve"> et al</w:t>
      </w:r>
      <w:proofErr w:type="gramStart"/>
      <w:r>
        <w:rPr>
          <w:rFonts w:cs="Times New Roman"/>
          <w:szCs w:val="24"/>
        </w:rPr>
        <w:t>.(</w:t>
      </w:r>
      <w:proofErr w:type="gramEnd"/>
      <w:r>
        <w:rPr>
          <w:rFonts w:cs="Times New Roman"/>
          <w:szCs w:val="24"/>
        </w:rPr>
        <w:t>2018)</w:t>
      </w:r>
      <w:r>
        <w:rPr>
          <w:rFonts w:cs="Times New Roman"/>
          <w:szCs w:val="24"/>
          <w:lang w:val="en-US"/>
        </w:rPr>
        <w:t xml:space="preserve"> investigate the perceptions of climate change among pastoralists and its impact on cattle production in ten villages within </w:t>
      </w:r>
      <w:proofErr w:type="spellStart"/>
      <w:r>
        <w:rPr>
          <w:rFonts w:cs="Times New Roman"/>
          <w:szCs w:val="24"/>
          <w:lang w:val="en-US"/>
        </w:rPr>
        <w:t>Monduli</w:t>
      </w:r>
      <w:proofErr w:type="spellEnd"/>
      <w:r>
        <w:rPr>
          <w:rFonts w:cs="Times New Roman"/>
          <w:szCs w:val="24"/>
          <w:lang w:val="en-US"/>
        </w:rPr>
        <w:t xml:space="preserve"> District, Tanzania. Employing a mixed-method approach, the researchers utilized random sampling and purposive sampling for respondent selection. Data collection involved gathering empirical data from 130 cattle owners and 81 participants through focus group discussions in the study villages. The researchers employed descriptive statistics and thematic analysis to scrutinize the collected data. The study disclosed that pastoralists exhibit a keen awareness of the general climate trends in their location, recognizing variability and acknowledging the impacts of extreme weather events on cattle production. Primary climate changes perceived by pastoralists encompass more erratic and reduced rainfall, elevated temperatures, and prolonged and frequent drought periods. Pastoralists attribute climate change to population pressure and tree cutting. The research identified a lack of climate risk programs and early warning systems across the district. Notably, pastoralists reported negative impacts of climate change on cattle production, including forage and water shortages leading to cattle starvation and malnutrition. The study also highlighted massive cattle deaths and outbreaks of diseases like contagious bovine </w:t>
      </w:r>
      <w:proofErr w:type="spellStart"/>
      <w:r>
        <w:rPr>
          <w:rFonts w:cs="Times New Roman"/>
          <w:szCs w:val="24"/>
          <w:lang w:val="en-US"/>
        </w:rPr>
        <w:t>pleuropneumonia</w:t>
      </w:r>
      <w:proofErr w:type="spellEnd"/>
      <w:r>
        <w:rPr>
          <w:rFonts w:cs="Times New Roman"/>
          <w:szCs w:val="24"/>
          <w:lang w:val="en-US"/>
        </w:rPr>
        <w:t xml:space="preserve"> and tick-borne diseases. Additionally, reductions in milk production and poor livestock market prices were reported as adverse effects on cattle production. </w:t>
      </w:r>
      <w:r>
        <w:rPr>
          <w:rFonts w:cs="Times New Roman"/>
          <w:szCs w:val="24"/>
          <w:lang w:val="en-US"/>
        </w:rPr>
        <w:fldChar w:fldCharType="begin" w:fldLock="1"/>
      </w:r>
      <w:r>
        <w:rPr>
          <w:rFonts w:cs="Times New Roman"/>
          <w:szCs w:val="24"/>
          <w:lang w:val="en-US"/>
        </w:rPr>
        <w:instrText>ADDIN CSL_CITATION {"citationItems":[{"id":"ITEM-1","itemData":{"author":[{"dropping-particle":"","family":"Kimaro","given":"Esther G","non-dropping-particle":"","parse-names":false,"suffix":""},{"dropping-particle":"","family":"Mor","given":"Siobhan M","non-dropping-particle":"","parse-names":false,"suffix":""},{"dropping-particle":"","family":"Toribio","given":"Jenny-ann L M L","non-dropping-particle":"","parse-names":false,"suffix":""}],"container-title":"Pastoralism: Research, Policy and Practice","id":"ITEM-1","issued":{"date-parts":[["2018"]]},"page":"1-16","publisher":"Pastoralism","title":"CC Perception and impacts on cattle production.pdf","type":"article-journal","volume":"5"},"uris":["http://www.mendeley.com/documents/?uuid=ff0e97fc-b406-445a-a7e6-f9fa3ac27b61"]}],"mendeley":{"formattedCitation":"(Kimaro et al., 2018)","manualFormatting":"Kimaro et al., (2018)","plainTextFormattedCitation":"(Kimaro et al., 2018)","previouslyFormattedCitation":"(Kimaro et al., 2018)"},"properties":{"noteIndex":0},"schema":"https://github.com/citation-style-language/schema/raw/master/csl-citation.json"}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Kimaro et al., (2018)</w:t>
      </w:r>
      <w:r>
        <w:rPr>
          <w:rFonts w:cs="Times New Roman"/>
          <w:szCs w:val="24"/>
          <w:lang w:val="en-US"/>
        </w:rPr>
        <w:fldChar w:fldCharType="end"/>
      </w:r>
      <w:r>
        <w:rPr>
          <w:rFonts w:cs="Times New Roman"/>
          <w:szCs w:val="24"/>
          <w:lang w:val="en-US"/>
        </w:rPr>
        <w:t xml:space="preserve"> concluded that pastoralists possess a comprehensive </w:t>
      </w:r>
      <w:r>
        <w:rPr>
          <w:rFonts w:cs="Times New Roman"/>
          <w:szCs w:val="24"/>
          <w:lang w:val="en-US"/>
        </w:rPr>
        <w:lastRenderedPageBreak/>
        <w:t>understanding of climate variability and change based on their experiences over the past three decades. The study advocates for the consideration and integration of local observations on climate change with scientific knowledge to formulate effective climate change adaptation strategies and policies. However, the research does not explore how the internal movement patterns of pastoralists evolved in response to these changes. Furthermore, the study does not delve into the characteristics of these pastoralists.</w:t>
      </w:r>
    </w:p>
    <w:p w:rsidR="00E53882" w:rsidRDefault="00B16FF7">
      <w:pPr>
        <w:spacing w:line="480" w:lineRule="auto"/>
        <w:rPr>
          <w:rFonts w:cs="Times New Roman"/>
          <w:szCs w:val="24"/>
          <w:lang w:val="en-US"/>
        </w:rPr>
      </w:pPr>
      <w:r>
        <w:rPr>
          <w:rFonts w:cs="Times New Roman"/>
          <w:szCs w:val="24"/>
          <w:lang w:val="en-US"/>
        </w:rPr>
        <w:t xml:space="preserve">Third, </w:t>
      </w:r>
      <w:r>
        <w:rPr>
          <w:rFonts w:cs="Times New Roman"/>
          <w:szCs w:val="24"/>
          <w:lang w:val="en-US"/>
        </w:rPr>
        <w:fldChar w:fldCharType="begin" w:fldLock="1"/>
      </w:r>
      <w:r>
        <w:rPr>
          <w:rFonts w:cs="Times New Roman"/>
          <w:szCs w:val="24"/>
          <w:lang w:val="en-US"/>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2018)","manualFormatting":"Ouoba-Ima, (2018)","plainTextFormattedCitation":"(Ouoba-Ima, 2018)","previouslyFormattedCitation":"(Ouoba-Ima, 2018)"},"properties":{"noteIndex":0},"schema":"https://github.com/citation-style-language/schema/raw/master/csl-citation.json"}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Ouoba-Ima, (2018)</w:t>
      </w:r>
      <w:r>
        <w:rPr>
          <w:rFonts w:cs="Times New Roman"/>
          <w:szCs w:val="24"/>
          <w:lang w:val="en-US"/>
        </w:rPr>
        <w:fldChar w:fldCharType="end"/>
      </w:r>
      <w:r>
        <w:rPr>
          <w:rFonts w:cs="Times New Roman"/>
          <w:szCs w:val="24"/>
          <w:lang w:val="en-US"/>
        </w:rPr>
        <w:t xml:space="preserve"> focuses on analyzing the socio-demographic characteristics and dynamics of transhumance among Fulfulde </w:t>
      </w:r>
      <w:proofErr w:type="spellStart"/>
      <w:r>
        <w:rPr>
          <w:rFonts w:cs="Times New Roman"/>
          <w:szCs w:val="24"/>
          <w:lang w:val="en-US"/>
        </w:rPr>
        <w:t>bouviers</w:t>
      </w:r>
      <w:proofErr w:type="spellEnd"/>
      <w:r>
        <w:rPr>
          <w:rFonts w:cs="Times New Roman"/>
          <w:szCs w:val="24"/>
          <w:lang w:val="en-US"/>
        </w:rPr>
        <w:t xml:space="preserve"> in </w:t>
      </w:r>
      <w:proofErr w:type="spellStart"/>
      <w:r>
        <w:rPr>
          <w:rFonts w:cs="Times New Roman"/>
          <w:szCs w:val="24"/>
          <w:lang w:val="en-US"/>
        </w:rPr>
        <w:t>Nouhao</w:t>
      </w:r>
      <w:proofErr w:type="spellEnd"/>
      <w:r>
        <w:rPr>
          <w:rFonts w:cs="Times New Roman"/>
          <w:szCs w:val="24"/>
          <w:lang w:val="en-US"/>
        </w:rPr>
        <w:t xml:space="preserve">, Burkina Faso. The study compares two categories of </w:t>
      </w:r>
      <w:proofErr w:type="spellStart"/>
      <w:r>
        <w:rPr>
          <w:rFonts w:cs="Times New Roman"/>
          <w:szCs w:val="24"/>
          <w:lang w:val="en-US"/>
        </w:rPr>
        <w:t>bouviers</w:t>
      </w:r>
      <w:proofErr w:type="spellEnd"/>
      <w:r>
        <w:rPr>
          <w:rFonts w:cs="Times New Roman"/>
          <w:szCs w:val="24"/>
          <w:lang w:val="en-US"/>
        </w:rPr>
        <w:t xml:space="preserve">, explores their motivations for transhumance outside the pastoral zone, examines transhumance management, </w:t>
      </w:r>
      <w:proofErr w:type="spellStart"/>
      <w:r>
        <w:rPr>
          <w:rFonts w:cs="Times New Roman"/>
          <w:szCs w:val="24"/>
          <w:lang w:val="en-US"/>
        </w:rPr>
        <w:t>bouviers</w:t>
      </w:r>
      <w:proofErr w:type="spellEnd"/>
      <w:r>
        <w:rPr>
          <w:rFonts w:cs="Times New Roman"/>
          <w:szCs w:val="24"/>
          <w:lang w:val="en-US"/>
        </w:rPr>
        <w:t xml:space="preserve">' perceptions of transhumance, and identifies constraints and prospects for better management of pastoral resources in </w:t>
      </w:r>
      <w:proofErr w:type="spellStart"/>
      <w:r>
        <w:rPr>
          <w:rFonts w:cs="Times New Roman"/>
          <w:szCs w:val="24"/>
          <w:lang w:val="en-US"/>
        </w:rPr>
        <w:t>Nouhao</w:t>
      </w:r>
      <w:proofErr w:type="spellEnd"/>
      <w:r>
        <w:rPr>
          <w:rFonts w:cs="Times New Roman"/>
          <w:szCs w:val="24"/>
          <w:lang w:val="en-US"/>
        </w:rPr>
        <w:t xml:space="preserve">. The research adopts a mixed-method approach, utilizing purposive and simple random techniques for respondent selection. For data collection, </w:t>
      </w:r>
      <w:proofErr w:type="spellStart"/>
      <w:r>
        <w:rPr>
          <w:rFonts w:cs="Times New Roman"/>
          <w:szCs w:val="24"/>
          <w:lang w:val="en-US"/>
        </w:rPr>
        <w:t>Ouoba-Ima</w:t>
      </w:r>
      <w:proofErr w:type="spellEnd"/>
      <w:r>
        <w:rPr>
          <w:rFonts w:cs="Times New Roman"/>
          <w:szCs w:val="24"/>
          <w:lang w:val="en-US"/>
        </w:rPr>
        <w:t xml:space="preserve"> (2018) employs observation, key informant interviews, and surveys. Thirty key informant semi-structured interviews were conducted, and individual survey forms were administered to one hundred and thirty-six </w:t>
      </w:r>
      <w:proofErr w:type="spellStart"/>
      <w:r>
        <w:rPr>
          <w:rFonts w:cs="Times New Roman"/>
          <w:szCs w:val="24"/>
          <w:lang w:val="en-US"/>
        </w:rPr>
        <w:t>bouviers</w:t>
      </w:r>
      <w:proofErr w:type="spellEnd"/>
      <w:r>
        <w:rPr>
          <w:rFonts w:cs="Times New Roman"/>
          <w:szCs w:val="24"/>
          <w:lang w:val="en-US"/>
        </w:rPr>
        <w:t xml:space="preserve">, including eighty-five heads of families and fifty-one household leaders. In total, the survey sample consisted of one hundred and sixty-six individuals. The study reveals that in the pastoral zone of </w:t>
      </w:r>
      <w:proofErr w:type="spellStart"/>
      <w:r>
        <w:rPr>
          <w:rFonts w:cs="Times New Roman"/>
          <w:szCs w:val="24"/>
          <w:lang w:val="en-US"/>
        </w:rPr>
        <w:t>Nouhao</w:t>
      </w:r>
      <w:proofErr w:type="spellEnd"/>
      <w:r>
        <w:rPr>
          <w:rFonts w:cs="Times New Roman"/>
          <w:szCs w:val="24"/>
          <w:lang w:val="en-US"/>
        </w:rPr>
        <w:t xml:space="preserve">, herders also function as </w:t>
      </w:r>
      <w:proofErr w:type="spellStart"/>
      <w:r>
        <w:rPr>
          <w:rFonts w:cs="Times New Roman"/>
          <w:szCs w:val="24"/>
          <w:lang w:val="en-US"/>
        </w:rPr>
        <w:t>bouviers</w:t>
      </w:r>
      <w:proofErr w:type="spellEnd"/>
      <w:r>
        <w:rPr>
          <w:rFonts w:cs="Times New Roman"/>
          <w:szCs w:val="24"/>
          <w:lang w:val="en-US"/>
        </w:rPr>
        <w:t xml:space="preserve">, and the tradition of being a </w:t>
      </w:r>
      <w:proofErr w:type="spellStart"/>
      <w:r>
        <w:rPr>
          <w:rFonts w:cs="Times New Roman"/>
          <w:szCs w:val="24"/>
          <w:lang w:val="en-US"/>
        </w:rPr>
        <w:t>bouvier</w:t>
      </w:r>
      <w:proofErr w:type="spellEnd"/>
      <w:r>
        <w:rPr>
          <w:rFonts w:cs="Times New Roman"/>
          <w:szCs w:val="24"/>
          <w:lang w:val="en-US"/>
        </w:rPr>
        <w:t xml:space="preserve"> is passed down from father to son. Fulfulde </w:t>
      </w:r>
      <w:proofErr w:type="spellStart"/>
      <w:r>
        <w:rPr>
          <w:rFonts w:cs="Times New Roman"/>
          <w:szCs w:val="24"/>
          <w:lang w:val="en-US"/>
        </w:rPr>
        <w:t>bouviers</w:t>
      </w:r>
      <w:proofErr w:type="spellEnd"/>
      <w:r>
        <w:rPr>
          <w:rFonts w:cs="Times New Roman"/>
          <w:szCs w:val="24"/>
          <w:lang w:val="en-US"/>
        </w:rPr>
        <w:t xml:space="preserve"> demonstrate significant expertise in livestock management, guiding cattle into enclosures during vaccinations in the pastoral zone and often assisting Moshi or </w:t>
      </w:r>
      <w:proofErr w:type="spellStart"/>
      <w:r>
        <w:rPr>
          <w:rFonts w:cs="Times New Roman"/>
          <w:szCs w:val="24"/>
          <w:lang w:val="en-US"/>
        </w:rPr>
        <w:t>Bissa</w:t>
      </w:r>
      <w:proofErr w:type="spellEnd"/>
      <w:r>
        <w:rPr>
          <w:rFonts w:cs="Times New Roman"/>
          <w:szCs w:val="24"/>
          <w:lang w:val="en-US"/>
        </w:rPr>
        <w:t xml:space="preserve"> agro-pastors. </w:t>
      </w:r>
      <w:proofErr w:type="spellStart"/>
      <w:r>
        <w:rPr>
          <w:rFonts w:cs="Times New Roman"/>
          <w:szCs w:val="24"/>
          <w:lang w:val="en-US"/>
        </w:rPr>
        <w:t>Nouhao's</w:t>
      </w:r>
      <w:proofErr w:type="spellEnd"/>
      <w:r>
        <w:rPr>
          <w:rFonts w:cs="Times New Roman"/>
          <w:szCs w:val="24"/>
          <w:lang w:val="en-US"/>
        </w:rPr>
        <w:t xml:space="preserve"> </w:t>
      </w:r>
      <w:proofErr w:type="spellStart"/>
      <w:r>
        <w:rPr>
          <w:rFonts w:cs="Times New Roman"/>
          <w:szCs w:val="24"/>
          <w:lang w:val="en-US"/>
        </w:rPr>
        <w:t>bouviers</w:t>
      </w:r>
      <w:proofErr w:type="spellEnd"/>
      <w:r>
        <w:rPr>
          <w:rFonts w:cs="Times New Roman"/>
          <w:szCs w:val="24"/>
          <w:lang w:val="en-US"/>
        </w:rPr>
        <w:t xml:space="preserve"> extend beyond the pastoral zone to surrounding villages, Ghana, and Togo in their efforts to meet the dietary needs of cattle. </w:t>
      </w:r>
      <w:proofErr w:type="spellStart"/>
      <w:r>
        <w:rPr>
          <w:rFonts w:cs="Times New Roman"/>
          <w:szCs w:val="24"/>
          <w:lang w:val="en-US"/>
        </w:rPr>
        <w:t>Ouoba-Ima</w:t>
      </w:r>
      <w:proofErr w:type="spellEnd"/>
      <w:r>
        <w:rPr>
          <w:rFonts w:cs="Times New Roman"/>
          <w:szCs w:val="24"/>
          <w:lang w:val="en-US"/>
        </w:rPr>
        <w:t xml:space="preserve"> (2018) concludes that the role of a </w:t>
      </w:r>
      <w:r>
        <w:rPr>
          <w:rFonts w:cs="Times New Roman"/>
          <w:szCs w:val="24"/>
          <w:lang w:val="en-US"/>
        </w:rPr>
        <w:lastRenderedPageBreak/>
        <w:t xml:space="preserve">drover is typically passed from father to son, with 88.90% of surveyed household heads using their own children for this purpose. Most farmers (61%) have two drovers for internal and external transhumance in the pastoral zone, followed by 28.70% of farmers who have three drovers. This responsibility is increasingly undertaken by older individuals (at least 50 years) and mature young individuals (at least 20 years), as opposed to fifteen (15) in past years. The pastoral area faces challenges such as bush fires, abusive cutting of fresh wood, and early depletion of the </w:t>
      </w:r>
      <w:proofErr w:type="spellStart"/>
      <w:r>
        <w:rPr>
          <w:rFonts w:cs="Times New Roman"/>
          <w:szCs w:val="24"/>
          <w:lang w:val="en-US"/>
        </w:rPr>
        <w:t>Nouhao</w:t>
      </w:r>
      <w:proofErr w:type="spellEnd"/>
      <w:r>
        <w:rPr>
          <w:rFonts w:cs="Times New Roman"/>
          <w:szCs w:val="24"/>
          <w:lang w:val="en-US"/>
        </w:rPr>
        <w:t xml:space="preserve"> River. However, the study lacks information on how pastoralists in </w:t>
      </w:r>
      <w:proofErr w:type="spellStart"/>
      <w:r>
        <w:rPr>
          <w:rFonts w:cs="Times New Roman"/>
          <w:szCs w:val="24"/>
          <w:lang w:val="en-US"/>
        </w:rPr>
        <w:t>Nouhao</w:t>
      </w:r>
      <w:proofErr w:type="spellEnd"/>
      <w:r>
        <w:rPr>
          <w:rFonts w:cs="Times New Roman"/>
          <w:szCs w:val="24"/>
          <w:lang w:val="en-US"/>
        </w:rPr>
        <w:t xml:space="preserve"> perceive climate change in the area, and although it touches on the characteristics of pastoralists, the evolution of their internal movement patterns is not explored.</w:t>
      </w:r>
    </w:p>
    <w:p w:rsidR="00E53882" w:rsidRDefault="00B16FF7">
      <w:pPr>
        <w:spacing w:line="480" w:lineRule="auto"/>
        <w:rPr>
          <w:rFonts w:cs="Times New Roman"/>
          <w:szCs w:val="24"/>
          <w:lang w:val="en-US"/>
        </w:rPr>
      </w:pPr>
      <w:r>
        <w:rPr>
          <w:rFonts w:cs="Times New Roman"/>
          <w:szCs w:val="24"/>
          <w:lang w:val="en-US"/>
        </w:rPr>
        <w:t xml:space="preserve">Fourth, the investigation conducted by </w:t>
      </w:r>
      <w:r>
        <w:rPr>
          <w:rFonts w:cs="Times New Roman"/>
          <w:szCs w:val="24"/>
          <w:lang w:val="en-US"/>
        </w:rPr>
        <w:fldChar w:fldCharType="begin" w:fldLock="1"/>
      </w:r>
      <w:r>
        <w:rPr>
          <w:rFonts w:cs="Times New Roman"/>
          <w:szCs w:val="24"/>
          <w:lang w:val="en-US"/>
        </w:rPr>
        <w:instrText>ADDIN CSL_CITATION {"citationItems":[{"id":"ITEM-1","itemData":{"author":[{"dropping-particle":"","family":"Sulieman","given":"Hussein","non-dropping-particle":"","parse-names":false,"suffix":""},{"dropping-particle":"","family":"Young","given":"Helen","non-dropping-particle":"","parse-names":false,"suffix":""}],"container-title":"Feinstein International Center","id":"ITEM-1","issue":"January","issued":{"date-parts":[["2019"]]},"page":"1-66","title":"Transforming Pastoralist Mobility in West Darfur: Understanding Continuity and Change","type":"article-journal"},"uris":["http://www.mendeley.com/documents/?uuid=7b61219d-c029-4bbb-9aea-55befbe20bfc"]}],"mendeley":{"formattedCitation":"(Sulieman &amp; Young, 2019)","manualFormatting":"Sulieman &amp; Young, (2019)","plainTextFormattedCitation":"(Sulieman &amp; Young, 2019)","previouslyFormattedCitation":"(Sulieman &amp; Young, 2019)"},"properties":{"noteIndex":0},"schema":"https://github.com/citation-style-language/schema/raw/master/csl-citation.json"}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Sulieman &amp; Young, (2019)</w:t>
      </w:r>
      <w:r>
        <w:rPr>
          <w:rFonts w:cs="Times New Roman"/>
          <w:szCs w:val="24"/>
          <w:lang w:val="en-US"/>
        </w:rPr>
        <w:fldChar w:fldCharType="end"/>
      </w:r>
      <w:r>
        <w:rPr>
          <w:rFonts w:cs="Times New Roman"/>
          <w:szCs w:val="24"/>
          <w:lang w:val="en-US"/>
        </w:rPr>
        <w:t xml:space="preserve"> explores how livestock keepers manage and adapt to extreme climate variability, potential insecurity, and conflicts, and examines how these coping strategies vary based on livestock production systems and mobility patterns. Utilizing Global Positioning System (GPS) tracking devices, the study monitored the movements of livestock herds (sheep, cattle, and camels) owned by 13 livestock keepers over a six-month period, from April to September 2017. The herds originated from two areas in West Darfur: El </w:t>
      </w:r>
      <w:proofErr w:type="spellStart"/>
      <w:r>
        <w:rPr>
          <w:rFonts w:cs="Times New Roman"/>
          <w:szCs w:val="24"/>
          <w:lang w:val="en-US"/>
        </w:rPr>
        <w:t>Geneina</w:t>
      </w:r>
      <w:proofErr w:type="spellEnd"/>
      <w:r>
        <w:rPr>
          <w:rFonts w:cs="Times New Roman"/>
          <w:szCs w:val="24"/>
          <w:lang w:val="en-US"/>
        </w:rPr>
        <w:t xml:space="preserve"> Locality (</w:t>
      </w:r>
      <w:proofErr w:type="spellStart"/>
      <w:r>
        <w:rPr>
          <w:rFonts w:cs="Times New Roman"/>
          <w:szCs w:val="24"/>
          <w:lang w:val="en-US"/>
        </w:rPr>
        <w:t>Telehaya</w:t>
      </w:r>
      <w:proofErr w:type="spellEnd"/>
      <w:r>
        <w:rPr>
          <w:rFonts w:cs="Times New Roman"/>
          <w:szCs w:val="24"/>
          <w:lang w:val="en-US"/>
        </w:rPr>
        <w:t xml:space="preserve">) and </w:t>
      </w:r>
      <w:proofErr w:type="spellStart"/>
      <w:r>
        <w:rPr>
          <w:rFonts w:cs="Times New Roman"/>
          <w:szCs w:val="24"/>
          <w:lang w:val="en-US"/>
        </w:rPr>
        <w:t>Kulbus</w:t>
      </w:r>
      <w:proofErr w:type="spellEnd"/>
      <w:r>
        <w:rPr>
          <w:rFonts w:cs="Times New Roman"/>
          <w:szCs w:val="24"/>
          <w:lang w:val="en-US"/>
        </w:rPr>
        <w:t xml:space="preserve"> Locality (</w:t>
      </w:r>
      <w:proofErr w:type="spellStart"/>
      <w:r>
        <w:rPr>
          <w:rFonts w:cs="Times New Roman"/>
          <w:szCs w:val="24"/>
          <w:lang w:val="en-US"/>
        </w:rPr>
        <w:t>Goshosh</w:t>
      </w:r>
      <w:proofErr w:type="spellEnd"/>
      <w:r>
        <w:rPr>
          <w:rFonts w:cs="Times New Roman"/>
          <w:szCs w:val="24"/>
          <w:lang w:val="en-US"/>
        </w:rPr>
        <w:t xml:space="preserve"> and </w:t>
      </w:r>
      <w:proofErr w:type="spellStart"/>
      <w:r>
        <w:rPr>
          <w:rFonts w:cs="Times New Roman"/>
          <w:szCs w:val="24"/>
          <w:lang w:val="en-US"/>
        </w:rPr>
        <w:t>Bir</w:t>
      </w:r>
      <w:proofErr w:type="spellEnd"/>
      <w:r>
        <w:rPr>
          <w:rFonts w:cs="Times New Roman"/>
          <w:szCs w:val="24"/>
          <w:lang w:val="en-US"/>
        </w:rPr>
        <w:t xml:space="preserve"> </w:t>
      </w:r>
      <w:proofErr w:type="spellStart"/>
      <w:r>
        <w:rPr>
          <w:rFonts w:cs="Times New Roman"/>
          <w:szCs w:val="24"/>
          <w:lang w:val="en-US"/>
        </w:rPr>
        <w:t>Taweel</w:t>
      </w:r>
      <w:proofErr w:type="spellEnd"/>
      <w:r>
        <w:rPr>
          <w:rFonts w:cs="Times New Roman"/>
          <w:szCs w:val="24"/>
          <w:lang w:val="en-US"/>
        </w:rPr>
        <w:t>). GPS data was analyzed to create maps illustrating the herds' movements during the hot dry season (</w:t>
      </w:r>
      <w:proofErr w:type="spellStart"/>
      <w:r>
        <w:rPr>
          <w:rFonts w:cs="Times New Roman"/>
          <w:szCs w:val="24"/>
          <w:lang w:val="en-US"/>
        </w:rPr>
        <w:t>seif</w:t>
      </w:r>
      <w:proofErr w:type="spellEnd"/>
      <w:r>
        <w:rPr>
          <w:rFonts w:cs="Times New Roman"/>
          <w:szCs w:val="24"/>
          <w:lang w:val="en-US"/>
        </w:rPr>
        <w:t>), the rainy season (</w:t>
      </w:r>
      <w:proofErr w:type="spellStart"/>
      <w:r>
        <w:rPr>
          <w:rFonts w:cs="Times New Roman"/>
          <w:szCs w:val="24"/>
          <w:lang w:val="en-US"/>
        </w:rPr>
        <w:t>kharif</w:t>
      </w:r>
      <w:proofErr w:type="spellEnd"/>
      <w:r>
        <w:rPr>
          <w:rFonts w:cs="Times New Roman"/>
          <w:szCs w:val="24"/>
          <w:lang w:val="en-US"/>
        </w:rPr>
        <w:t>), and the pre-harvest and harvest period (</w:t>
      </w:r>
      <w:proofErr w:type="spellStart"/>
      <w:r>
        <w:rPr>
          <w:rFonts w:cs="Times New Roman"/>
          <w:szCs w:val="24"/>
          <w:lang w:val="en-US"/>
        </w:rPr>
        <w:t>deret</w:t>
      </w:r>
      <w:proofErr w:type="spellEnd"/>
      <w:r>
        <w:rPr>
          <w:rFonts w:cs="Times New Roman"/>
          <w:szCs w:val="24"/>
          <w:lang w:val="en-US"/>
        </w:rPr>
        <w:t xml:space="preserve">). The findings indicate that the annual cycle of mobility varies depending on whether livestock keepers specialize in farming or pastoralism. Traditional livestock corridors, connecting rainy season grazing areas in the far north with dry season grazing areas in the south, span distances of 500 to 600 kilometers (km). In contrast, smaller herds owned by farmers near their </w:t>
      </w:r>
      <w:proofErr w:type="gramStart"/>
      <w:r>
        <w:rPr>
          <w:rFonts w:cs="Times New Roman"/>
          <w:szCs w:val="24"/>
          <w:lang w:val="en-US"/>
        </w:rPr>
        <w:t>villages</w:t>
      </w:r>
      <w:proofErr w:type="gramEnd"/>
      <w:r>
        <w:rPr>
          <w:rFonts w:cs="Times New Roman"/>
          <w:szCs w:val="24"/>
          <w:lang w:val="en-US"/>
        </w:rPr>
        <w:t xml:space="preserve"> exhibit more localized mobility. The study also identifies three </w:t>
      </w:r>
      <w:r>
        <w:rPr>
          <w:rFonts w:cs="Times New Roman"/>
          <w:szCs w:val="24"/>
          <w:lang w:val="en-US"/>
        </w:rPr>
        <w:lastRenderedPageBreak/>
        <w:t>territories of movement or grazing zones: home area (1–5 km); close grazing land (6–19 km); and distant grazing land (20–100 km). Compared to the past, these territories are contracting closer to the home area. The study concludes that livestock mobility is the primary factor influencing ecological sustainability, enhancing livestock conditions, and minimizing tensions and conflicts with farmers. Furthermore, the roles of livestock vary based on producers' livelihood strategies and specializations. The research suggests the need for strategic and tailored policy responses, considering the livestock production system, to promote the multiple benefits of livestock mobility. However, the study does not explore how pastoralists in the area perceive climate change, and there is limited information about their characteristics.</w:t>
      </w:r>
    </w:p>
    <w:p w:rsidR="00E53882" w:rsidRDefault="00B16FF7">
      <w:pPr>
        <w:spacing w:line="480" w:lineRule="auto"/>
        <w:rPr>
          <w:rFonts w:cs="Times New Roman"/>
          <w:szCs w:val="24"/>
          <w:lang w:val="en-US"/>
        </w:rPr>
      </w:pPr>
      <w:r>
        <w:rPr>
          <w:rFonts w:cs="Times New Roman"/>
          <w:szCs w:val="24"/>
          <w:lang w:val="en-US"/>
        </w:rPr>
        <w:t xml:space="preserve">Fifth, </w:t>
      </w:r>
      <w:r>
        <w:rPr>
          <w:rFonts w:cs="Times New Roman"/>
          <w:szCs w:val="24"/>
          <w:lang w:val="en-US"/>
        </w:rPr>
        <w:fldChar w:fldCharType="begin" w:fldLock="1"/>
      </w:r>
      <w:r>
        <w:rPr>
          <w:rFonts w:cs="Times New Roman"/>
          <w:szCs w:val="24"/>
          <w:lang w:val="en-US"/>
        </w:rPr>
        <w:instrText>ADDIN CSL_CITATION {"citationItems":[{"id":"ITEM-1","itemData":{"DOI":"10.3197/np.2020.240102","author":[{"dropping-particle":"","family":"Bukari","given":"Kaderi","non-dropping-particle":"","parse-names":false,"suffix":""},{"dropping-particle":"","family":"Bukari","given":"Shaibu","non-dropping-particle":"","parse-names":false,"suffix":""},{"dropping-particle":"","family":"Sow","given":"Papa","non-dropping-particle":"","parse-names":false,"suffix":""},{"dropping-particle":"","family":"Scheffran","given":"Jürgen","non-dropping-particle":"","parse-names":false,"suffix":""}],"container-title":"Nomadic Peoples","id":"ITEM-1","issued":{"date-parts":[["2020","3","1"]]},"page":"4-31","title":"Diversity and Multiple Drivers of Pastoral Fulani Migration to Ghana","type":"article-journal","volume":"24"},"uris":["http://www.mendeley.com/documents/?uuid=63cd46e9-cafe-40d3-bcc1-99b22ea09773"]}],"mendeley":{"formattedCitation":"(K. Bukari et al., 2020)","manualFormatting":"Bukari et al., (2020)","plainTextFormattedCitation":"(K. Bukari et al., 2020)","previouslyFormattedCitation":"(K. Bukari et al., 2020)"},"properties":{"noteIndex":0},"schema":"https://github.com/citation-style-language/schema/raw/master/csl-citation.json"}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Bukari et al., (2020)</w:t>
      </w:r>
      <w:r>
        <w:rPr>
          <w:rFonts w:cs="Times New Roman"/>
          <w:szCs w:val="24"/>
          <w:lang w:val="en-US"/>
        </w:rPr>
        <w:fldChar w:fldCharType="end"/>
      </w:r>
      <w:r>
        <w:rPr>
          <w:rFonts w:cs="Times New Roman"/>
          <w:szCs w:val="24"/>
          <w:lang w:val="en-US"/>
        </w:rPr>
        <w:t xml:space="preserve"> investigated the primary factors driving migration among Fulani pastoralists to Ghana. The research encompassed the Asante </w:t>
      </w:r>
      <w:proofErr w:type="spellStart"/>
      <w:r>
        <w:rPr>
          <w:rFonts w:cs="Times New Roman"/>
          <w:szCs w:val="24"/>
          <w:lang w:val="en-US"/>
        </w:rPr>
        <w:t>Akim</w:t>
      </w:r>
      <w:proofErr w:type="spellEnd"/>
      <w:r>
        <w:rPr>
          <w:rFonts w:cs="Times New Roman"/>
          <w:szCs w:val="24"/>
          <w:lang w:val="en-US"/>
        </w:rPr>
        <w:t xml:space="preserve"> North District in the Southern part of Ghana and </w:t>
      </w:r>
      <w:proofErr w:type="spellStart"/>
      <w:r>
        <w:rPr>
          <w:rFonts w:cs="Times New Roman"/>
          <w:szCs w:val="24"/>
          <w:lang w:val="en-US"/>
        </w:rPr>
        <w:t>Gusheigu</w:t>
      </w:r>
      <w:proofErr w:type="spellEnd"/>
      <w:r>
        <w:rPr>
          <w:rFonts w:cs="Times New Roman"/>
          <w:szCs w:val="24"/>
          <w:lang w:val="en-US"/>
        </w:rPr>
        <w:t xml:space="preserve"> Municipality in the Northern part. Employing a qualitative research approach, the scholars utilized purposive and snowball sampling methods for respondent selection, conducting a total of 294 interviews primarily in </w:t>
      </w:r>
      <w:proofErr w:type="spellStart"/>
      <w:r>
        <w:rPr>
          <w:rFonts w:cs="Times New Roman"/>
          <w:szCs w:val="24"/>
          <w:lang w:val="en-US"/>
        </w:rPr>
        <w:t>Twi</w:t>
      </w:r>
      <w:proofErr w:type="spellEnd"/>
      <w:r>
        <w:rPr>
          <w:rFonts w:cs="Times New Roman"/>
          <w:szCs w:val="24"/>
          <w:lang w:val="en-US"/>
        </w:rPr>
        <w:t xml:space="preserve"> and </w:t>
      </w:r>
      <w:proofErr w:type="spellStart"/>
      <w:r>
        <w:rPr>
          <w:rFonts w:cs="Times New Roman"/>
          <w:szCs w:val="24"/>
          <w:lang w:val="en-US"/>
        </w:rPr>
        <w:t>Dagbani</w:t>
      </w:r>
      <w:proofErr w:type="spellEnd"/>
      <w:r>
        <w:rPr>
          <w:rFonts w:cs="Times New Roman"/>
          <w:szCs w:val="24"/>
          <w:lang w:val="en-US"/>
        </w:rPr>
        <w:t xml:space="preserve">, with a few in Hausa and </w:t>
      </w:r>
      <w:proofErr w:type="spellStart"/>
      <w:r>
        <w:rPr>
          <w:rFonts w:cs="Times New Roman"/>
          <w:szCs w:val="24"/>
          <w:lang w:val="en-US"/>
        </w:rPr>
        <w:t>Fula</w:t>
      </w:r>
      <w:proofErr w:type="spellEnd"/>
      <w:r>
        <w:rPr>
          <w:rFonts w:cs="Times New Roman"/>
          <w:szCs w:val="24"/>
          <w:lang w:val="en-US"/>
        </w:rPr>
        <w:t xml:space="preserve">. For data collection, the scholars employed participant observations, focus group discussions, and in-depth interviews in </w:t>
      </w:r>
      <w:proofErr w:type="spellStart"/>
      <w:r>
        <w:rPr>
          <w:rFonts w:cs="Times New Roman"/>
          <w:szCs w:val="24"/>
          <w:lang w:val="en-US"/>
        </w:rPr>
        <w:t>Twi</w:t>
      </w:r>
      <w:proofErr w:type="spellEnd"/>
      <w:r>
        <w:rPr>
          <w:rFonts w:cs="Times New Roman"/>
          <w:szCs w:val="24"/>
          <w:lang w:val="en-US"/>
        </w:rPr>
        <w:t xml:space="preserve"> and </w:t>
      </w:r>
      <w:proofErr w:type="spellStart"/>
      <w:r>
        <w:rPr>
          <w:rFonts w:cs="Times New Roman"/>
          <w:szCs w:val="24"/>
          <w:lang w:val="en-US"/>
        </w:rPr>
        <w:t>Dagbani</w:t>
      </w:r>
      <w:proofErr w:type="spellEnd"/>
      <w:r>
        <w:rPr>
          <w:rFonts w:cs="Times New Roman"/>
          <w:szCs w:val="24"/>
          <w:lang w:val="en-US"/>
        </w:rPr>
        <w:t xml:space="preserve"> dialects. The study interviewed a diverse group, including 87 farmers, 74 Fulani herders, 23 cattle owners, 32 traditional chiefs, 15 government officials, 9 opinion leaders, and 53 community residents/households, with 137 interviews in </w:t>
      </w:r>
      <w:proofErr w:type="spellStart"/>
      <w:r>
        <w:rPr>
          <w:rFonts w:cs="Times New Roman"/>
          <w:szCs w:val="24"/>
          <w:lang w:val="en-US"/>
        </w:rPr>
        <w:t>Agogo</w:t>
      </w:r>
      <w:proofErr w:type="spellEnd"/>
      <w:r>
        <w:rPr>
          <w:rFonts w:cs="Times New Roman"/>
          <w:szCs w:val="24"/>
          <w:lang w:val="en-US"/>
        </w:rPr>
        <w:t xml:space="preserve"> and 157 in </w:t>
      </w:r>
      <w:proofErr w:type="spellStart"/>
      <w:r>
        <w:rPr>
          <w:rFonts w:cs="Times New Roman"/>
          <w:szCs w:val="24"/>
          <w:lang w:val="en-US"/>
        </w:rPr>
        <w:t>Gusheigu</w:t>
      </w:r>
      <w:proofErr w:type="spellEnd"/>
      <w:r>
        <w:rPr>
          <w:rFonts w:cs="Times New Roman"/>
          <w:szCs w:val="24"/>
          <w:lang w:val="en-US"/>
        </w:rPr>
        <w:t xml:space="preserve">. The findings revealed that, beyond theoretical postulations and environmental factors, various drivers influence the migration patterns of Fulani pastoralists in Ghana. These include labor demand, access to pasture, conflict, social networks, and peaceful relations. The conclusion drawn by </w:t>
      </w:r>
      <w:r>
        <w:rPr>
          <w:rFonts w:cs="Times New Roman"/>
          <w:szCs w:val="24"/>
          <w:lang w:val="en-US"/>
        </w:rPr>
        <w:lastRenderedPageBreak/>
        <w:t xml:space="preserve">from the study emphasizes on the multifaceted nature of migration. While environmental factors were identified, they often intertwine with other elements. However, the study lacks an exploration of the perceptions of pastoralists in the study area. It also overlooks the involvement of various ethnic groups in pastoralism and fails to examine the evolution of internal movement patterns, particularly in </w:t>
      </w:r>
      <w:proofErr w:type="spellStart"/>
      <w:r>
        <w:rPr>
          <w:rFonts w:cs="Times New Roman"/>
          <w:szCs w:val="24"/>
          <w:lang w:val="en-US"/>
        </w:rPr>
        <w:t>Gusheigu</w:t>
      </w:r>
      <w:proofErr w:type="spellEnd"/>
      <w:r>
        <w:rPr>
          <w:rFonts w:cs="Times New Roman"/>
          <w:szCs w:val="24"/>
          <w:lang w:val="en-US"/>
        </w:rPr>
        <w:t xml:space="preserve"> Municipality.</w:t>
      </w:r>
    </w:p>
    <w:p w:rsidR="00E53882" w:rsidRDefault="00B16FF7">
      <w:pPr>
        <w:shd w:val="clear" w:color="auto" w:fill="FFFFFF" w:themeFill="background1"/>
        <w:spacing w:line="480" w:lineRule="auto"/>
      </w:pPr>
      <w:r>
        <w:rPr>
          <w:rFonts w:cs="Times New Roman"/>
          <w:szCs w:val="24"/>
          <w:lang w:val="en-US"/>
        </w:rPr>
        <w:t xml:space="preserve">Sixth, </w:t>
      </w:r>
      <w:r>
        <w:fldChar w:fldCharType="begin" w:fldLock="1"/>
      </w:r>
      <w:r>
        <w:rPr>
          <w:lang w:val="en-US"/>
        </w:rPr>
        <w:instrText>ADDIN CSL_CITATION {"citationItems":[{"id":"ITEM-1","itemData":{"DOI":"10.3389/fsoc.2020.518797","ISSN":"22977775","abstract":"Intra-African migration in sub-Saharan Africa is increasingly characterized by migration further and further south of the equator. The study focuses on the relationship between pastoralist migration and climate change, followed by loss of control of epidemics, which can lead to losses of large numbers of livestock. While increasing changes in the natural environment have been widely cited in the empirical literature, less attention has been paid to the social context and sociological factors influencing modern-day climate-induced intra-African pastoralist migration. Using Blumer's structural symbolic interaction as an analytic framework, this study examines how social and cultural perceptions influence subjective interpretations that lead to decision points that trigger intra-African pastoralist migration. Using structural symbolic interaction as an analytic framework to study interrelationships between climate-induced stimulus, symbolic interpretation, and migration response, the study identifies that decisions to migrate to other ecosystems were mediated through symbolic signs with assigned meaning and significance communicated through language, signs, symbols, ritual, and religion, which makes up the overall pastoralist cosmology of migration. That these signs and meanings, which are given symbolic meaning, form the basis of African pastoralist sociology of migration. These are the key factors that explain why some pastoralist households decide to migrate to other ecological zones while others remain in traditional pastoralist lands. This study was guided by two hypotheses. The first is that intra-African pastoralist migration is socially defined based on the social and cultural perceptions and meanings attached to interactions with their increasingly changing natural and social circumstances (H1). The second (H2) is that this meaning is defined and modified through an interpretative process in response to changing social and natural circumstances. The sample examined in the study covered seven districts with a high proportion of pastoralists across four eco-climatic zones. A total of 544 pastoralist households were interviewed. In-depth qualitative interviews and observation studies were conducted in three case-study villages. The study concludes that decisions to migrate to other ecosystems are mediated through symbolic signs with assigned meanings and significances communicated through language, signs, symbols, rituals, and religion. Together, the…","author":[{"dropping-particle":"","family":"Awinia","given":"Christopher Simeon","non-dropping-particle":"","parse-names":false,"suffix":""}],"container-title":"Frontiers in Sociology","id":"ITEM-1","issue":"November","issued":{"date-parts":[["2020"]]},"page":"1-10","title":"The Sociology of Intra-African Pastoralist Migration: The Case of Tanzania","type":"article-journal","volume":"5"},"uris":["http://www.mendeley.com/documents/?uuid=a69c72c8-3320-4e99-9a33-4b350381b6b9"]}],"mendeley":{"formattedCitation":"(Awinia, 2020)","manualFormatting":"Awinia, (2020)","plainTextFormattedCitation":"(Awinia, 2020)","previouslyFormattedCitation":"(Awinia, 2020)"},"properties":{"noteIndex":0},"schema":"https://github.com/citation-style-language/schema/raw/master/csl-citation.json"}</w:instrText>
      </w:r>
      <w:r>
        <w:fldChar w:fldCharType="separate"/>
      </w:r>
      <w:r>
        <w:rPr>
          <w:noProof/>
          <w:lang w:val="en-US"/>
        </w:rPr>
        <w:t>Awinia, (2020)</w:t>
      </w:r>
      <w:r>
        <w:fldChar w:fldCharType="end"/>
      </w:r>
      <w:r>
        <w:rPr>
          <w:lang w:val="en-US"/>
        </w:rPr>
        <w:t xml:space="preserve"> investigates the influence of social and cultural perceptions on subjective interpretations leading to decision points that trigger intra-African pastoralist migration. </w:t>
      </w:r>
      <w:r>
        <w:t xml:space="preserve">The study is guided by two hypotheses. The first hypothesis (H1) posits that intra-African pastoralist migration is socially defined based on perceptions and meanings attached to interactions with changing natural and social circumstances. The second hypothesis (H2) suggests that this meaning is shaped and modified through an interpretative process in response to evolving social and natural conditions. To collect data, the researchers utilized secondary and archival sources, conducted semi-structured quantitative interviews with 544 households in seven pastoralist districts, held 17 focus group discussions (FGDs) with pastoralist families, and interviewed 54 key informants (KIs). The study, carried out in Tanzania, combined quantitative data with in-depth, open-ended qualitative data collected from 54 KIIs and 17 FDGs. Applying structural symbolic interaction as an analytical framework to explore the interrelationships between climate-induced stimuli, symbolic interpretation, and migration response, the study identifies that decisions to migrate to other ecosystems are mediated through symbolic signs with assigned meaning and significance, communicated through language, signs, symbols, ritual, and religion. This forms the comprehensive pastoralist cosmology of migration. The study concludes that decisions to migrate to other ecosystems are mediated through symbolic signs, which carry assigned </w:t>
      </w:r>
      <w:r>
        <w:lastRenderedPageBreak/>
        <w:t>meanings and significances communicated through language, signs, symbols, rituals, and religion. Collectively, these findings enhance our understanding of the sociology of recent intra-African migration.</w:t>
      </w:r>
    </w:p>
    <w:p w:rsidR="00E53882" w:rsidRDefault="00B16FF7">
      <w:pPr>
        <w:shd w:val="clear" w:color="auto" w:fill="FFFFFF" w:themeFill="background1"/>
        <w:spacing w:line="480" w:lineRule="auto"/>
        <w:rPr>
          <w:rFonts w:cs="Times New Roman"/>
          <w:szCs w:val="24"/>
          <w:lang w:val="en-US"/>
        </w:rPr>
      </w:pPr>
      <w:r>
        <w:rPr>
          <w:rFonts w:cs="Times New Roman"/>
          <w:szCs w:val="24"/>
          <w:lang w:val="en-US"/>
        </w:rPr>
        <w:t xml:space="preserve">Seventh, </w:t>
      </w:r>
      <w:r>
        <w:rPr>
          <w:rFonts w:cs="Times New Roman"/>
          <w:szCs w:val="24"/>
          <w:lang w:val="en-US"/>
        </w:rPr>
        <w:fldChar w:fldCharType="begin" w:fldLock="1"/>
      </w:r>
      <w:r>
        <w:rPr>
          <w:rFonts w:cs="Times New Roman"/>
          <w:szCs w:val="24"/>
          <w:lang w:val="en-US"/>
        </w:rPr>
        <w:instrText>ADDIN CSL_CITATION {"citationItems":[{"id":"ITEM-1","itemData":{"DOI":"10.1017/S1751731120001378","ISSN":"1751732X","PMID":"32618549","abstract":"For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-1","issue":"11","issued":{"date-parts":[["2020"]]},"page":"2378-2386","publisher":"Elsevier","title":"The role of cross-border transhumance in influencing resident herders’ cattle husbandry practices and use of genetic resources","type":"article-journal","volume":"14"},"uris":["http://www.mendeley.com/documents/?uuid=aeaac0bd-2ff0-4b89-a6ae-3e140cdd6193"]}],"mendeley":{"formattedCitation":"(Houessou et al., 2020)","manualFormatting":"Houessou et al.(2020)","plainTextFormattedCitation":"(Houessou et al., 2020)","previouslyFormattedCitation":"(Houessou et al., 2020)"},"properties":{"noteIndex":0},"schema":"https://github.com/citation-style-language/schema/raw/master/csl-citation.json"}</w:instrText>
      </w:r>
      <w:r>
        <w:rPr>
          <w:rFonts w:cs="Times New Roman"/>
          <w:szCs w:val="24"/>
          <w:lang w:val="en-US"/>
        </w:rPr>
        <w:fldChar w:fldCharType="separate"/>
      </w:r>
      <w:r>
        <w:rPr>
          <w:rFonts w:cs="Times New Roman"/>
          <w:noProof/>
          <w:szCs w:val="24"/>
          <w:lang w:val="en-US"/>
        </w:rPr>
        <w:t>Houessou et al.(2020)</w:t>
      </w:r>
      <w:r>
        <w:rPr>
          <w:rFonts w:cs="Times New Roman"/>
          <w:szCs w:val="24"/>
          <w:lang w:val="en-US"/>
        </w:rPr>
        <w:fldChar w:fldCharType="end"/>
      </w:r>
      <w:r>
        <w:rPr>
          <w:rFonts w:cs="Times New Roman"/>
          <w:szCs w:val="24"/>
          <w:lang w:val="en-US"/>
        </w:rPr>
        <w:t xml:space="preserve"> aim to identify non-conflicting relationships established between cross-border transhumant and resident herders and assess their impact on cattle husbandry practices along transhumance corridors in Benin. The research adopts a mixed-method approach, utilizing stratified simple random sampling and a convenient sampling approach to select study communities and respondents, respectively. For data collection, </w:t>
      </w:r>
      <w:proofErr w:type="spellStart"/>
      <w:r>
        <w:rPr>
          <w:rFonts w:cs="Times New Roman"/>
          <w:szCs w:val="24"/>
          <w:lang w:val="en-US"/>
        </w:rPr>
        <w:t>Houessou</w:t>
      </w:r>
      <w:proofErr w:type="spellEnd"/>
      <w:r>
        <w:rPr>
          <w:rFonts w:cs="Times New Roman"/>
          <w:szCs w:val="24"/>
          <w:lang w:val="en-US"/>
        </w:rPr>
        <w:t xml:space="preserve"> et al. (2020) employ focus group discussions and questionnaires. The study interviews a total of 142 cattle keepers, including 104 resident herders and 38 cross-border transhumant herders. Data collection takes place in the municipalities of </w:t>
      </w:r>
      <w:proofErr w:type="spellStart"/>
      <w:r>
        <w:rPr>
          <w:rFonts w:cs="Times New Roman"/>
          <w:szCs w:val="24"/>
          <w:lang w:val="en-US"/>
        </w:rPr>
        <w:t>Savalou</w:t>
      </w:r>
      <w:proofErr w:type="spellEnd"/>
      <w:r>
        <w:rPr>
          <w:rFonts w:cs="Times New Roman"/>
          <w:szCs w:val="24"/>
          <w:lang w:val="en-US"/>
        </w:rPr>
        <w:t xml:space="preserve"> and </w:t>
      </w:r>
      <w:proofErr w:type="spellStart"/>
      <w:r>
        <w:rPr>
          <w:rFonts w:cs="Times New Roman"/>
          <w:szCs w:val="24"/>
          <w:lang w:val="en-US"/>
        </w:rPr>
        <w:t>Gogounou</w:t>
      </w:r>
      <w:proofErr w:type="spellEnd"/>
      <w:r>
        <w:rPr>
          <w:rFonts w:cs="Times New Roman"/>
          <w:szCs w:val="24"/>
          <w:lang w:val="en-US"/>
        </w:rPr>
        <w:t xml:space="preserve"> in the Guinea-</w:t>
      </w:r>
      <w:proofErr w:type="spellStart"/>
      <w:r>
        <w:rPr>
          <w:rFonts w:cs="Times New Roman"/>
          <w:szCs w:val="24"/>
          <w:lang w:val="en-US"/>
        </w:rPr>
        <w:t>Sudanian</w:t>
      </w:r>
      <w:proofErr w:type="spellEnd"/>
      <w:r>
        <w:rPr>
          <w:rFonts w:cs="Times New Roman"/>
          <w:szCs w:val="24"/>
          <w:lang w:val="en-US"/>
        </w:rPr>
        <w:t xml:space="preserve"> (GSZ) and </w:t>
      </w:r>
      <w:proofErr w:type="spellStart"/>
      <w:r>
        <w:rPr>
          <w:rFonts w:cs="Times New Roman"/>
          <w:szCs w:val="24"/>
          <w:lang w:val="en-US"/>
        </w:rPr>
        <w:t>Sudanian</w:t>
      </w:r>
      <w:proofErr w:type="spellEnd"/>
      <w:r>
        <w:rPr>
          <w:rFonts w:cs="Times New Roman"/>
          <w:szCs w:val="24"/>
          <w:lang w:val="en-US"/>
        </w:rPr>
        <w:t xml:space="preserve"> (SZ) vegetation zones, respectively, with eight villages sampled (four in each vegetation zone). The findings indicate that herd sizes of resident herders living near transhumance corridors are significantly larger (P &lt; 0.01) than those of their counterparts living farther away. Proximity to transhumance corridors positively influences herd management practices. Relationships between resident and transhumant herders are governed by various interests, including encampment/</w:t>
      </w:r>
      <w:proofErr w:type="spellStart"/>
      <w:r>
        <w:rPr>
          <w:rFonts w:cs="Times New Roman"/>
          <w:szCs w:val="24"/>
          <w:lang w:val="en-US"/>
        </w:rPr>
        <w:t>manuring</w:t>
      </w:r>
      <w:proofErr w:type="spellEnd"/>
      <w:r>
        <w:rPr>
          <w:rFonts w:cs="Times New Roman"/>
          <w:szCs w:val="24"/>
          <w:lang w:val="en-US"/>
        </w:rPr>
        <w:t xml:space="preserve"> contracts, exploitation of grazing lands and watering points, as well as trading and bartering of cattle. This cattle exchange serves as a significant driver of change in the breed composition of local herds and provides an opportunity for resident herders to enhance herd productivity through crossbreeding. The study concludes that cross-border transhumant herders establish diverse non-conflicting relationships with resident herders along their transhumant routes. These relationships are facilitated by the prior settlement of some transhumant herders in the </w:t>
      </w:r>
      <w:r>
        <w:rPr>
          <w:rFonts w:cs="Times New Roman"/>
          <w:szCs w:val="24"/>
          <w:lang w:val="en-US"/>
        </w:rPr>
        <w:lastRenderedPageBreak/>
        <w:t>hosting pastoral areas. As part of these relationships, transhumant herders frequently exchange cattle breeds with resident herders, contributing to the growing practice of crossbreeding in local herds. However, the scholars overlook the examination of various factors driving herders into these zones, and they fail to explore the perception of climate change in the area by these herders.</w:t>
      </w:r>
    </w:p>
    <w:p w:rsidR="00E53882" w:rsidRDefault="00B16FF7">
      <w:pPr>
        <w:shd w:val="clear" w:color="auto" w:fill="FFFFFF" w:themeFill="background1"/>
        <w:spacing w:line="480" w:lineRule="auto"/>
        <w:rPr>
          <w:rFonts w:cs="Times New Roman"/>
          <w:szCs w:val="24"/>
          <w:lang w:val="en-US"/>
        </w:rPr>
      </w:pPr>
      <w:r>
        <w:rPr>
          <w:rFonts w:cs="Times New Roman"/>
          <w:szCs w:val="24"/>
          <w:lang w:val="en-US"/>
        </w:rPr>
        <w:t xml:space="preserve">Eighth, </w:t>
      </w:r>
      <w:proofErr w:type="spellStart"/>
      <w:r>
        <w:rPr>
          <w:rFonts w:cs="Times New Roman"/>
          <w:szCs w:val="24"/>
          <w:lang w:val="en-US"/>
        </w:rPr>
        <w:t>Habte</w:t>
      </w:r>
      <w:proofErr w:type="spellEnd"/>
      <w:r>
        <w:rPr>
          <w:rFonts w:cs="Times New Roman"/>
          <w:szCs w:val="24"/>
          <w:lang w:val="en-US"/>
        </w:rPr>
        <w:t xml:space="preserve"> et al., (2022) investigate the perception of the pastoral community regarding climate change and its impact on the performance, resilience, and adaptive capacity of livestock under climatic stress in southeastern Ethiopia. The research adopts a mixed-methods approach, combining quantitative and qualitative data from various sources to explore the effects of climate variability on livestock production and the livelihoods of pastoral-agro-pastoral communities in the </w:t>
      </w:r>
      <w:proofErr w:type="spellStart"/>
      <w:r>
        <w:rPr>
          <w:rFonts w:cs="Times New Roman"/>
          <w:szCs w:val="24"/>
          <w:lang w:val="en-US"/>
        </w:rPr>
        <w:t>Guji</w:t>
      </w:r>
      <w:proofErr w:type="spellEnd"/>
      <w:r>
        <w:rPr>
          <w:rFonts w:cs="Times New Roman"/>
          <w:szCs w:val="24"/>
          <w:lang w:val="en-US"/>
        </w:rPr>
        <w:t xml:space="preserve"> zone. For data collection, </w:t>
      </w:r>
      <w:proofErr w:type="spellStart"/>
      <w:r>
        <w:rPr>
          <w:rFonts w:cs="Times New Roman"/>
          <w:szCs w:val="24"/>
          <w:lang w:val="en-US"/>
        </w:rPr>
        <w:t>Habte</w:t>
      </w:r>
      <w:proofErr w:type="spellEnd"/>
      <w:r>
        <w:rPr>
          <w:rFonts w:cs="Times New Roman"/>
          <w:szCs w:val="24"/>
          <w:lang w:val="en-US"/>
        </w:rPr>
        <w:t xml:space="preserve"> et al., (2022) utilize household surveys, key informant interviews, and focus group discussions. The study gathers information on pastoralists' perceptions of climate change from 198 randomly selected households using a semi-structured questionnaire. Additionally, climate data are obtained from the national meteorological agency, and the climatic water balance is assessed. The findings reveal increasing patterns of temperature (82.8%) and drought intensity (84.8%). A majority of respondents perceive decreasing trends in rainfall and feed availability. Similarly, trend analyses of rainfall show declining patterns for annual (-4.7 mm/year), autumn (-4.5 mm), and winter (-0.54 mm). The Rainfall Anomaly Index identifies 13 drought years over the past 32 years, with 53.85% occurring </w:t>
      </w:r>
      <w:proofErr w:type="gramStart"/>
      <w:r>
        <w:rPr>
          <w:rFonts w:cs="Times New Roman"/>
          <w:szCs w:val="24"/>
          <w:lang w:val="en-US"/>
        </w:rPr>
        <w:t>between 2007-2017</w:t>
      </w:r>
      <w:proofErr w:type="gramEnd"/>
      <w:r>
        <w:rPr>
          <w:rFonts w:cs="Times New Roman"/>
          <w:szCs w:val="24"/>
          <w:lang w:val="en-US"/>
        </w:rPr>
        <w:t xml:space="preserve">. Cattle and small ruminants per household experienced significantly higher (p&lt;0.01) mortality during the disastrous droughts of 2008/9 and 2015/16 compared to camels. However, the study indicates significantly higher (p&lt;0.01) milk yield (3.32 liters/day) from dairying camels during dry periods than from cattle </w:t>
      </w:r>
      <w:r>
        <w:rPr>
          <w:rFonts w:cs="Times New Roman"/>
          <w:szCs w:val="24"/>
          <w:lang w:val="en-US"/>
        </w:rPr>
        <w:lastRenderedPageBreak/>
        <w:t>and small ruminants. The study notes a shift among cattle keepers towards having more camels and goats, perceived as drought-resistant, in response to prevailing drought in the study area. The study concludes that pastoral/agro-pastoral communities in the study area perceive decreasing rainfall patterns, increasing temperatures, and intensifying droughts between 1986 and 2017, which align with strong meteorological evidence of similar climate trends during that period. However, the research does not explore how internal movement patterns of pastoralists change in response to climate change in the area, and it does not examine the characteristics of these pastoralists.</w:t>
      </w:r>
    </w:p>
    <w:p w:rsidR="00E53882" w:rsidRDefault="00B16FF7">
      <w:pPr>
        <w:shd w:val="clear" w:color="auto" w:fill="FFFFFF" w:themeFill="background1"/>
        <w:spacing w:line="480" w:lineRule="auto"/>
        <w:rPr>
          <w:rFonts w:cs="Times New Roman"/>
          <w:szCs w:val="24"/>
          <w:lang w:val="en-US"/>
        </w:rPr>
      </w:pPr>
      <w:r>
        <w:rPr>
          <w:rFonts w:cs="Times New Roman"/>
          <w:szCs w:val="24"/>
          <w:lang w:val="en-US"/>
        </w:rPr>
        <w:t xml:space="preserve"> Ninth, </w:t>
      </w:r>
      <w:r>
        <w:rPr>
          <w:rFonts w:cs="Times New Roman"/>
          <w:b/>
          <w:szCs w:val="24"/>
          <w:lang w:val="en-US"/>
        </w:rPr>
        <w:fldChar w:fldCharType="begin" w:fldLock="1"/>
      </w:r>
      <w:r>
        <w:rPr>
          <w:rFonts w:cs="Times New Roman"/>
          <w:szCs w:val="24"/>
          <w:lang w:val="en-US"/>
        </w:rPr>
        <w:instrText>ADDIN CSL_CITATION {"citationItems":[{"id":"ITEM-1","itemData":{"DOI":"10.1002/crq.21346","ISSN":"15411508","abstract":"Climate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Quarterly","id":"ITEM-1","issue":"4","issued":{"date-parts":[["2022"]]},"page":"421-439","title":"Climate change, migration and farmer–herder conflict in Ghana","type":"article-journal","volume":"39"},"uris":["http://www.mendeley.com/documents/?uuid=9040542a-42d0-4963-951f-59dbae297b95"]}],"mendeley":{"formattedCitation":"(Issifu et al., 2022)","manualFormatting":"Issifu et al.(2022)","plainTextFormattedCitation":"(Issifu et al., 2022)","previouslyFormattedCitation":"(Issifu et al., 2022)"},"properties":{"noteIndex":0},"schema":"https://github.com/citation-style-language/schema/raw/master/csl-citation.json"}</w:instrText>
      </w:r>
      <w:r>
        <w:rPr>
          <w:rFonts w:cs="Times New Roman"/>
          <w:b/>
          <w:szCs w:val="24"/>
          <w:lang w:val="en-US"/>
        </w:rPr>
        <w:fldChar w:fldCharType="separate"/>
      </w:r>
      <w:r>
        <w:rPr>
          <w:rFonts w:cs="Times New Roman"/>
          <w:noProof/>
          <w:szCs w:val="24"/>
          <w:lang w:val="en-US"/>
        </w:rPr>
        <w:t>Issifu et al.(2022)</w:t>
      </w:r>
      <w:r>
        <w:rPr>
          <w:rFonts w:cs="Times New Roman"/>
          <w:b/>
          <w:szCs w:val="24"/>
          <w:lang w:val="en-US"/>
        </w:rPr>
        <w:fldChar w:fldCharType="end"/>
      </w:r>
      <w:r>
        <w:rPr>
          <w:rFonts w:cs="Times New Roman"/>
          <w:szCs w:val="24"/>
          <w:lang w:val="en-US"/>
        </w:rPr>
        <w:t xml:space="preserve"> investigation aim to present tangible evidence concerning Fulani migration induced by climate change in </w:t>
      </w:r>
      <w:proofErr w:type="spellStart"/>
      <w:r>
        <w:rPr>
          <w:rFonts w:cs="Times New Roman"/>
          <w:szCs w:val="24"/>
          <w:lang w:val="en-US"/>
        </w:rPr>
        <w:t>Agogo</w:t>
      </w:r>
      <w:proofErr w:type="spellEnd"/>
      <w:r>
        <w:rPr>
          <w:rFonts w:cs="Times New Roman"/>
          <w:szCs w:val="24"/>
          <w:lang w:val="en-US"/>
        </w:rPr>
        <w:t xml:space="preserve"> and explore its impact on farmer–herder conflict. The study was carried out in the Asante </w:t>
      </w:r>
      <w:proofErr w:type="spellStart"/>
      <w:r>
        <w:rPr>
          <w:rFonts w:cs="Times New Roman"/>
          <w:szCs w:val="24"/>
          <w:lang w:val="en-US"/>
        </w:rPr>
        <w:t>Akim</w:t>
      </w:r>
      <w:proofErr w:type="spellEnd"/>
      <w:r>
        <w:rPr>
          <w:rFonts w:cs="Times New Roman"/>
          <w:szCs w:val="24"/>
          <w:lang w:val="en-US"/>
        </w:rPr>
        <w:t xml:space="preserve"> North District, specifically in </w:t>
      </w:r>
      <w:proofErr w:type="spellStart"/>
      <w:r>
        <w:rPr>
          <w:rFonts w:cs="Times New Roman"/>
          <w:szCs w:val="24"/>
          <w:lang w:val="en-US"/>
        </w:rPr>
        <w:t>Agogo</w:t>
      </w:r>
      <w:proofErr w:type="spellEnd"/>
      <w:r>
        <w:rPr>
          <w:rFonts w:cs="Times New Roman"/>
          <w:szCs w:val="24"/>
          <w:lang w:val="en-US"/>
        </w:rPr>
        <w:t xml:space="preserve">, utilizing a qualitative research approach with purposive sampling techniques to select 17 respondents. For data collection, the researcher utilized focus group discussions and semi-structured key informant interviews in </w:t>
      </w:r>
      <w:proofErr w:type="spellStart"/>
      <w:r>
        <w:rPr>
          <w:rFonts w:cs="Times New Roman"/>
          <w:szCs w:val="24"/>
          <w:lang w:val="en-US"/>
        </w:rPr>
        <w:t>Twi</w:t>
      </w:r>
      <w:proofErr w:type="spellEnd"/>
      <w:r>
        <w:rPr>
          <w:rFonts w:cs="Times New Roman"/>
          <w:szCs w:val="24"/>
          <w:lang w:val="en-US"/>
        </w:rPr>
        <w:t xml:space="preserve">, English, and Hausa. The participants included five Fulani herdsmen, three cattle owners, five crop farmers, two chiefs, one youth leader, and one District Peace Council representative. The findings revealed that the migration of early herders into the Asante </w:t>
      </w:r>
      <w:proofErr w:type="spellStart"/>
      <w:r>
        <w:rPr>
          <w:rFonts w:cs="Times New Roman"/>
          <w:szCs w:val="24"/>
          <w:lang w:val="en-US"/>
        </w:rPr>
        <w:t>Akim</w:t>
      </w:r>
      <w:proofErr w:type="spellEnd"/>
      <w:r>
        <w:rPr>
          <w:rFonts w:cs="Times New Roman"/>
          <w:szCs w:val="24"/>
          <w:lang w:val="en-US"/>
        </w:rPr>
        <w:t xml:space="preserve"> area was influenced by climate variability and environmental scarcity. Furthermore, variations in rainfall patterns not only impacted migration but also intensified competition for scarce resources. The study identified fault lines in farmer–herder conflicts, including the destruction of food crops, encroachment of farmlands by cattle, and competition for access to water sources. Non-climate-induced factors, primarily rooted in political ecology, were also recognized as contributors to conflict intractability. The scholars concluded that the availability of ecological resources acts as a significant attraction for </w:t>
      </w:r>
      <w:r>
        <w:rPr>
          <w:rFonts w:cs="Times New Roman"/>
          <w:szCs w:val="24"/>
          <w:lang w:val="en-US"/>
        </w:rPr>
        <w:lastRenderedPageBreak/>
        <w:t>migrants seeking economic opportunities. However, clashes often arise or escalate when demand surpasses the availability of these ecological resources due to the realities of climate change. It is important to note, however, that the research focused on participants affected by conflicts between 2004 and 2018, potentially limiting the inclusion of perspectives beyond this time frame. Additionally, the study did not investigate how pastoralists in the study area perceive climate change or how they utilize local knowledge to adapt to changes in climatic conditions.</w:t>
      </w:r>
      <w:r>
        <w:rPr>
          <w:rFonts w:cs="Times New Roman"/>
          <w:vanish/>
          <w:szCs w:val="24"/>
          <w:lang w:val="en-US"/>
        </w:rPr>
        <w:t>Top of Form</w:t>
      </w:r>
    </w:p>
    <w:p w:rsidR="00E53882" w:rsidRDefault="00B16FF7">
      <w:pPr>
        <w:pStyle w:val="Heading2"/>
        <w:spacing w:line="480" w:lineRule="auto"/>
      </w:pPr>
      <w:bookmarkStart w:id="56" w:name="_Toc164261692"/>
      <w:r>
        <w:t>2.4 Lessons Learnt from the Empirical Review</w:t>
      </w:r>
      <w:bookmarkEnd w:id="56"/>
    </w:p>
    <w:p w:rsidR="00E53882" w:rsidRDefault="00B16FF7">
      <w:pPr>
        <w:spacing w:line="480" w:lineRule="auto"/>
        <w:rPr>
          <w:rFonts w:cs="Times New Roman"/>
          <w:szCs w:val="24"/>
          <w:lang w:val="en-US" w:bidi="en-US"/>
        </w:rPr>
      </w:pPr>
      <w:r>
        <w:rPr>
          <w:rFonts w:cs="Times New Roman"/>
          <w:szCs w:val="24"/>
          <w:lang w:val="en-US" w:bidi="en-US"/>
        </w:rPr>
        <w:t xml:space="preserve">Contextually, the empirical review </w:t>
      </w:r>
      <w:r>
        <w:rPr>
          <w:rFonts w:cs="Times New Roman"/>
          <w:szCs w:val="24"/>
          <w:lang w:bidi="en-US"/>
        </w:rPr>
        <w:t>collectively contributes to the nuanced understanding of pastoralism, climate change, and migration. The lessons learned emphasize the interconnectedness of environmental, social, and cultural factors in shaping pastoral practices and movements. They also underscore the importance of considering local knowledge, historical contexts, and regional variations in developing effective policies and strategies for sustainable pastoral livelihoods.</w:t>
      </w:r>
    </w:p>
    <w:p w:rsidR="00E53882" w:rsidRDefault="00B16FF7">
      <w:pPr>
        <w:spacing w:line="480" w:lineRule="auto"/>
        <w:rPr>
          <w:rFonts w:cs="Times New Roman"/>
          <w:szCs w:val="24"/>
          <w:lang w:val="en-US" w:bidi="en-US"/>
        </w:rPr>
      </w:pPr>
      <w:r>
        <w:rPr>
          <w:rFonts w:cs="Times New Roman"/>
          <w:szCs w:val="24"/>
          <w:lang w:val="en-US" w:bidi="en-US"/>
        </w:rPr>
        <w:t xml:space="preserve">Methodologically, the empirical examination revealed that existing studies exclusively employed mixed-methods and qualitative research methodologies to examine the relationship between climate change and pastoralists mobility. The effectiveness of mixed methods was highlighted, allowing for the concurrent utilization of both qualitative and quantitative measures during data collection and analysis. It was also revealed that simple random sampling and purposive sampling were the most commonly employed sample procedures. Simple random sampling was prevalent in research utilizing a mixed-methods approach, while purposive sampling was more frequent in studies adopting qualitative and mixed-methods </w:t>
      </w:r>
      <w:r>
        <w:rPr>
          <w:rFonts w:cs="Times New Roman"/>
          <w:szCs w:val="24"/>
          <w:lang w:val="en-US" w:bidi="en-US"/>
        </w:rPr>
        <w:lastRenderedPageBreak/>
        <w:t>research approaches. In this study, the researcher has also adopted qualitative approach to uncover the relationship between climate change and pastoralists mobility. Purposive sampling was used in selecting respondents for data collection.</w:t>
      </w:r>
    </w:p>
    <w:p w:rsidR="00E53882" w:rsidRDefault="00B16FF7">
      <w:pPr>
        <w:spacing w:line="480" w:lineRule="auto"/>
        <w:rPr>
          <w:rFonts w:cs="Times New Roman"/>
          <w:szCs w:val="24"/>
          <w:lang w:val="en-US" w:bidi="en-US"/>
        </w:rPr>
      </w:pPr>
      <w:r>
        <w:rPr>
          <w:rFonts w:cs="Times New Roman"/>
          <w:szCs w:val="24"/>
          <w:lang w:val="en-US" w:bidi="en-US"/>
        </w:rPr>
        <w:t xml:space="preserve">In terms of data collection methods, questionnaires, interview guidelines, observation, and focus group discussions (FGDs) were the primary tools been used by the </w:t>
      </w:r>
      <w:proofErr w:type="gramStart"/>
      <w:r>
        <w:rPr>
          <w:rFonts w:cs="Times New Roman"/>
          <w:szCs w:val="24"/>
          <w:lang w:val="en-US" w:bidi="en-US"/>
        </w:rPr>
        <w:t>scholars.</w:t>
      </w:r>
      <w:proofErr w:type="gramEnd"/>
      <w:r>
        <w:rPr>
          <w:rFonts w:cs="Times New Roman"/>
          <w:szCs w:val="24"/>
          <w:lang w:val="en-US" w:bidi="en-US"/>
        </w:rPr>
        <w:t xml:space="preserve"> Interviews, focus group discussions, and key informant interviews were the predominant means of data gathering, facilitating information collection from various stakeholders. The use of multiple techniques allowed for triangulation, ensuring comprehensive data collection and mitigating limitations associated with relying on a single method. This approach enhances authenticity by enabling comparisons.</w:t>
      </w:r>
    </w:p>
    <w:p w:rsidR="00E53882" w:rsidRDefault="00B16FF7">
      <w:pPr>
        <w:spacing w:line="480" w:lineRule="auto"/>
        <w:rPr>
          <w:rFonts w:cs="Times New Roman"/>
          <w:szCs w:val="24"/>
          <w:lang w:val="en-US" w:bidi="en-US"/>
        </w:rPr>
      </w:pPr>
      <w:r>
        <w:rPr>
          <w:rFonts w:cs="Times New Roman"/>
          <w:szCs w:val="24"/>
          <w:lang w:val="en-US" w:bidi="en-US"/>
        </w:rPr>
        <w:t>Finally, in terms of data analysis, the earlier studies on climate change and pastoralists’ mobility underwent statistical analysis, employing regression and descriptive statistics for variables measured on nominal and ratio scales. Qualitative analysis predominantly employed thematic and content analysis methods.</w:t>
      </w:r>
    </w:p>
    <w:p w:rsidR="00E53882" w:rsidRDefault="00B16FF7">
      <w:pPr>
        <w:pStyle w:val="Heading2"/>
        <w:spacing w:line="480" w:lineRule="auto"/>
        <w:rPr>
          <w:lang w:val="en-US" w:bidi="en-US"/>
        </w:rPr>
      </w:pPr>
      <w:bookmarkStart w:id="57" w:name="_Toc164261693"/>
      <w:r>
        <w:t>2.5. Conceptual Framework</w:t>
      </w:r>
      <w:bookmarkEnd w:id="54"/>
      <w:bookmarkEnd w:id="57"/>
    </w:p>
    <w:p w:rsidR="00E53882" w:rsidRDefault="00B16FF7">
      <w:pPr>
        <w:tabs>
          <w:tab w:val="left" w:pos="8520"/>
        </w:tabs>
        <w:spacing w:after="0" w:line="480" w:lineRule="auto"/>
        <w:rPr>
          <w:rFonts w:eastAsia="Calibri" w:cs="Times New Roman"/>
          <w:szCs w:val="24"/>
        </w:rPr>
      </w:pPr>
      <w:r>
        <w:rPr>
          <w:rFonts w:eastAsia="Calibri" w:cs="Times New Roman"/>
          <w:szCs w:val="24"/>
        </w:rPr>
        <w:t xml:space="preserve">The above discussions are concentrated on the fundamental components of pastoralist’s mobility. The key concepts are put together in a conceptual framework to serve as a guide to the research process. Figure 2.1 outlines the conceptual framework guiding the study into understanding how climate change related to pastoralists' mobility. As indicated in the framework, pastoralist mobility is driven by climatic and non-climatic factors. Even though the indicators of climate change as in climate extremes are physical in nature, their outcomes go beyond environmental, social, cultural, economic, and political impact </w:t>
      </w:r>
      <w:r>
        <w:rPr>
          <w:rFonts w:eastAsia="Calibri" w:cs="Times New Roman"/>
          <w:szCs w:val="24"/>
        </w:rPr>
        <w:fldChar w:fldCharType="begin" w:fldLock="1"/>
      </w:r>
      <w:r>
        <w:rPr>
          <w:rFonts w:eastAsia="Calibri" w:cs="Times New Roman"/>
          <w:szCs w:val="24"/>
        </w:rPr>
        <w:instrText>ADDIN CSL_CITATION {"citationItems":[{"id":"ITEM-1","itemData":{"author":[{"dropping-particle":"","family":"Jarawura","given":"Francis Xavier","non-dropping-particle":"","parse-names":false,"suffix":""}],"container-title":"UGSpace","id":"ITEM-1","issue":"10359998","issued":{"date-parts":[["2013"]]},"number-of-pages":"1-210","publisher":"University of Ghana","title":"Drought And Migration In Northern Ghana","type":"thesis"},"uris":["http://www.mendeley.com/documents/?uuid=f6ba7737-471c-44e6-b731-1785f69a2b9e"]}],"mendeley":{"formattedCitation":"(Jarawura, 2013)","plainTextFormattedCitation":"(Jarawura, 2013)","previouslyFormattedCitation":"(Jarawura, 2013)"},"properties":{"noteIndex":0},"schema":"https://github.com/citation-style-language/schema/raw/master/csl-citation.json"}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(Jarawura, 2013)</w:t>
      </w:r>
      <w:r>
        <w:rPr>
          <w:rFonts w:eastAsia="Calibri" w:cs="Times New Roman"/>
          <w:szCs w:val="24"/>
        </w:rPr>
        <w:fldChar w:fldCharType="end"/>
      </w:r>
      <w:r>
        <w:rPr>
          <w:rFonts w:eastAsia="Calibri" w:cs="Times New Roman"/>
          <w:szCs w:val="24"/>
        </w:rPr>
        <w:t xml:space="preserve">, </w:t>
      </w:r>
      <w:r>
        <w:rPr>
          <w:rFonts w:eastAsia="Calibri" w:cs="Times New Roman"/>
          <w:szCs w:val="24"/>
        </w:rPr>
        <w:lastRenderedPageBreak/>
        <w:t xml:space="preserve">which are vital for determining prospects for livelihood consequences, including pastoralists mobility </w:t>
      </w:r>
      <w:r>
        <w:rPr>
          <w:rFonts w:eastAsia="Calibri" w:cs="Times New Roman"/>
          <w:szCs w:val="24"/>
        </w:rPr>
        <w:fldChar w:fldCharType="begin" w:fldLock="1"/>
      </w:r>
      <w:r>
        <w:rPr>
          <w:rFonts w:eastAsia="Calibri" w:cs="Times New Roman"/>
          <w:szCs w:val="24"/>
        </w:rPr>
        <w:instrText>ADDIN CSL_CITATION {"citationItems":[{"id":"ITEM-1","itemData":{"author":[{"dropping-particle":"","family":"Jarawura","given":"Francis Xavier","non-dropping-particle":"","parse-names":false,"suffix":""}],"container-title":"UGSpace","id":"ITEM-1","issue":"10359998","issued":{"date-parts":[["2013"]]},"number-of-pages":"1-210","publisher":"University of Ghana","title":"Drought And Migration In Northern Ghana","type":"thesis"},"uris":["http://www.mendeley.com/documents/?uuid=f6ba7737-471c-44e6-b731-1785f69a2b9e"]},{"id":"ITEM-2","itemData":{"DOI":"10.4314/gjg.v13i1.6","ISSN":"0855-9414","abstract":"For many households in rural sub-Saharan Africa, drought is an important environmental shock because it undermines livelihoods and wellbeing. There is a growing concern that droughts in the context of a changing climate could magnify migration out of rural areas. Using an exploratory mixed method approach, this paper explores the relationship between drought and migration in five villages in the northern savannah of Ghana. The results suggest that drought-related migration in the savannah is much about rural to rural migration as it is about rural to urban migration. This observation contrasts with the concentration of the literature on the possibilities and outcomes of climate-induced rural to urban migration. The study further highlights the mediating role of a range of idiosyncratic factors in the migration responses to drought. A multivariate analysis showed that selected individual, household, and village variables explain about 21.5% of drought-related migration. The qualitative results revealed additional mediating factors notably; individual aspirations, the effect of pull factors and networks. Thus, drought-related migration is not always about vulnerability and responses as commonly viewed, but intricately intertwined with the socio-economic and political dynamics of people. The multiplicity of factors and the complexity of their interaction clearly show the need to shift away from simplistic and deterministic notions of the climate-migration nexus.","author":[{"dropping-particle":"","family":"Jarawura","given":"Francis Xavier","non-dropping-particle":"","parse-names":false,"suffix":""}],"container-title":"Ghana Journal of Geography","id":"ITEM-2","issue":"1","issued":{"date-parts":[["2021"]]},"page":"103-125","title":"Dynamics of Drought-Related Migration Among Five Villages in the Savannah of Ghana","type":"article-journal","volume":"13"},"uris":["http://www.mendeley.com/documents/?uuid=ba357df3-2e09-4c17-85a3-fa447d60f9c5"]}],"mendeley":{"formattedCitation":"(Jarawura, 2013, 2021)","plainTextFormattedCitation":"(Jarawura, 2013, 2021)","previouslyFormattedCitation":"(Jarawura, 2013, 2021)"},"properties":{"noteIndex":0},"schema":"https://github.com/citation-style-language/schema/raw/master/csl-citation.json"}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(Jarawura, 2013, 2021)</w:t>
      </w:r>
      <w:r>
        <w:rPr>
          <w:rFonts w:eastAsia="Calibri" w:cs="Times New Roman"/>
          <w:szCs w:val="24"/>
        </w:rPr>
        <w:fldChar w:fldCharType="end"/>
      </w:r>
      <w:r>
        <w:rPr>
          <w:rFonts w:eastAsia="Calibri" w:cs="Times New Roman"/>
          <w:szCs w:val="24"/>
        </w:rPr>
        <w:t>.The framework is made up of the key concepts from the above discussions. Climatic and non-climatic factors are considered the major drivers of pastoralist mobility.</w:t>
      </w:r>
    </w:p>
    <w:p w:rsidR="008C0821" w:rsidRPr="008C0821" w:rsidRDefault="008C0821">
      <w:pPr>
        <w:tabs>
          <w:tab w:val="left" w:pos="8520"/>
        </w:tabs>
        <w:spacing w:after="0" w:line="480" w:lineRule="auto"/>
        <w:rPr>
          <w:rFonts w:eastAsia="Calibri" w:cs="Times New Roman"/>
          <w:b/>
          <w:szCs w:val="24"/>
        </w:rPr>
      </w:pPr>
      <w:r w:rsidRPr="008C0821">
        <w:rPr>
          <w:rFonts w:eastAsia="Calibri" w:cs="Times New Roman"/>
          <w:b/>
          <w:szCs w:val="24"/>
        </w:rPr>
        <w:t>Figure 2.1</w:t>
      </w:r>
    </w:p>
    <w:p w:rsidR="00B65625" w:rsidRPr="008C0821" w:rsidRDefault="00B65625">
      <w:pPr>
        <w:tabs>
          <w:tab w:val="left" w:pos="8520"/>
        </w:tabs>
        <w:spacing w:after="0" w:line="480" w:lineRule="auto"/>
        <w:rPr>
          <w:rFonts w:eastAsia="Calibri" w:cs="Times New Roman"/>
          <w:i/>
          <w:szCs w:val="24"/>
        </w:rPr>
      </w:pPr>
      <w:r w:rsidRPr="008C0821">
        <w:rPr>
          <w:rFonts w:eastAsia="Calibri" w:cs="Times New Roman"/>
          <w:i/>
          <w:szCs w:val="24"/>
        </w:rPr>
        <w:t>Conceptual Framework of Pastoralists Mobility</w:t>
      </w:r>
    </w:p>
    <w:p w:rsidR="00E53882" w:rsidRDefault="00B16FF7">
      <w:pPr>
        <w:tabs>
          <w:tab w:val="left" w:pos="8520"/>
        </w:tabs>
        <w:spacing w:line="480" w:lineRule="auto"/>
        <w:rPr>
          <w:rFonts w:cs="Times New Roman"/>
          <w:b/>
          <w:szCs w:val="24"/>
          <w:lang w:eastAsia="en-GB"/>
        </w:rPr>
      </w:pPr>
      <w:r>
        <w:rPr>
          <w:rFonts w:eastAsia="Calibri" w:cs="Times New Roman"/>
          <w:b/>
          <w:i/>
          <w:iCs/>
          <w:noProof/>
          <w:szCs w:val="24"/>
          <w:lang w:val="en-US"/>
        </w:rPr>
        <w:drawing>
          <wp:inline distT="0" distB="0" distL="0" distR="0" wp14:anchorId="163762BF" wp14:editId="65D3EE49">
            <wp:extent cx="5667006" cy="217261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9"/>
                    <a:stretch>
                      <a:fillRect/>
                    </a:stretch>
                  </pic:blipFill>
                  <pic:spPr>
                    <a:xfrm>
                      <a:off x="0" y="0"/>
                      <a:ext cx="5676893" cy="2176405"/>
                    </a:xfrm>
                    <a:prstGeom prst="rect">
                      <a:avLst/>
                    </a:prstGeom>
                  </pic:spPr>
                </pic:pic>
              </a:graphicData>
            </a:graphic>
          </wp:inline>
        </w:drawing>
      </w:r>
    </w:p>
    <w:p w:rsidR="00E53882" w:rsidRDefault="00B65625">
      <w:pPr>
        <w:pStyle w:val="figures"/>
      </w:pPr>
      <w:bookmarkStart w:id="58" w:name="_Toc156212152"/>
      <w:bookmarkStart w:id="59" w:name="_Toc156217568"/>
      <w:r>
        <w:t>Source</w:t>
      </w:r>
      <w:r w:rsidR="00B16FF7">
        <w:t>: Ad</w:t>
      </w:r>
      <w:r w:rsidR="001061C6">
        <w:t>a</w:t>
      </w:r>
      <w:r w:rsidR="00B16FF7">
        <w:t>pted</w:t>
      </w:r>
      <w:r w:rsidR="001061C6">
        <w:t xml:space="preserve"> </w:t>
      </w:r>
      <w:r w:rsidR="00B16FF7">
        <w:t>from DFID</w:t>
      </w:r>
      <w:r w:rsidR="00317048">
        <w:t xml:space="preserve"> Sustainable Livelihood Framework</w:t>
      </w:r>
      <w:r w:rsidR="00B16FF7">
        <w:t xml:space="preserve"> </w:t>
      </w:r>
      <w:bookmarkEnd w:id="58"/>
      <w:bookmarkEnd w:id="59"/>
      <w:r w:rsidR="001061C6">
        <w:t>(1999)</w:t>
      </w:r>
    </w:p>
    <w:p w:rsidR="00E53882" w:rsidRDefault="00B16FF7">
      <w:pPr>
        <w:spacing w:line="480" w:lineRule="auto"/>
        <w:rPr>
          <w:rFonts w:cs="Times New Roman"/>
          <w:szCs w:val="24"/>
        </w:rPr>
      </w:pPr>
      <w:r>
        <w:rPr>
          <w:rFonts w:cs="Times New Roman"/>
          <w:szCs w:val="24"/>
        </w:rPr>
        <w:t>Drawing from the theories of mobility, and explaining the underpinning factors of climate-change related mobility, is the focus of this conceptual framework. Climate change is certain to cause reactions from pastoralists as actors seeking a sustainable livelihood. When pastoralist’s livelihood is deteriorating as a result of climatic and non-climatic factors, they begin to wonder for adaptation strategies. Mobility is one of numerous possible reactions pastoralists may select or compulsorily adopt. Hence, this study seeks to find out how climate change shapes pastoralist movements and how their internal movement patterns in relation to search for pasture have evolved in response to climate change.</w:t>
      </w:r>
    </w:p>
    <w:p w:rsidR="00E53882" w:rsidRDefault="00B16FF7">
      <w:pPr>
        <w:spacing w:line="480" w:lineRule="auto"/>
        <w:rPr>
          <w:rFonts w:cs="Times New Roman"/>
          <w:szCs w:val="24"/>
        </w:rPr>
      </w:pPr>
      <w:r>
        <w:rPr>
          <w:rFonts w:cs="Times New Roman"/>
          <w:szCs w:val="24"/>
        </w:rPr>
        <w:lastRenderedPageBreak/>
        <w:t xml:space="preserve">Pastoralists' mobility is as a result of numerous climatic and non-climatic drivers such as drought, flood, high temperature, increasing rainfall variability, diseases and socioeconomic factors such as an increase in population, conflicts, inequalities, unemployment, poor economic growth, human rights infringement, development of large-scale projects, and an increase in technology </w:t>
      </w:r>
      <w:r>
        <w:rPr>
          <w:rFonts w:cs="Times New Roman"/>
          <w:szCs w:val="24"/>
        </w:rPr>
        <w:fldChar w:fldCharType="begin" w:fldLock="1"/>
      </w:r>
      <w:r>
        <w:rPr>
          <w:rFonts w:cs="Times New Roman"/>
          <w:szCs w:val="24"/>
        </w:rPr>
        <w:instrText>ADDIN CSL_CITATION {"citationItems":[{"id":"ITEM-1","itemData":{"abstract":"There is growing attention on socially differentiated stakeholder groups in understanding vulnerability and adaptation to climate change. However, empirical research on smallholder farmers in Ghana has not paid adequate attention to social differentiation among smallholder farmers. This study sought to assess the perception of vulnerability and adaptation strategies of socially differentiated groups of smallholder farmers to climate change in Lawra district, northwestern Ghana. Gender and age axis of social differentiation are the major focus of this work. The study employed a mix method study design involving 8 FGDs and 160 questionnaire surveys among smallholder farmers. Kendell's W rank correlation was used to rank constrains identified, descriptive statistics and chi-square was used to determine adaptation patterns among different social groups. Results suggest that, smallholder farmers are not homogenous. Rather, males and females and youth and older folks differ in their perception of vulnerability and subsequent adaptation strategies. The results highlight the need for adaptation interventions that pay attention to different stakeholder needs in reducing smallholder farmers' vulnerability.","author":[{"dropping-particle":"","family":"Yidana","given":"Adam","non-dropping-particle":"","parse-names":false,"suffix":""},{"dropping-particle":"","family":"Mensah","given":"Adelina","non-dropping-particle":"","parse-names":false,"suffix":""},{"dropping-particle":"","family":"Salifu","given":"Mubarik","non-dropping-particle":"","parse-names":false,"suffix":""},{"dropping-particle":"","family":"Owusu","given":"Kwadwo","non-dropping-particle":"","parse-names":false,"suffix":""}],"container-title":"Journal of Economics and Sustainable Development","id":"ITEM-1","issue":"10","issued":{"date-parts":[["2018"]]},"page":"175-187","title":"Social Differences in the Vulnerability and Adaptation Patterns among Smallholder Farmers : Evidence from Lawra District in the Upper West Region of Ghana .","type":"article-journal","volume":"9"},"uris":["http://www.mendeley.com/documents/?uuid=338da771-611d-457d-ae97-7b97e2381cf8"]},{"id":"ITEM-2","itemData":{"abstract":"Drought is one of the most constraining climate extremes to livelihoods particularly in dryland environments. Effective adaptation to drought is partly dependent on farmers' perceptions and how these are harmonised with scientific knowledge systems into local adaptation policies and strategies. This paper examined the perceptions of drought among farmers in five villages in the Savelugu district in northern Ghana using in-depth interviews and focus group discussions. Farmers perceived an increased drought risk over the last twenty to forty years, relating this to the frequency of drought occurrence which is considered to be on the rise. Some farmers perceived a reduction in drought intensity and changes in the time dimension of drought occurrence. In addition, some farmers expected the risk of drought to rise in the near future. These observations are partially consistent with the science of climate change. However, the explanations for these perceptions are largely sought in socio-cultural rather than scientific notions. Thus farmers' responses are not only derived from real experiences and rational explanations of climate experts but also from local non-scientific explanations. The paper therefore argues that effective adaptation to drought rests on the integration of both scientific notions and local perceptions of drought by farmers.","author":[{"dropping-particle":"","family":"Jarawura","given":"Francis Xavier","non-dropping-particle":"","parse-names":false,"suffix":""}],"container-title":"Ghana Journal of Geography","id":"ITEM-2","issued":{"date-parts":[["2014"]]},"page":"102-120","title":"Perceptions of drought among rural farmers in the Savelugu district in the northern Savannah of Ghana","type":"article-journal","volume":"6"},"uris":["http://www.mendeley.com/documents/?uuid=2984f090-d94c-48e1-a2a7-8f1330b6de31"]},{"id":"ITEM-3","itemData":{"author":[{"dropping-particle":"","family":"Jarawura","given":"Francis Xavier","non-dropping-particle":"","parse-names":false,"suffix":""}],"container-title":"UGSpace","id":"ITEM-3","issue":"10359998","issued":{"date-parts":[["2013"]]},"number-of-pages":"1-210","publisher":"University of Ghana","title":"Drought And Migration In Northern Ghana","type":"thesis"},"uris":["http://www.mendeley.com/documents/?uuid=f6ba7737-471c-44e6-b731-1785f69a2b9e"]},{"id":"ITEM-4","itemData":{"DOI":"10.1080/1369183x.2022.2066262","ISSN":"1369-183X","author":[{"dropping-particle":"","family":"Boas","given":"Ingrid","non-dropping-particle":"","parse-names":false,"suffix":""}],"container-title":"Journal of Ethnic and Migration Studies","id":"ITEM-4","issued":{"date-parts":[["2022"]]},"page":"1-17","title":"The diversification of pastoralist herding: navigating socio-climatic risk via mobile technologies","type":"article-journal"},"uris":["http://www.mendeley.com/documents/?uuid=9b1cffaf-8106-4757-b876-26b5a82bea8a"]},{"id":"ITEM-5","itemData":{"DOI":"10.1080/1369183x.2022.2066264","ISSN":"1369-183X","abstract":"The discussion on the relation between human mobility and climate change has moved beyond linear and exceptional terms. Building on these debates, this article, and the Special Issue on Climate Mob...","author":[{"dropping-particle":"","family":"Boas","given":"Ingrid","non-dropping-particle":"","parse-names":false,"suffix":""},{"dropping-particle":"","family":"Wiegel","given":"Hanne","non-dropping-particle":"","parse-names":false,"suffix":""},{"dropping-particle":"","family":"Farbotko","given":"Carol","non-dropping-particle":"","parse-names":false,"suffix":""},{"dropping-particle":"","family":"Warner","given":"Jeroen","non-dropping-particle":"","parse-names":false,"suffix":""},{"dropping-particle":"","family":"Sheller","given":"Mimi","non-dropping-particle":"","parse-names":false,"suffix":""}],"container-title":"Journal of Ethnic and Migration Studies","id":"ITEM-5","issue":"May","issued":{"date-parts":[["2022"]]},"page":"1-15","title":"Climate mobilities: migration, im/mobilities and mobility regimes in a changing climate","type":"article-journal"},"uris":["http://www.mendeley.com/documents/?uuid=95087fa8-5e7a-4d3c-93b2-1d0c5ddf0b2c"]},{"id":"ITEM-6","itemData":{"DOI":"10.1007/s42452-020-04111-0","ISBN":"4245202004111","ISSN":"25233971","abstract":"Rainfall variability is of great importance in East Africa, where small-scale farmers and pastoralists dominate. Their livestock production activities are heavily dependent on rainfall. We assessed pastoralist perceptions on climate change, particularly rainfall variability, its impact on livestock production, and the adaptive capacity of pastoralists in the Ngorongoro Conservation Area (NCA), Tanzania. We combined 241 household interviews and information from 52 participants of Participatory Rural Appraisal (PRA) with archived data from the Ngorongoro Conservation Area Authority (NCAA). We found that most (71%) pastoralists were aware of general climate change impacts, rainfall variability, and impacts of extreme events on their livestock. Most (&gt; 75%) respondents perceived erratic and reduced amounts of rainfall, prolonged and frequent periods of drought as the main climate change challenges. Mean annual rainfall accounted for only 46% (R2), (p = 0.076) and 32% (R2), (p = 0.22) of cattle, and sheep and goat population variability, respectively. Unexpectedly, cattle losses intensified by 10% when herd size increased (p &lt; 0.001) and by 98% (p = 0.049) when mobility increased, implying that increasing herd sizes and mobility do not cushion households against climate change shocks. Our study highlights the need to enhance adaptive capacity of the pastoralist communities through interventions that proactively reduce vulnerability. We recommend that future research should address the profitability of pastoral cattle production under changing environmental conditions.","author":[{"dropping-particle":"","family":"Leweri","given":"Cecilia M.","non-dropping-particle":"","parse-names":false,"suffix":""},{"dropping-particle":"","family":"Msuha","given":"Maurus J.","non-dropping-particle":"","parse-names":false,"suffix":""},{"dropping-particle":"","family":"Treydte","given":"Anna C.","non-dropping-particle":"","parse-names":false,"suffix":""}],"container-title":"SN Applied Sciences","id":"ITEM-6","issue":"1","issued":{"date-parts":[["2021"]]},"page":"1-10","publisher":"Springer International Publishing","title":"Rainfall variability and socio-economic constraints on livestock production in the Ngorongoro Conservation Area, Tanzania","type":"article-journal","volume":"3"},"uris":["http://www.mendeley.com/documents/?uuid=e414c125-b1cc-4a87-ab3e-7e08ad4bfeb7"]},{"id":"ITEM-7","itemData":{"DOI":"10.4314/ijah.v8i4.12","ISSN":"2225-8590","abstract":"Recent history of Fulani migrants in Nigeria is inundated with pastoral nomadic violence exacerbated by the increase in the influx of migrating herders within the context of ecological history and Geopolitics. Drawing extensively from the ECOWAS protocol on free movement within the sub region, the Fulani pastoralist have unrestrained access to the nook and crannies of the Nigeria state with attendance violence in contest for scarce resources between local farmers and herders. This is occasioned by deepening environmental dynamics, climate change and climate induced constrictions, altering the age long concentric pattern of coexistence and cooperation to competition and conflict. This work seeks to interrogate this violent trend while trailing the pattern with the view to unraveling the cause of the conflict. The work takes a critical look at the subsisting ECOWAS protocol on free movement within the sub region of West Africa, and it consequences for sub-regional security amongst member states. Anchored on the political ecology perspective, the paper posits, the conflicts have been informed by the desperate struggle for competitive survival and subsistence in an environment characterized by ecological scarcity and livelihood insecurity and the unchallenged culture of arms bearing by the Fulani herders over the years. The work concludes that an urgent constituti</w:instrText>
      </w:r>
      <w:r>
        <w:rPr>
          <w:rFonts w:cs="Times New Roman"/>
          <w:szCs w:val="24"/>
          <w:lang w:val="fr-FR"/>
        </w:rPr>
        <w:instrText>onal provision is necessary that will provide for private Ranching as a panacea to the perennial conflict between herders and local farmers in Nigeria.Key Words: Fulani Herders, Conflict, Migration, Local Farmers, Ecological Scarcity","author":[{"dropping-particle":"","family":"Idehen","given":"Roosevelt Osazenaye","non-dropping-particle":"","parse-names":false,"suffix":""},{"dropping-particle":"","family":"Ikuru","given":"Ubelejit Renner","non-dropping-particle":"","parse-names":false,"suffix":""}],"container-title":"AFRREV IJAH: An International Journal of Arts and Humanities","id":"ITEM-7","issue":"4","issued":{"date-parts":[["2019"]]},"page":"128-137","title":"Migration and the Emerging Security Challenges in West Africa: Case of Fulani Herders/Sedentary Farmers Conflicts in Nigeria","type":"article-journal","volume":"8"},"uris":["http://www.mendeley.com/documents/?uuid=e294da59-ee2d-4856-ad18-41c8fd8aca77"]}],"mendeley":{"formattedCitation":"(Boas, 2022; Boas et al., 2022; Idehen &amp; Ikuru, 2019; Jarawura, 2013, 2014; Leweri et al., 2021; Yidana et al., 2018)","plainTextFormattedCitation":"(Boas, 2022; Boas et al., 2022; Idehen &amp; Ikuru, 2019; Jarawura, 2013, 2014; Leweri et al., 2021; Yidana et al., 2018)","previouslyFormattedCitation":"(Boas, 2022; Boas et al., 2022; Idehen &amp; Ikuru, 2019; Jarawura, 2013, 2014; Leweri et al., 2021; Yidana et al., 2018)"},"properties":{"noteIndex":0},"schema":"https://github.com/citation-style-language/schema/raw/master/csl-citation.json"}</w:instrText>
      </w:r>
      <w:r>
        <w:rPr>
          <w:rFonts w:cs="Times New Roman"/>
          <w:szCs w:val="24"/>
        </w:rPr>
        <w:fldChar w:fldCharType="separate"/>
      </w:r>
      <w:r>
        <w:rPr>
          <w:rFonts w:cs="Times New Roman"/>
          <w:noProof/>
          <w:szCs w:val="24"/>
          <w:lang w:val="fr-FR"/>
        </w:rPr>
        <w:t>(Boas, 2022; Boas et al., 2022; Idehen &amp; Ikuru, 2019; Jarawura, 2013, 2014; Leweri et al., 2021; Yidana et al., 2018)</w:t>
      </w:r>
      <w:r>
        <w:rPr>
          <w:rFonts w:cs="Times New Roman"/>
          <w:szCs w:val="24"/>
        </w:rPr>
        <w:fldChar w:fldCharType="end"/>
      </w:r>
      <w:r>
        <w:rPr>
          <w:rFonts w:cs="Times New Roman"/>
          <w:szCs w:val="24"/>
          <w:lang w:val="fr-FR"/>
        </w:rPr>
        <w:t xml:space="preserve">. </w:t>
      </w:r>
      <w:r>
        <w:rPr>
          <w:rFonts w:cs="Times New Roman"/>
          <w:szCs w:val="24"/>
        </w:rPr>
        <w:t xml:space="preserve">These climatic and non-climatic factors drive them to forcefully or voluntarily choose mobility as an adaptation strategy or coping strategy, because the adaptation strategy within the local context is very low. The inability of pastoralists to cope or adapt within the local context influences them to cross states-borders in order to survive. The movement pattern changes during cross-border mobility due to struggles over land usage. In selected areas, conflict and instability have also forced or changed the movement patterns of pastoralists and resulted in conflicts on routes </w:t>
      </w:r>
      <w:r>
        <w:rPr>
          <w:rFonts w:cs="Times New Roman"/>
          <w:szCs w:val="24"/>
        </w:rPr>
        <w:fldChar w:fldCharType="begin" w:fldLock="1"/>
      </w:r>
      <w:r>
        <w:rPr>
          <w:rFonts w:cs="Times New Roman"/>
          <w:szCs w:val="24"/>
        </w:rPr>
        <w:instrText>ADDIN CSL_CITATION {"citationItems":[{"id":"ITEM-1","itemData":{"abstract":"The mandate of the Department of Rural Economy and Agriculture of the African Union Commission is to initiate and promote policies that can contribute to the development of rural economy and improve livelihoods through increasing agricultural productivity, ensuring food security, and enhancing sustainable use and management of Africa’s natural resources. African pastoralism is defined by a high reliance on livestock as a source of economic and social wellbeing, and various types of strategic mobility to access water and grazing resources in areas of high rainfall variability. Pastoralism is found in all regions of Africa and in some regions, is the dominant livelihoods system. Pastoralists supply very substantial numbers of livestock to domestic, regional and international markets and therefore, make crucial – but often undervalued – contributions to national and regional economies in Africa. Their production systems are highly adaptive, constantly responding to market and climatic trends. Pastoralist culture is part of the cultural heritage of Africa, and animal and plant resources in pastoral areas comprise one of the most important types of genetic resource on the continent. Against these positive aspects of pastoralism is the reality that human development and food security indicators for many pastoral areas of Africa are among the lowest on the continent, and in some cases, worsening. Drawing on extensive regional expert consultations conducted since 2007, the Policy Framework for Pastoralism in Africa is the first continent-wide policy initiative which aims to secure, protect and improve the lives, livelihoods and rights of African pastoralists. The policy framework is a platform for mobilizing and coordinating political commitment to pastoral development in Africa, and emphasizes the need to fully involve pastoralist women and men in the national and regional development processes from which they are supposed to benefit. The framework also emphasizes the regional nature of many pastoralist ecosystems in Africa and therefore, the need to support and harmonize policies across the Regional Economic Communities and Member States.","author":[{"dropping-particle":"","family":"African Union","given":"African","non-dropping-particle":"","parse-names":false,"suffix":""}],"container-title":"www.cta.int","id":"ITEM-1","issued":{"date-parts":[["2013"]]},"number-of-pages":"8-47","publisher-place":"Addis Ababa, Ethopia","title":"SECURING, PROTECTING AND IMPROVING THE LIVES, LIVELIHOODS AND RIGHTS OF PASTORALIST COMMUNITIES","type":"report"},"uris":["http://www.mendeley.com/documents/?uuid=782841ef-8fa0-4686-951e-2dde1b609cdd"]},{"id":"ITEM-2","itemData":{"abstract":"Climate change and natural hazards Climatic projections for Ghana include greatest rainfall variability in the forest zones, highest temperatures in the savannah zones, higher likelihood of floods with 10% of the country being highly hazardous, and droughts, particularly in the savannah regions of Ghana. Flooding due to high-intensity rainfall, land degradation and dumping of solid waste compromise the already inadequate flood management systems, in addition to farms being located in floodplains. Crop yields are already decreasing with limited water due to deforestation, low rainfall, and inadequate water harvesting. Heat stress and drought-related death are evident in northern regions, affecting people and livestock. Rainfall variability is particularly significant in the transition and forest zones. This is being detrimental to cocoa, mango, papaya, and other fruit yields. 1 With expected population growth and planned economic growth, demands on water for drinking, sanitation, hydropower, and both rain-fed and irrigated agriculture will come under increasing threat. Ghana is projected to 1 GoG 2017; GoG 2012 2 GoG 2012 become water-stressed by 2025. Natural hazards can damage critical infrastructure, cause pollution, disrupt basic services and increase the incidence of vector-borne disease. Further, sea-level rise (SLR) of 2.1mm over the last 30 years 2 , and projected SLR of 0.8m by 2100, will intensify coastal flooding and erosion (already expected to have 67% greater population exposure by 2050 3). This will also contaminate soils and groundwater, and impact ecosystems, towns, and critical infrastructure, with 30% of the population occupying the coastal zone. Marine, freshwater, and terrestrial ecosystems Fish catches show a declining trend (1992-2016), leading to a drop in per capita consumption by 20% (2006-2016), and increasing imports as the population grows consistently over 50% since 2006. Changes in the composition of key species caught are indicative of overexploitation which threatens stocks levels and biodiversity. These species are also under pressure from land-based sources of pollution and inappropriate fishing 3 World Bank 2020","author":[{"dropping-particle":"","family":"UNDP","given":"","non-dropping-particle":"","parse-names":false,"suffix":""}],"id":"ITEM-2","issue":"December","issued":{"date-parts":[["2021"]]},"page":"1-10","title":"Environment and Climate Change in Ghana: Policy Brief","type":"article-journal"},"uris":["http://www.mendeley.com/documents/?uuid=8f4bdc82-13a2-4b44-a489-0ce789ce7249"]},{"id":"ITEM-3","itemData":{"abstract":"Projected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Bank","given":"","non-dropping-particle":"","parse-names":false,"suffix":""}],"id":"ITEM-3","issued":{"date-parts":[["2021"]]},"page":"32","title":"Climate risk country profile - Ghana","type":"article-journal"},"uris":["http://www.mendeley.com/documents/?uuid=4959faab-240a-4a2a-ac47-a661ccd5c855"]}],"mendeley":{"formattedCitation":"(African Union, 2013; UNDP, 2021; World Bank, 2021)","plainTextFormattedCitation":"(African Union, 2013; UNDP, 2021; World Bank, 2021)","previouslyFormattedCitation":"(African Union, 2013; UNDP, 2021; World Bank, 2021)"},"properties":{"noteIndex":0},"schema":"https://github.com/citation-style-language/schema/raw/master/csl-citation.json"}</w:instrText>
      </w:r>
      <w:r>
        <w:rPr>
          <w:rFonts w:cs="Times New Roman"/>
          <w:szCs w:val="24"/>
        </w:rPr>
        <w:fldChar w:fldCharType="separate"/>
      </w:r>
      <w:r>
        <w:rPr>
          <w:rFonts w:cs="Times New Roman"/>
          <w:noProof/>
          <w:szCs w:val="24"/>
        </w:rPr>
        <w:t>(African Union, 2013; UNDP, 2021; World Bank, 2021)</w:t>
      </w:r>
      <w:r>
        <w:rPr>
          <w:rFonts w:cs="Times New Roman"/>
          <w:szCs w:val="24"/>
        </w:rPr>
        <w:fldChar w:fldCharType="end"/>
      </w:r>
      <w:r>
        <w:rPr>
          <w:rFonts w:cs="Times New Roman"/>
          <w:szCs w:val="24"/>
        </w:rPr>
        <w:t xml:space="preserve">. These challenges vary by context, season, and over time. These factors, acting independently and in combination with one another, serve as major causes of mobility among pastoralists. These are tendencies and proceedings that pastoralists are exposed to, but some are more exposed than others. The movement also changes the fundamental practices of pastoralists, and in the absence of institutions to be able to manage the integration of pastoralists in the host-communities, can intensify the risks in their movement. This can also affect pastoralists' livelihoods, induce out-migration and also weaken their pastoralism practices, which are not only a means of livelihood, but form part of their culture. This means that institutions play a key role in enhancing the movement patterns of pastoralist, depending on the intervention that is put in place to manage their activities in the host communities. Our focus is not to measure the degree of their movement but to </w:t>
      </w:r>
      <w:r>
        <w:rPr>
          <w:rFonts w:cs="Times New Roman"/>
          <w:szCs w:val="24"/>
        </w:rPr>
        <w:lastRenderedPageBreak/>
        <w:t>qualitatively find out how their movement patterns have evolved in response to climate change in hot-communities. Within the conceptual framework it is obvious that migrating members may go back to their places of origin, depending on the outcome of interventions that are put in place by various institution. Nonetheless, the outcomes of these new-out migration on the place origin is not the focus of this study.</w:t>
      </w:r>
    </w:p>
    <w:p w:rsidR="00C11C2A" w:rsidRDefault="00C11C2A">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B798B" w:rsidRDefault="00EB798B">
      <w:pPr>
        <w:spacing w:line="480" w:lineRule="auto"/>
        <w:rPr>
          <w:rFonts w:cs="Times New Roman"/>
          <w:szCs w:val="24"/>
        </w:rPr>
      </w:pPr>
    </w:p>
    <w:p w:rsidR="00E53882" w:rsidRDefault="00B16FF7">
      <w:pPr>
        <w:pStyle w:val="Heading1"/>
        <w:spacing w:line="480" w:lineRule="auto"/>
        <w:rPr>
          <w:rFonts w:eastAsia="Calibri"/>
          <w:shd w:val="clear" w:color="auto" w:fill="FFFFFF"/>
          <w:lang w:bidi="en-US"/>
        </w:rPr>
      </w:pPr>
      <w:bookmarkStart w:id="60" w:name="_Toc164261694"/>
      <w:r>
        <w:rPr>
          <w:rFonts w:eastAsia="Calibri"/>
          <w:shd w:val="clear" w:color="auto" w:fill="FFFFFF"/>
          <w:lang w:bidi="en-US"/>
        </w:rPr>
        <w:lastRenderedPageBreak/>
        <w:t>CHAPTER THREE</w:t>
      </w:r>
      <w:bookmarkEnd w:id="60"/>
    </w:p>
    <w:p w:rsidR="00E53882" w:rsidRDefault="00B16FF7">
      <w:pPr>
        <w:pStyle w:val="Heading1"/>
        <w:spacing w:line="480" w:lineRule="auto"/>
        <w:rPr>
          <w:rFonts w:eastAsia="Calibri"/>
          <w:shd w:val="clear" w:color="auto" w:fill="FFFFFF"/>
          <w:lang w:bidi="en-US"/>
        </w:rPr>
      </w:pPr>
      <w:bookmarkStart w:id="61" w:name="_Toc164261695"/>
      <w:r>
        <w:rPr>
          <w:rFonts w:eastAsia="Calibri"/>
          <w:shd w:val="clear" w:color="auto" w:fill="FFFFFF"/>
          <w:lang w:bidi="en-US"/>
        </w:rPr>
        <w:t>METHODOLOGY</w:t>
      </w:r>
      <w:bookmarkEnd w:id="61"/>
    </w:p>
    <w:p w:rsidR="00E53882" w:rsidRDefault="00B16FF7">
      <w:pPr>
        <w:autoSpaceDE w:val="0"/>
        <w:autoSpaceDN w:val="0"/>
        <w:adjustRightInd w:val="0"/>
        <w:spacing w:after="0" w:line="480" w:lineRule="auto"/>
        <w:rPr>
          <w:rFonts w:eastAsia="Calibri" w:cs="Times New Roman"/>
          <w:b/>
          <w:bCs/>
          <w:szCs w:val="24"/>
          <w:shd w:val="clear" w:color="auto" w:fill="FFFFFF"/>
          <w:lang w:bidi="en-US"/>
        </w:rPr>
      </w:pPr>
      <w:r>
        <w:rPr>
          <w:rFonts w:eastAsia="Calibri"/>
          <w:b/>
          <w:bCs/>
          <w:shd w:val="clear" w:color="auto" w:fill="FFFFFF"/>
          <w:lang w:bidi="en-US"/>
        </w:rPr>
        <w:t>3.0 Introduction</w:t>
      </w:r>
    </w:p>
    <w:p w:rsidR="00E53882" w:rsidRPr="00EB798B" w:rsidRDefault="00B16FF7" w:rsidP="00EB798B">
      <w:pPr>
        <w:autoSpaceDE w:val="0"/>
        <w:autoSpaceDN w:val="0"/>
        <w:adjustRightInd w:val="0"/>
        <w:spacing w:after="0" w:line="480" w:lineRule="auto"/>
        <w:rPr>
          <w:rFonts w:eastAsia="Calibri" w:cs="Times New Roman"/>
          <w:bCs/>
          <w:szCs w:val="24"/>
        </w:rPr>
      </w:pPr>
      <w:r>
        <w:rPr>
          <w:rFonts w:eastAsia="Calibri" w:cs="Times New Roman"/>
          <w:bCs/>
          <w:szCs w:val="24"/>
        </w:rPr>
        <w:t xml:space="preserve">Research methodology is a technique use in solving the research problem systematically. It is rigorous process of conducting. In this study the investigator describes how he used different steps to carry out the research </w:t>
      </w:r>
      <w:r>
        <w:rPr>
          <w:rFonts w:eastAsia="Calibri" w:cs="Times New Roman"/>
          <w:bCs/>
          <w:szCs w:val="24"/>
        </w:rPr>
        <w:fldChar w:fldCharType="begin" w:fldLock="1"/>
      </w:r>
      <w:r>
        <w:rPr>
          <w:rFonts w:eastAsia="Calibri" w:cs="Times New Roman"/>
          <w:bCs/>
          <w:szCs w:val="24"/>
        </w:rPr>
        <w:instrText>ADDIN CSL_CITATION {"citationItems":[{"id":"ITEM-1","itemData":{"DOI":"10.1097/00003465-199001000-00018","ISSN":"0730-4625","abstract":"è","author":[{"dropping-particle":"","family":"Downs","given":"Florence S.","non-dropping-particle":"","parse-names":false,"suffix":""}],"container-title":"Dimensions Of Critical Care Nursing","id":"ITEM-1","issue":"1","issued":{"date-parts":[["1990"]]},"number-of-pages":"60","title":"Handbook of Research Methodology","type":"book","volume":"9"},"uris":["http://www.mendeley.com/documents/?uuid=a2ab93fc-5f94-47c5-b46b-2792e4adc385"]}],"mendeley":{"formattedCitation":"(Downs, 1990)","plainTextFormattedCitation":"(Downs, 1990)","previouslyFormattedCitation":"(Downs, 1990)"},"properties":{"noteIndex":0},"schema":"https://github.com/citation-style-language/schema/raw/master/csl-citation.json"}</w:instrText>
      </w:r>
      <w:r>
        <w:rPr>
          <w:rFonts w:eastAsia="Calibri" w:cs="Times New Roman"/>
          <w:bCs/>
          <w:szCs w:val="24"/>
        </w:rPr>
        <w:fldChar w:fldCharType="separate"/>
      </w:r>
      <w:r>
        <w:rPr>
          <w:rFonts w:eastAsia="Calibri" w:cs="Times New Roman"/>
          <w:bCs/>
          <w:noProof/>
          <w:szCs w:val="24"/>
        </w:rPr>
        <w:t>(Downs, 1990)</w:t>
      </w:r>
      <w:r>
        <w:rPr>
          <w:rFonts w:eastAsia="Calibri" w:cs="Times New Roman"/>
          <w:bCs/>
          <w:szCs w:val="24"/>
        </w:rPr>
        <w:fldChar w:fldCharType="end"/>
      </w:r>
      <w:r>
        <w:rPr>
          <w:rFonts w:eastAsia="Calibri" w:cs="Times New Roman"/>
          <w:bCs/>
          <w:szCs w:val="24"/>
        </w:rPr>
        <w:t>. Hence, it is important that, the methodology is sound and conducted thoroughly too efficiently produce accurate precise data in order to achieve the research goals and objectives</w:t>
      </w:r>
      <w:r>
        <w:rPr>
          <w:rFonts w:eastAsia="Calibri" w:cs="Times New Roman"/>
          <w:b/>
          <w:bCs/>
          <w:szCs w:val="24"/>
        </w:rPr>
        <w:t xml:space="preserve">. </w:t>
      </w:r>
      <w:r>
        <w:rPr>
          <w:rFonts w:eastAsia="Calibri" w:cs="Times New Roman"/>
          <w:szCs w:val="24"/>
        </w:rPr>
        <w:t xml:space="preserve">This section is divided into sub-sections. These sub-sections include the study area, </w:t>
      </w:r>
      <w:r>
        <w:rPr>
          <w:rFonts w:eastAsia="Calibri" w:cs="Times New Roman"/>
          <w:bCs/>
          <w:szCs w:val="24"/>
        </w:rPr>
        <w:t>study design</w:t>
      </w:r>
      <w:r>
        <w:rPr>
          <w:rFonts w:eastAsia="Calibri" w:cs="Times New Roman"/>
          <w:szCs w:val="24"/>
        </w:rPr>
        <w:t xml:space="preserve">, </w:t>
      </w:r>
      <w:r>
        <w:rPr>
          <w:rFonts w:eastAsia="Calibri" w:cs="Times New Roman"/>
          <w:bCs/>
          <w:szCs w:val="24"/>
        </w:rPr>
        <w:t>study population</w:t>
      </w:r>
      <w:r>
        <w:rPr>
          <w:rFonts w:eastAsia="Calibri" w:cs="Times New Roman"/>
          <w:szCs w:val="24"/>
        </w:rPr>
        <w:t xml:space="preserve">, sampling technique, sample size, data source, </w:t>
      </w:r>
      <w:r>
        <w:rPr>
          <w:rFonts w:eastAsia="Calibri" w:cs="Times New Roman"/>
          <w:bCs/>
          <w:szCs w:val="24"/>
        </w:rPr>
        <w:t>data collection procedure</w:t>
      </w:r>
      <w:r>
        <w:rPr>
          <w:rFonts w:eastAsia="Calibri" w:cs="Times New Roman"/>
          <w:szCs w:val="24"/>
        </w:rPr>
        <w:t xml:space="preserve">, data collection tools, </w:t>
      </w:r>
      <w:r>
        <w:rPr>
          <w:rFonts w:eastAsia="Calibri" w:cs="Times New Roman"/>
          <w:bCs/>
          <w:szCs w:val="24"/>
        </w:rPr>
        <w:t>data management and Analysis.</w:t>
      </w:r>
    </w:p>
    <w:p w:rsidR="00E53882" w:rsidRDefault="00B16FF7">
      <w:pPr>
        <w:pStyle w:val="Heading2"/>
        <w:spacing w:line="480" w:lineRule="auto"/>
        <w:rPr>
          <w:rFonts w:eastAsia="Calibri"/>
        </w:rPr>
      </w:pPr>
      <w:bookmarkStart w:id="62" w:name="_Toc164261696"/>
      <w:r>
        <w:rPr>
          <w:rFonts w:eastAsia="Calibri"/>
        </w:rPr>
        <w:t>3.1 Profile of the Study Area</w:t>
      </w:r>
      <w:bookmarkEnd w:id="62"/>
    </w:p>
    <w:p w:rsidR="00E53882" w:rsidRDefault="00B16FF7">
      <w:pPr>
        <w:spacing w:after="0" w:line="480" w:lineRule="auto"/>
        <w:rPr>
          <w:rFonts w:eastAsia="Calibri" w:cs="Times New Roman"/>
          <w:bCs/>
          <w:szCs w:val="24"/>
          <w:lang w:val="en-US"/>
        </w:rPr>
      </w:pPr>
      <w:r>
        <w:rPr>
          <w:rFonts w:eastAsia="Calibri" w:cs="Times New Roman"/>
          <w:bCs/>
          <w:szCs w:val="24"/>
          <w:lang w:val="en-US"/>
        </w:rPr>
        <w:t xml:space="preserve">The research was conducted in </w:t>
      </w:r>
      <w:proofErr w:type="spellStart"/>
      <w:r>
        <w:rPr>
          <w:rFonts w:eastAsia="Calibri" w:cs="Times New Roman"/>
          <w:bCs/>
          <w:szCs w:val="24"/>
          <w:lang w:val="en-US"/>
        </w:rPr>
        <w:t>Gusheigu</w:t>
      </w:r>
      <w:proofErr w:type="spellEnd"/>
      <w:r>
        <w:rPr>
          <w:rFonts w:eastAsia="Calibri" w:cs="Times New Roman"/>
          <w:bCs/>
          <w:szCs w:val="24"/>
          <w:lang w:val="en-US"/>
        </w:rPr>
        <w:t xml:space="preserve"> District to investigate the relationship between climate change and pastoralists mobility in </w:t>
      </w:r>
      <w:proofErr w:type="spellStart"/>
      <w:r>
        <w:rPr>
          <w:rFonts w:eastAsia="Calibri" w:cs="Times New Roman"/>
          <w:bCs/>
          <w:szCs w:val="24"/>
          <w:lang w:val="en-US"/>
        </w:rPr>
        <w:t>Gusheigu</w:t>
      </w:r>
      <w:proofErr w:type="spellEnd"/>
      <w:r>
        <w:rPr>
          <w:rFonts w:eastAsia="Calibri" w:cs="Times New Roman"/>
          <w:bCs/>
          <w:szCs w:val="24"/>
          <w:lang w:val="en-US"/>
        </w:rPr>
        <w:t xml:space="preserve"> municipal. The municipality is located on the eastern corridor of the region, has a population of 153,965 based on the 2021 census, with 75,365 males and 78,604 females. Figure 3.1 depicts the district's geographical location, bordered by </w:t>
      </w:r>
      <w:proofErr w:type="spellStart"/>
      <w:r>
        <w:rPr>
          <w:rFonts w:eastAsia="Calibri" w:cs="Times New Roman"/>
          <w:bCs/>
          <w:szCs w:val="24"/>
          <w:lang w:val="en-US"/>
        </w:rPr>
        <w:t>Saboba</w:t>
      </w:r>
      <w:proofErr w:type="spellEnd"/>
      <w:r>
        <w:rPr>
          <w:rFonts w:eastAsia="Calibri" w:cs="Times New Roman"/>
          <w:bCs/>
          <w:szCs w:val="24"/>
          <w:lang w:val="en-US"/>
        </w:rPr>
        <w:t xml:space="preserve"> and </w:t>
      </w:r>
      <w:proofErr w:type="spellStart"/>
      <w:r>
        <w:rPr>
          <w:rFonts w:eastAsia="Calibri" w:cs="Times New Roman"/>
          <w:bCs/>
          <w:szCs w:val="24"/>
          <w:lang w:val="en-US"/>
        </w:rPr>
        <w:t>Cheriponi</w:t>
      </w:r>
      <w:proofErr w:type="spellEnd"/>
      <w:r>
        <w:rPr>
          <w:rFonts w:eastAsia="Calibri" w:cs="Times New Roman"/>
          <w:bCs/>
          <w:szCs w:val="24"/>
          <w:lang w:val="en-US"/>
        </w:rPr>
        <w:t xml:space="preserve"> Districts to the east, </w:t>
      </w:r>
      <w:proofErr w:type="spellStart"/>
      <w:r>
        <w:rPr>
          <w:rFonts w:eastAsia="Calibri" w:cs="Times New Roman"/>
          <w:bCs/>
          <w:szCs w:val="24"/>
          <w:lang w:val="en-US"/>
        </w:rPr>
        <w:t>Karaga</w:t>
      </w:r>
      <w:proofErr w:type="spellEnd"/>
      <w:r>
        <w:rPr>
          <w:rFonts w:eastAsia="Calibri" w:cs="Times New Roman"/>
          <w:bCs/>
          <w:szCs w:val="24"/>
          <w:lang w:val="en-US"/>
        </w:rPr>
        <w:t xml:space="preserve"> District to the west, East </w:t>
      </w:r>
      <w:proofErr w:type="spellStart"/>
      <w:r>
        <w:rPr>
          <w:rFonts w:eastAsia="Calibri" w:cs="Times New Roman"/>
          <w:bCs/>
          <w:szCs w:val="24"/>
          <w:lang w:val="en-US"/>
        </w:rPr>
        <w:t>Mamprusi</w:t>
      </w:r>
      <w:proofErr w:type="spellEnd"/>
      <w:r>
        <w:rPr>
          <w:rFonts w:eastAsia="Calibri" w:cs="Times New Roman"/>
          <w:bCs/>
          <w:szCs w:val="24"/>
          <w:lang w:val="en-US"/>
        </w:rPr>
        <w:t xml:space="preserve"> District to the north, and </w:t>
      </w:r>
      <w:proofErr w:type="spellStart"/>
      <w:r>
        <w:rPr>
          <w:rFonts w:eastAsia="Calibri" w:cs="Times New Roman"/>
          <w:bCs/>
          <w:szCs w:val="24"/>
          <w:lang w:val="en-US"/>
        </w:rPr>
        <w:t>Yendi</w:t>
      </w:r>
      <w:proofErr w:type="spellEnd"/>
      <w:r>
        <w:rPr>
          <w:rFonts w:eastAsia="Calibri" w:cs="Times New Roman"/>
          <w:bCs/>
          <w:szCs w:val="24"/>
          <w:lang w:val="en-US"/>
        </w:rPr>
        <w:t xml:space="preserve"> Municipality and </w:t>
      </w:r>
      <w:proofErr w:type="spellStart"/>
      <w:r>
        <w:rPr>
          <w:rFonts w:eastAsia="Calibri" w:cs="Times New Roman"/>
          <w:bCs/>
          <w:szCs w:val="24"/>
          <w:lang w:val="en-US"/>
        </w:rPr>
        <w:t>Mion</w:t>
      </w:r>
      <w:proofErr w:type="spellEnd"/>
      <w:r>
        <w:rPr>
          <w:rFonts w:eastAsia="Calibri" w:cs="Times New Roman"/>
          <w:bCs/>
          <w:szCs w:val="24"/>
          <w:lang w:val="en-US"/>
        </w:rPr>
        <w:t xml:space="preserve"> District to the south. Covering an approximate land area of 2,674.1 square kilometers, the district comprises 395 villages, with </w:t>
      </w:r>
      <w:proofErr w:type="spellStart"/>
      <w:r>
        <w:rPr>
          <w:rFonts w:eastAsia="Calibri" w:cs="Times New Roman"/>
          <w:bCs/>
          <w:szCs w:val="24"/>
          <w:lang w:val="en-US"/>
        </w:rPr>
        <w:t>Gusheigu</w:t>
      </w:r>
      <w:proofErr w:type="spellEnd"/>
      <w:r>
        <w:rPr>
          <w:rFonts w:eastAsia="Calibri" w:cs="Times New Roman"/>
          <w:bCs/>
          <w:szCs w:val="24"/>
          <w:lang w:val="en-US"/>
        </w:rPr>
        <w:t xml:space="preserve"> as its capital. The distance from </w:t>
      </w:r>
      <w:proofErr w:type="spellStart"/>
      <w:r>
        <w:rPr>
          <w:rFonts w:eastAsia="Calibri" w:cs="Times New Roman"/>
          <w:bCs/>
          <w:szCs w:val="24"/>
          <w:lang w:val="en-US"/>
        </w:rPr>
        <w:t>Gusheigu</w:t>
      </w:r>
      <w:proofErr w:type="spellEnd"/>
      <w:r>
        <w:rPr>
          <w:rFonts w:eastAsia="Calibri" w:cs="Times New Roman"/>
          <w:bCs/>
          <w:szCs w:val="24"/>
          <w:lang w:val="en-US"/>
        </w:rPr>
        <w:t xml:space="preserve"> to Tamale, the Northern Regional capital, is approximately 114 kilometers (GMA, 2022). The District Assembly, serving as the legislative, political, and administrative authority, consists of 25 electoral areas </w:t>
      </w:r>
      <w:r>
        <w:rPr>
          <w:rFonts w:eastAsia="Calibri" w:cs="Times New Roman"/>
          <w:bCs/>
          <w:szCs w:val="24"/>
          <w:lang w:val="en-US"/>
        </w:rPr>
        <w:lastRenderedPageBreak/>
        <w:t xml:space="preserve">within a single constituency. Eight Town/Area Councils operate under the Assembly, including </w:t>
      </w:r>
      <w:proofErr w:type="spellStart"/>
      <w:r>
        <w:rPr>
          <w:rFonts w:eastAsia="Calibri" w:cs="Times New Roman"/>
          <w:bCs/>
          <w:szCs w:val="24"/>
          <w:lang w:val="en-US"/>
        </w:rPr>
        <w:t>Gusheigu</w:t>
      </w:r>
      <w:proofErr w:type="spellEnd"/>
      <w:r>
        <w:rPr>
          <w:rFonts w:eastAsia="Calibri" w:cs="Times New Roman"/>
          <w:bCs/>
          <w:szCs w:val="24"/>
          <w:lang w:val="en-US"/>
        </w:rPr>
        <w:t xml:space="preserve"> Town Council, </w:t>
      </w:r>
      <w:proofErr w:type="spellStart"/>
      <w:r>
        <w:rPr>
          <w:rFonts w:eastAsia="Calibri" w:cs="Times New Roman"/>
          <w:bCs/>
          <w:szCs w:val="24"/>
          <w:lang w:val="en-US"/>
        </w:rPr>
        <w:t>Galwei</w:t>
      </w:r>
      <w:proofErr w:type="spellEnd"/>
      <w:r>
        <w:rPr>
          <w:rFonts w:eastAsia="Calibri" w:cs="Times New Roman"/>
          <w:bCs/>
          <w:szCs w:val="24"/>
          <w:lang w:val="en-US"/>
        </w:rPr>
        <w:t xml:space="preserve"> Area Council, </w:t>
      </w:r>
      <w:proofErr w:type="spellStart"/>
      <w:r>
        <w:rPr>
          <w:rFonts w:eastAsia="Calibri" w:cs="Times New Roman"/>
          <w:bCs/>
          <w:szCs w:val="24"/>
          <w:lang w:val="en-US"/>
        </w:rPr>
        <w:t>Nabuli</w:t>
      </w:r>
      <w:proofErr w:type="spellEnd"/>
      <w:r>
        <w:rPr>
          <w:rFonts w:eastAsia="Calibri" w:cs="Times New Roman"/>
          <w:bCs/>
          <w:szCs w:val="24"/>
          <w:lang w:val="en-US"/>
        </w:rPr>
        <w:t xml:space="preserve"> Area Council, </w:t>
      </w:r>
      <w:proofErr w:type="spellStart"/>
      <w:r>
        <w:rPr>
          <w:rFonts w:eastAsia="Calibri" w:cs="Times New Roman"/>
          <w:bCs/>
          <w:szCs w:val="24"/>
          <w:lang w:val="en-US"/>
        </w:rPr>
        <w:t>Bogu</w:t>
      </w:r>
      <w:proofErr w:type="spellEnd"/>
      <w:r>
        <w:rPr>
          <w:rFonts w:eastAsia="Calibri" w:cs="Times New Roman"/>
          <w:bCs/>
          <w:szCs w:val="24"/>
          <w:lang w:val="en-US"/>
        </w:rPr>
        <w:t xml:space="preserve"> Area Council, </w:t>
      </w:r>
      <w:proofErr w:type="spellStart"/>
      <w:r>
        <w:rPr>
          <w:rFonts w:eastAsia="Calibri" w:cs="Times New Roman"/>
          <w:bCs/>
          <w:szCs w:val="24"/>
          <w:lang w:val="en-US"/>
        </w:rPr>
        <w:t>Kpugi</w:t>
      </w:r>
      <w:proofErr w:type="spellEnd"/>
      <w:r>
        <w:rPr>
          <w:rFonts w:eastAsia="Calibri" w:cs="Times New Roman"/>
          <w:bCs/>
          <w:szCs w:val="24"/>
          <w:lang w:val="en-US"/>
        </w:rPr>
        <w:t xml:space="preserve"> Area Council, </w:t>
      </w:r>
      <w:proofErr w:type="spellStart"/>
      <w:r>
        <w:rPr>
          <w:rFonts w:eastAsia="Calibri" w:cs="Times New Roman"/>
          <w:bCs/>
          <w:szCs w:val="24"/>
          <w:lang w:val="en-US"/>
        </w:rPr>
        <w:t>Nawuhugu</w:t>
      </w:r>
      <w:proofErr w:type="spellEnd"/>
      <w:r>
        <w:rPr>
          <w:rFonts w:eastAsia="Calibri" w:cs="Times New Roman"/>
          <w:bCs/>
          <w:szCs w:val="24"/>
          <w:lang w:val="en-US"/>
        </w:rPr>
        <w:t xml:space="preserve"> Area Council, </w:t>
      </w:r>
      <w:proofErr w:type="spellStart"/>
      <w:r>
        <w:rPr>
          <w:rFonts w:eastAsia="Calibri" w:cs="Times New Roman"/>
          <w:bCs/>
          <w:szCs w:val="24"/>
          <w:lang w:val="en-US"/>
        </w:rPr>
        <w:t>Kpatinga</w:t>
      </w:r>
      <w:proofErr w:type="spellEnd"/>
      <w:r>
        <w:rPr>
          <w:rFonts w:eastAsia="Calibri" w:cs="Times New Roman"/>
          <w:bCs/>
          <w:szCs w:val="24"/>
          <w:lang w:val="en-US"/>
        </w:rPr>
        <w:t xml:space="preserve"> Area Council, and </w:t>
      </w:r>
      <w:proofErr w:type="spellStart"/>
      <w:r>
        <w:rPr>
          <w:rFonts w:eastAsia="Calibri" w:cs="Times New Roman"/>
          <w:bCs/>
          <w:szCs w:val="24"/>
          <w:lang w:val="en-US"/>
        </w:rPr>
        <w:t>Zanteli</w:t>
      </w:r>
      <w:proofErr w:type="spellEnd"/>
      <w:r>
        <w:rPr>
          <w:rFonts w:eastAsia="Calibri" w:cs="Times New Roman"/>
          <w:bCs/>
          <w:szCs w:val="24"/>
          <w:lang w:val="en-US"/>
        </w:rPr>
        <w:t xml:space="preserve"> Area Council (GSS, 2014). The main economic activities in the municipality revolve around farming, agro-processing, and foodstuff trading, engaging about nine out of ten individuals in agricultural activities.</w:t>
      </w:r>
    </w:p>
    <w:p w:rsidR="00E53882" w:rsidRDefault="00B16FF7">
      <w:pPr>
        <w:spacing w:after="0" w:line="480" w:lineRule="auto"/>
        <w:rPr>
          <w:rFonts w:eastAsia="Calibri" w:cs="Times New Roman"/>
          <w:bCs/>
          <w:szCs w:val="24"/>
          <w:lang w:val="en-US"/>
        </w:rPr>
      </w:pPr>
      <w:r>
        <w:rPr>
          <w:rFonts w:eastAsia="Calibri" w:cs="Times New Roman"/>
          <w:bCs/>
          <w:szCs w:val="24"/>
          <w:lang w:val="en-US"/>
        </w:rPr>
        <w:t xml:space="preserve">The municipality falls within the Guinea Savannah vegetation belt, characterized by short grasses and scattered drought-resistant trees such as </w:t>
      </w:r>
      <w:proofErr w:type="spellStart"/>
      <w:r>
        <w:rPr>
          <w:rFonts w:eastAsia="Calibri" w:cs="Times New Roman"/>
          <w:bCs/>
          <w:szCs w:val="24"/>
          <w:lang w:val="en-US"/>
        </w:rPr>
        <w:t>shea</w:t>
      </w:r>
      <w:proofErr w:type="spellEnd"/>
      <w:r>
        <w:rPr>
          <w:rFonts w:eastAsia="Calibri" w:cs="Times New Roman"/>
          <w:bCs/>
          <w:szCs w:val="24"/>
          <w:lang w:val="en-US"/>
        </w:rPr>
        <w:t xml:space="preserve">, baobab, </w:t>
      </w:r>
      <w:proofErr w:type="spellStart"/>
      <w:r>
        <w:rPr>
          <w:rFonts w:eastAsia="Calibri" w:cs="Times New Roman"/>
          <w:bCs/>
          <w:szCs w:val="24"/>
          <w:lang w:val="en-US"/>
        </w:rPr>
        <w:t>dawadawa</w:t>
      </w:r>
      <w:proofErr w:type="spellEnd"/>
      <w:r>
        <w:rPr>
          <w:rFonts w:eastAsia="Calibri" w:cs="Times New Roman"/>
          <w:bCs/>
          <w:szCs w:val="24"/>
          <w:lang w:val="en-US"/>
        </w:rPr>
        <w:t xml:space="preserve">, acacia, and </w:t>
      </w:r>
      <w:proofErr w:type="spellStart"/>
      <w:r>
        <w:rPr>
          <w:rFonts w:eastAsia="Calibri" w:cs="Times New Roman"/>
          <w:bCs/>
          <w:szCs w:val="24"/>
          <w:lang w:val="en-US"/>
        </w:rPr>
        <w:t>neem</w:t>
      </w:r>
      <w:proofErr w:type="spellEnd"/>
      <w:r>
        <w:rPr>
          <w:rFonts w:eastAsia="Calibri" w:cs="Times New Roman"/>
          <w:bCs/>
          <w:szCs w:val="24"/>
          <w:lang w:val="en-US"/>
        </w:rPr>
        <w:t xml:space="preserve">. The climate in </w:t>
      </w:r>
      <w:proofErr w:type="spellStart"/>
      <w:r>
        <w:rPr>
          <w:rFonts w:eastAsia="Calibri" w:cs="Times New Roman"/>
          <w:bCs/>
          <w:szCs w:val="24"/>
          <w:lang w:val="en-US"/>
        </w:rPr>
        <w:t>Gusheigu</w:t>
      </w:r>
      <w:proofErr w:type="spellEnd"/>
      <w:r>
        <w:rPr>
          <w:rFonts w:eastAsia="Calibri" w:cs="Times New Roman"/>
          <w:bCs/>
          <w:szCs w:val="24"/>
          <w:lang w:val="en-US"/>
        </w:rPr>
        <w:t xml:space="preserve"> follows the typical pattern of the three Northern Regions of Ghana, with distinct dry and wet seasons, as well as cold and hot seasons. The wet season spans April/May to October, while the dry season runs from November to March/April. Additionally, the municipality experiences a cold season from December to late February or early March, followed by hot weather. Variations in these seasons, particularly the cold season, may occur due to changing climatic conditions. The annual average rainfall is around 1100mm, with short but heavy rains peaking in August. Relative humidity ranges from 70 to 90 percent during the rainy season, dropping to as low as 20 percent in the dry season. Prolonged dry periods contribute to frequent bushfires in the area, negatively impacting pastoralism, agriculture, wildlife, and economically valuable trees and plants </w:t>
      </w:r>
      <w:r>
        <w:rPr>
          <w:rFonts w:eastAsia="Calibri" w:cs="Times New Roman"/>
          <w:bCs/>
          <w:szCs w:val="24"/>
          <w:lang w:val="en-US"/>
        </w:rPr>
        <w:fldChar w:fldCharType="begin" w:fldLock="1"/>
      </w:r>
      <w:r>
        <w:rPr>
          <w:rFonts w:eastAsia="Calibri" w:cs="Times New Roman"/>
          <w:bCs/>
          <w:szCs w:val="24"/>
          <w:lang w:val="en-US"/>
        </w:rPr>
        <w:instrText>ADDIN CSL_CITATION {"citationItems":[{"id":"ITEM-1","itemData":{"author":[{"dropping-particle":"","family":"GSS","given":"","non-dropping-particle":"","parse-names":false,"suffix":""}],"id":"ITEM-1","issued":{"date-parts":[["2014"]]},"title":"Gushiegu district","type":"article-journal"},"uris":["http://www.mendeley.com/documents/?uuid=ee566269-df9d-4fb7-a584-c3d99cb4fffe"]}],"mendeley":{"formattedCitation":"(GSS, 2014)","plainTextFormattedCitation":"(GSS, 2014)","previouslyFormattedCitation":"(GSS, 2014)"},"properties":{"noteIndex":0},"schema":"https://github.com/citation-style-language/schema/raw/master/csl-citation.json"}</w:instrText>
      </w:r>
      <w:r>
        <w:rPr>
          <w:rFonts w:eastAsia="Calibri" w:cs="Times New Roman"/>
          <w:bCs/>
          <w:szCs w:val="24"/>
          <w:lang w:val="en-US"/>
        </w:rPr>
        <w:fldChar w:fldCharType="separate"/>
      </w:r>
      <w:r>
        <w:rPr>
          <w:rFonts w:eastAsia="Calibri" w:cs="Times New Roman"/>
          <w:bCs/>
          <w:noProof/>
          <w:szCs w:val="24"/>
          <w:lang w:val="en-US"/>
        </w:rPr>
        <w:t>(GSS, 2014)</w:t>
      </w:r>
      <w:r>
        <w:rPr>
          <w:rFonts w:eastAsia="Calibri" w:cs="Times New Roman"/>
          <w:bCs/>
          <w:szCs w:val="24"/>
          <w:lang w:val="en-US"/>
        </w:rPr>
        <w:fldChar w:fldCharType="end"/>
      </w:r>
      <w:r>
        <w:rPr>
          <w:rFonts w:eastAsia="Calibri" w:cs="Times New Roman"/>
          <w:bCs/>
          <w:szCs w:val="24"/>
          <w:lang w:val="en-US"/>
        </w:rPr>
        <w:t xml:space="preserve">. The larger valleys in the municipality, located in </w:t>
      </w:r>
      <w:proofErr w:type="spellStart"/>
      <w:r>
        <w:rPr>
          <w:rFonts w:eastAsia="Calibri" w:cs="Times New Roman"/>
          <w:bCs/>
          <w:szCs w:val="24"/>
          <w:lang w:val="en-US"/>
        </w:rPr>
        <w:t>Gaa</w:t>
      </w:r>
      <w:proofErr w:type="spellEnd"/>
      <w:r>
        <w:rPr>
          <w:rFonts w:eastAsia="Calibri" w:cs="Times New Roman"/>
          <w:bCs/>
          <w:szCs w:val="24"/>
          <w:lang w:val="en-US"/>
        </w:rPr>
        <w:t xml:space="preserve">, </w:t>
      </w:r>
      <w:proofErr w:type="spellStart"/>
      <w:r>
        <w:rPr>
          <w:rFonts w:eastAsia="Calibri" w:cs="Times New Roman"/>
          <w:bCs/>
          <w:szCs w:val="24"/>
          <w:lang w:val="en-US"/>
        </w:rPr>
        <w:t>Katani</w:t>
      </w:r>
      <w:proofErr w:type="spellEnd"/>
      <w:r>
        <w:rPr>
          <w:rFonts w:eastAsia="Calibri" w:cs="Times New Roman"/>
          <w:bCs/>
          <w:szCs w:val="24"/>
          <w:lang w:val="en-US"/>
        </w:rPr>
        <w:t xml:space="preserve">, </w:t>
      </w:r>
      <w:proofErr w:type="spellStart"/>
      <w:r>
        <w:rPr>
          <w:rFonts w:eastAsia="Calibri" w:cs="Times New Roman"/>
          <w:bCs/>
          <w:szCs w:val="24"/>
          <w:lang w:val="en-US"/>
        </w:rPr>
        <w:t>Sampemo</w:t>
      </w:r>
      <w:proofErr w:type="spellEnd"/>
      <w:r>
        <w:rPr>
          <w:rFonts w:eastAsia="Calibri" w:cs="Times New Roman"/>
          <w:bCs/>
          <w:szCs w:val="24"/>
          <w:lang w:val="en-US"/>
        </w:rPr>
        <w:t xml:space="preserve">, and </w:t>
      </w:r>
      <w:proofErr w:type="spellStart"/>
      <w:r>
        <w:rPr>
          <w:rFonts w:eastAsia="Calibri" w:cs="Times New Roman"/>
          <w:bCs/>
          <w:szCs w:val="24"/>
          <w:lang w:val="en-US"/>
        </w:rPr>
        <w:t>Sampegbiga</w:t>
      </w:r>
      <w:proofErr w:type="spellEnd"/>
      <w:r>
        <w:rPr>
          <w:rFonts w:eastAsia="Calibri" w:cs="Times New Roman"/>
          <w:bCs/>
          <w:szCs w:val="24"/>
          <w:lang w:val="en-US"/>
        </w:rPr>
        <w:t xml:space="preserve"> areas, cover an estimated size of 22,000 acres. Of this total, only about 13% are privately owned or under some form of ownership. While there are no major rivers, various tributaries and sub-tributaries of the </w:t>
      </w:r>
      <w:proofErr w:type="spellStart"/>
      <w:r>
        <w:rPr>
          <w:rFonts w:eastAsia="Calibri" w:cs="Times New Roman"/>
          <w:bCs/>
          <w:szCs w:val="24"/>
          <w:lang w:val="en-US"/>
        </w:rPr>
        <w:t>Nasia</w:t>
      </w:r>
      <w:proofErr w:type="spellEnd"/>
      <w:r>
        <w:rPr>
          <w:rFonts w:eastAsia="Calibri" w:cs="Times New Roman"/>
          <w:bCs/>
          <w:szCs w:val="24"/>
          <w:lang w:val="en-US"/>
        </w:rPr>
        <w:t xml:space="preserve">, </w:t>
      </w:r>
      <w:proofErr w:type="spellStart"/>
      <w:r>
        <w:rPr>
          <w:rFonts w:eastAsia="Calibri" w:cs="Times New Roman"/>
          <w:bCs/>
          <w:szCs w:val="24"/>
          <w:lang w:val="en-US"/>
        </w:rPr>
        <w:t>Daka</w:t>
      </w:r>
      <w:proofErr w:type="spellEnd"/>
      <w:r>
        <w:rPr>
          <w:rFonts w:eastAsia="Calibri" w:cs="Times New Roman"/>
          <w:bCs/>
          <w:szCs w:val="24"/>
          <w:lang w:val="en-US"/>
        </w:rPr>
        <w:t xml:space="preserve">, </w:t>
      </w:r>
      <w:proofErr w:type="spellStart"/>
      <w:r>
        <w:rPr>
          <w:rFonts w:eastAsia="Calibri" w:cs="Times New Roman"/>
          <w:bCs/>
          <w:szCs w:val="24"/>
          <w:lang w:val="en-US"/>
        </w:rPr>
        <w:t>Nabogu</w:t>
      </w:r>
      <w:proofErr w:type="spellEnd"/>
      <w:r>
        <w:rPr>
          <w:rFonts w:eastAsia="Calibri" w:cs="Times New Roman"/>
          <w:bCs/>
          <w:szCs w:val="24"/>
          <w:lang w:val="en-US"/>
        </w:rPr>
        <w:t xml:space="preserve">, and </w:t>
      </w:r>
      <w:proofErr w:type="spellStart"/>
      <w:r>
        <w:rPr>
          <w:rFonts w:eastAsia="Calibri" w:cs="Times New Roman"/>
          <w:bCs/>
          <w:szCs w:val="24"/>
          <w:lang w:val="en-US"/>
        </w:rPr>
        <w:t>Oti</w:t>
      </w:r>
      <w:proofErr w:type="spellEnd"/>
      <w:r>
        <w:rPr>
          <w:rFonts w:eastAsia="Calibri" w:cs="Times New Roman"/>
          <w:bCs/>
          <w:szCs w:val="24"/>
          <w:lang w:val="en-US"/>
        </w:rPr>
        <w:t xml:space="preserve"> rivers cross the municipality. Tributaries of the </w:t>
      </w:r>
      <w:proofErr w:type="spellStart"/>
      <w:r>
        <w:rPr>
          <w:rFonts w:eastAsia="Calibri" w:cs="Times New Roman"/>
          <w:bCs/>
          <w:szCs w:val="24"/>
          <w:lang w:val="en-US"/>
        </w:rPr>
        <w:t>Nasia</w:t>
      </w:r>
      <w:proofErr w:type="spellEnd"/>
      <w:r>
        <w:rPr>
          <w:rFonts w:eastAsia="Calibri" w:cs="Times New Roman"/>
          <w:bCs/>
          <w:szCs w:val="24"/>
          <w:lang w:val="en-US"/>
        </w:rPr>
        <w:t xml:space="preserve"> River, flowing from east to west, include the Tile at </w:t>
      </w:r>
      <w:proofErr w:type="spellStart"/>
      <w:r>
        <w:rPr>
          <w:rFonts w:eastAsia="Calibri" w:cs="Times New Roman"/>
          <w:bCs/>
          <w:szCs w:val="24"/>
          <w:lang w:val="en-US"/>
        </w:rPr>
        <w:t>Saala</w:t>
      </w:r>
      <w:proofErr w:type="spellEnd"/>
      <w:r>
        <w:rPr>
          <w:rFonts w:eastAsia="Calibri" w:cs="Times New Roman"/>
          <w:bCs/>
          <w:szCs w:val="24"/>
          <w:lang w:val="en-US"/>
        </w:rPr>
        <w:t xml:space="preserve"> and the </w:t>
      </w:r>
      <w:proofErr w:type="spellStart"/>
      <w:r>
        <w:rPr>
          <w:rFonts w:eastAsia="Calibri" w:cs="Times New Roman"/>
          <w:bCs/>
          <w:szCs w:val="24"/>
          <w:lang w:val="en-US"/>
        </w:rPr>
        <w:lastRenderedPageBreak/>
        <w:t>Kungani</w:t>
      </w:r>
      <w:proofErr w:type="spellEnd"/>
      <w:r>
        <w:rPr>
          <w:rFonts w:eastAsia="Calibri" w:cs="Times New Roman"/>
          <w:bCs/>
          <w:szCs w:val="24"/>
          <w:lang w:val="en-US"/>
        </w:rPr>
        <w:t xml:space="preserve"> situated between </w:t>
      </w:r>
      <w:proofErr w:type="spellStart"/>
      <w:r>
        <w:rPr>
          <w:rFonts w:eastAsia="Calibri" w:cs="Times New Roman"/>
          <w:bCs/>
          <w:szCs w:val="24"/>
          <w:lang w:val="en-US"/>
        </w:rPr>
        <w:t>Saala</w:t>
      </w:r>
      <w:proofErr w:type="spellEnd"/>
      <w:r>
        <w:rPr>
          <w:rFonts w:eastAsia="Calibri" w:cs="Times New Roman"/>
          <w:bCs/>
          <w:szCs w:val="24"/>
          <w:lang w:val="en-US"/>
        </w:rPr>
        <w:t xml:space="preserve"> and </w:t>
      </w:r>
      <w:proofErr w:type="spellStart"/>
      <w:r>
        <w:rPr>
          <w:rFonts w:eastAsia="Calibri" w:cs="Times New Roman"/>
          <w:bCs/>
          <w:szCs w:val="24"/>
          <w:lang w:val="en-US"/>
        </w:rPr>
        <w:t>Pulo</w:t>
      </w:r>
      <w:proofErr w:type="spellEnd"/>
      <w:r>
        <w:rPr>
          <w:rFonts w:eastAsia="Calibri" w:cs="Times New Roman"/>
          <w:bCs/>
          <w:szCs w:val="24"/>
          <w:lang w:val="en-US"/>
        </w:rPr>
        <w:t xml:space="preserve">. The </w:t>
      </w:r>
      <w:proofErr w:type="spellStart"/>
      <w:r>
        <w:rPr>
          <w:rFonts w:eastAsia="Calibri" w:cs="Times New Roman"/>
          <w:bCs/>
          <w:szCs w:val="24"/>
          <w:lang w:val="en-US"/>
        </w:rPr>
        <w:t>Kulibila</w:t>
      </w:r>
      <w:proofErr w:type="spellEnd"/>
      <w:r>
        <w:rPr>
          <w:rFonts w:eastAsia="Calibri" w:cs="Times New Roman"/>
          <w:bCs/>
          <w:szCs w:val="24"/>
          <w:lang w:val="en-US"/>
        </w:rPr>
        <w:t xml:space="preserve"> is formed by the merger of these two rivers, flowing between </w:t>
      </w:r>
      <w:proofErr w:type="spellStart"/>
      <w:r>
        <w:rPr>
          <w:rFonts w:eastAsia="Calibri" w:cs="Times New Roman"/>
          <w:bCs/>
          <w:szCs w:val="24"/>
          <w:lang w:val="en-US"/>
        </w:rPr>
        <w:t>Dibalo</w:t>
      </w:r>
      <w:proofErr w:type="spellEnd"/>
      <w:r>
        <w:rPr>
          <w:rFonts w:eastAsia="Calibri" w:cs="Times New Roman"/>
          <w:bCs/>
          <w:szCs w:val="24"/>
          <w:lang w:val="en-US"/>
        </w:rPr>
        <w:t xml:space="preserve"> and </w:t>
      </w:r>
      <w:proofErr w:type="spellStart"/>
      <w:r>
        <w:rPr>
          <w:rFonts w:eastAsia="Calibri" w:cs="Times New Roman"/>
          <w:bCs/>
          <w:szCs w:val="24"/>
          <w:lang w:val="en-US"/>
        </w:rPr>
        <w:t>Namburugu</w:t>
      </w:r>
      <w:proofErr w:type="spellEnd"/>
      <w:r>
        <w:rPr>
          <w:rFonts w:eastAsia="Calibri" w:cs="Times New Roman"/>
          <w:bCs/>
          <w:szCs w:val="24"/>
          <w:lang w:val="en-US"/>
        </w:rPr>
        <w:t xml:space="preserve"> (in the neighboring </w:t>
      </w:r>
      <w:proofErr w:type="spellStart"/>
      <w:r>
        <w:rPr>
          <w:rFonts w:eastAsia="Calibri" w:cs="Times New Roman"/>
          <w:bCs/>
          <w:szCs w:val="24"/>
          <w:lang w:val="en-US"/>
        </w:rPr>
        <w:t>Karaga</w:t>
      </w:r>
      <w:proofErr w:type="spellEnd"/>
      <w:r>
        <w:rPr>
          <w:rFonts w:eastAsia="Calibri" w:cs="Times New Roman"/>
          <w:bCs/>
          <w:szCs w:val="24"/>
          <w:lang w:val="en-US"/>
        </w:rPr>
        <w:t xml:space="preserve"> Municipal). Other tributaries of the </w:t>
      </w:r>
      <w:proofErr w:type="spellStart"/>
      <w:r>
        <w:rPr>
          <w:rFonts w:eastAsia="Calibri" w:cs="Times New Roman"/>
          <w:bCs/>
          <w:szCs w:val="24"/>
          <w:lang w:val="en-US"/>
        </w:rPr>
        <w:t>Nasia</w:t>
      </w:r>
      <w:proofErr w:type="spellEnd"/>
      <w:r>
        <w:rPr>
          <w:rFonts w:eastAsia="Calibri" w:cs="Times New Roman"/>
          <w:bCs/>
          <w:szCs w:val="24"/>
          <w:lang w:val="en-US"/>
        </w:rPr>
        <w:t xml:space="preserve"> River include the </w:t>
      </w:r>
      <w:proofErr w:type="spellStart"/>
      <w:r>
        <w:rPr>
          <w:rFonts w:eastAsia="Calibri" w:cs="Times New Roman"/>
          <w:bCs/>
          <w:szCs w:val="24"/>
          <w:lang w:val="en-US"/>
        </w:rPr>
        <w:t>Batebuli</w:t>
      </w:r>
      <w:proofErr w:type="spellEnd"/>
      <w:r>
        <w:rPr>
          <w:rFonts w:eastAsia="Calibri" w:cs="Times New Roman"/>
          <w:bCs/>
          <w:szCs w:val="24"/>
          <w:lang w:val="en-US"/>
        </w:rPr>
        <w:t xml:space="preserve"> at </w:t>
      </w:r>
      <w:proofErr w:type="spellStart"/>
      <w:r>
        <w:rPr>
          <w:rFonts w:eastAsia="Calibri" w:cs="Times New Roman"/>
          <w:bCs/>
          <w:szCs w:val="24"/>
          <w:lang w:val="en-US"/>
        </w:rPr>
        <w:t>Nakundugu</w:t>
      </w:r>
      <w:proofErr w:type="spellEnd"/>
      <w:r>
        <w:rPr>
          <w:rFonts w:eastAsia="Calibri" w:cs="Times New Roman"/>
          <w:bCs/>
          <w:szCs w:val="24"/>
          <w:lang w:val="en-US"/>
        </w:rPr>
        <w:t xml:space="preserve">, </w:t>
      </w:r>
      <w:proofErr w:type="spellStart"/>
      <w:r>
        <w:rPr>
          <w:rFonts w:eastAsia="Calibri" w:cs="Times New Roman"/>
          <w:bCs/>
          <w:szCs w:val="24"/>
          <w:lang w:val="en-US"/>
        </w:rPr>
        <w:t>Naporia</w:t>
      </w:r>
      <w:proofErr w:type="spellEnd"/>
      <w:r>
        <w:rPr>
          <w:rFonts w:eastAsia="Calibri" w:cs="Times New Roman"/>
          <w:bCs/>
          <w:szCs w:val="24"/>
          <w:lang w:val="en-US"/>
        </w:rPr>
        <w:t xml:space="preserve">, and Ton. Tributaries of the </w:t>
      </w:r>
      <w:proofErr w:type="spellStart"/>
      <w:r>
        <w:rPr>
          <w:rFonts w:eastAsia="Calibri" w:cs="Times New Roman"/>
          <w:bCs/>
          <w:szCs w:val="24"/>
          <w:lang w:val="en-US"/>
        </w:rPr>
        <w:t>Oti</w:t>
      </w:r>
      <w:proofErr w:type="spellEnd"/>
      <w:r>
        <w:rPr>
          <w:rFonts w:eastAsia="Calibri" w:cs="Times New Roman"/>
          <w:bCs/>
          <w:szCs w:val="24"/>
          <w:lang w:val="en-US"/>
        </w:rPr>
        <w:t xml:space="preserve"> River include the </w:t>
      </w:r>
      <w:proofErr w:type="spellStart"/>
      <w:r>
        <w:rPr>
          <w:rFonts w:eastAsia="Calibri" w:cs="Times New Roman"/>
          <w:bCs/>
          <w:szCs w:val="24"/>
          <w:lang w:val="en-US"/>
        </w:rPr>
        <w:t>Naakua</w:t>
      </w:r>
      <w:proofErr w:type="spellEnd"/>
      <w:r>
        <w:rPr>
          <w:rFonts w:eastAsia="Calibri" w:cs="Times New Roman"/>
          <w:bCs/>
          <w:szCs w:val="24"/>
          <w:lang w:val="en-US"/>
        </w:rPr>
        <w:t xml:space="preserve"> and </w:t>
      </w:r>
      <w:proofErr w:type="spellStart"/>
      <w:r>
        <w:rPr>
          <w:rFonts w:eastAsia="Calibri" w:cs="Times New Roman"/>
          <w:bCs/>
          <w:szCs w:val="24"/>
          <w:lang w:val="en-US"/>
        </w:rPr>
        <w:t>Tanga</w:t>
      </w:r>
      <w:proofErr w:type="spellEnd"/>
      <w:r>
        <w:rPr>
          <w:rFonts w:eastAsia="Calibri" w:cs="Times New Roman"/>
          <w:bCs/>
          <w:szCs w:val="24"/>
          <w:lang w:val="en-US"/>
        </w:rPr>
        <w:t xml:space="preserve"> to the east of </w:t>
      </w:r>
      <w:proofErr w:type="spellStart"/>
      <w:r>
        <w:rPr>
          <w:rFonts w:eastAsia="Calibri" w:cs="Times New Roman"/>
          <w:bCs/>
          <w:szCs w:val="24"/>
          <w:lang w:val="en-US"/>
        </w:rPr>
        <w:t>Gbogu</w:t>
      </w:r>
      <w:proofErr w:type="spellEnd"/>
      <w:r>
        <w:rPr>
          <w:rFonts w:eastAsia="Calibri" w:cs="Times New Roman"/>
          <w:bCs/>
          <w:szCs w:val="24"/>
          <w:lang w:val="en-US"/>
        </w:rPr>
        <w:t xml:space="preserve"> village, as well as the </w:t>
      </w:r>
      <w:proofErr w:type="spellStart"/>
      <w:r>
        <w:rPr>
          <w:rFonts w:eastAsia="Calibri" w:cs="Times New Roman"/>
          <w:bCs/>
          <w:szCs w:val="24"/>
          <w:lang w:val="en-US"/>
        </w:rPr>
        <w:t>Korsa</w:t>
      </w:r>
      <w:proofErr w:type="spellEnd"/>
      <w:r>
        <w:rPr>
          <w:rFonts w:eastAsia="Calibri" w:cs="Times New Roman"/>
          <w:bCs/>
          <w:szCs w:val="24"/>
          <w:lang w:val="en-US"/>
        </w:rPr>
        <w:t xml:space="preserve"> and </w:t>
      </w:r>
      <w:proofErr w:type="spellStart"/>
      <w:r>
        <w:rPr>
          <w:rFonts w:eastAsia="Calibri" w:cs="Times New Roman"/>
          <w:bCs/>
          <w:szCs w:val="24"/>
          <w:lang w:val="en-US"/>
        </w:rPr>
        <w:t>Kembi</w:t>
      </w:r>
      <w:proofErr w:type="spellEnd"/>
      <w:r>
        <w:rPr>
          <w:rFonts w:eastAsia="Calibri" w:cs="Times New Roman"/>
          <w:bCs/>
          <w:szCs w:val="24"/>
          <w:lang w:val="en-US"/>
        </w:rPr>
        <w:t xml:space="preserve"> at </w:t>
      </w:r>
      <w:proofErr w:type="spellStart"/>
      <w:r>
        <w:rPr>
          <w:rFonts w:eastAsia="Calibri" w:cs="Times New Roman"/>
          <w:bCs/>
          <w:szCs w:val="24"/>
          <w:lang w:val="en-US"/>
        </w:rPr>
        <w:t>Nawuhugu</w:t>
      </w:r>
      <w:proofErr w:type="spellEnd"/>
      <w:r>
        <w:rPr>
          <w:rFonts w:eastAsia="Calibri" w:cs="Times New Roman"/>
          <w:bCs/>
          <w:szCs w:val="24"/>
          <w:lang w:val="en-US"/>
        </w:rPr>
        <w:t xml:space="preserve">, and the </w:t>
      </w:r>
      <w:proofErr w:type="spellStart"/>
      <w:r>
        <w:rPr>
          <w:rFonts w:eastAsia="Calibri" w:cs="Times New Roman"/>
          <w:bCs/>
          <w:szCs w:val="24"/>
          <w:lang w:val="en-US"/>
        </w:rPr>
        <w:t>Wapke</w:t>
      </w:r>
      <w:proofErr w:type="spellEnd"/>
      <w:r>
        <w:rPr>
          <w:rFonts w:eastAsia="Calibri" w:cs="Times New Roman"/>
          <w:bCs/>
          <w:szCs w:val="24"/>
          <w:lang w:val="en-US"/>
        </w:rPr>
        <w:t xml:space="preserve"> at </w:t>
      </w:r>
      <w:proofErr w:type="spellStart"/>
      <w:r>
        <w:rPr>
          <w:rFonts w:eastAsia="Calibri" w:cs="Times New Roman"/>
          <w:bCs/>
          <w:szCs w:val="24"/>
          <w:lang w:val="en-US"/>
        </w:rPr>
        <w:t>Katanni</w:t>
      </w:r>
      <w:proofErr w:type="spellEnd"/>
      <w:r>
        <w:rPr>
          <w:rFonts w:eastAsia="Calibri" w:cs="Times New Roman"/>
          <w:bCs/>
          <w:szCs w:val="24"/>
          <w:lang w:val="en-US"/>
        </w:rPr>
        <w:t xml:space="preserve">. During the long dry season, the volume of the </w:t>
      </w:r>
      <w:proofErr w:type="spellStart"/>
      <w:r>
        <w:rPr>
          <w:rFonts w:eastAsia="Calibri" w:cs="Times New Roman"/>
          <w:bCs/>
          <w:szCs w:val="24"/>
          <w:lang w:val="en-US"/>
        </w:rPr>
        <w:t>Nasia</w:t>
      </w:r>
      <w:proofErr w:type="spellEnd"/>
      <w:r>
        <w:rPr>
          <w:rFonts w:eastAsia="Calibri" w:cs="Times New Roman"/>
          <w:bCs/>
          <w:szCs w:val="24"/>
          <w:lang w:val="en-US"/>
        </w:rPr>
        <w:t xml:space="preserve"> River decreases, and all other streams in the area dry up completely. This scarcity of water sources during the dry season is a key reason why pastoralists migrate to the municipality in search of water for their animals </w:t>
      </w:r>
      <w:r>
        <w:rPr>
          <w:rFonts w:eastAsia="Calibri" w:cs="Times New Roman"/>
          <w:bCs/>
          <w:szCs w:val="24"/>
          <w:lang w:val="en-US"/>
        </w:rPr>
        <w:fldChar w:fldCharType="begin" w:fldLock="1"/>
      </w:r>
      <w:r>
        <w:rPr>
          <w:rFonts w:eastAsia="Calibri" w:cs="Times New Roman"/>
          <w:bCs/>
          <w:szCs w:val="24"/>
          <w:lang w:val="en-US"/>
        </w:rPr>
        <w:instrText>ADDIN CSL_CITATION {"citationItems":[{"id":"ITEM-1","itemData":{"author":[{"dropping-particle":"","family":"GSS","given":"","non-dropping-particle":"","parse-names":false,"suffix":""}],"id":"ITEM-1","issued":{"date-parts":[["2014"]]},"title":"Gushiegu district","type":"article-journal"},"uris":["http://www.mendeley.com/documents/?uuid=ee566269-df9d-4fb7-a584-c3d99cb4fffe"]}],"mendeley":{"formattedCitation":"(GSS, 2014)","plainTextFormattedCitation":"(GSS, 2014)","previouslyFormattedCitation":"(GSS, 2014)"},"properties":{"noteIndex":0},"schema":"https://github.com/citation-style-language/schema/raw/master/csl-citation.json"}</w:instrText>
      </w:r>
      <w:r>
        <w:rPr>
          <w:rFonts w:eastAsia="Calibri" w:cs="Times New Roman"/>
          <w:bCs/>
          <w:szCs w:val="24"/>
          <w:lang w:val="en-US"/>
        </w:rPr>
        <w:fldChar w:fldCharType="separate"/>
      </w:r>
      <w:r>
        <w:rPr>
          <w:rFonts w:eastAsia="Calibri" w:cs="Times New Roman"/>
          <w:bCs/>
          <w:noProof/>
          <w:szCs w:val="24"/>
          <w:lang w:val="en-US"/>
        </w:rPr>
        <w:t>(GSS, 2014)</w:t>
      </w:r>
      <w:r>
        <w:rPr>
          <w:rFonts w:eastAsia="Calibri" w:cs="Times New Roman"/>
          <w:bCs/>
          <w:szCs w:val="24"/>
          <w:lang w:val="en-US"/>
        </w:rPr>
        <w:fldChar w:fldCharType="end"/>
      </w:r>
      <w:r>
        <w:rPr>
          <w:rFonts w:eastAsia="Calibri" w:cs="Times New Roman"/>
          <w:bCs/>
          <w:szCs w:val="24"/>
          <w:lang w:val="en-US"/>
        </w:rPr>
        <w:t>.</w:t>
      </w:r>
    </w:p>
    <w:p w:rsidR="00E53882" w:rsidRDefault="00B16FF7">
      <w:pPr>
        <w:spacing w:after="0" w:line="480" w:lineRule="auto"/>
        <w:rPr>
          <w:rFonts w:eastAsia="Calibri" w:cs="Times New Roman"/>
          <w:bCs/>
          <w:szCs w:val="24"/>
          <w:lang w:val="en-US"/>
        </w:rPr>
      </w:pPr>
      <w:proofErr w:type="spellStart"/>
      <w:r>
        <w:rPr>
          <w:rFonts w:eastAsia="Calibri" w:cs="Times New Roman"/>
          <w:bCs/>
          <w:szCs w:val="24"/>
          <w:lang w:val="en-US"/>
        </w:rPr>
        <w:t>Gusheigu</w:t>
      </w:r>
      <w:proofErr w:type="spellEnd"/>
      <w:r>
        <w:rPr>
          <w:rFonts w:eastAsia="Calibri" w:cs="Times New Roman"/>
          <w:bCs/>
          <w:szCs w:val="24"/>
          <w:lang w:val="en-US"/>
        </w:rPr>
        <w:t xml:space="preserve"> Municipality was chosen for several reasons. Firstly, being situated in the northern part of Ghana, where climate change effects are evident, the area experiences unreliable rainfall and high temperatures, significantly affecting farmers and pastoralists. Scientific data from the region supports this observation </w:t>
      </w:r>
      <w:r>
        <w:rPr>
          <w:rFonts w:eastAsia="Calibri" w:cs="Times New Roman"/>
          <w:bCs/>
          <w:szCs w:val="24"/>
          <w:lang w:val="en-US"/>
        </w:rPr>
        <w:fldChar w:fldCharType="begin" w:fldLock="1"/>
      </w:r>
      <w:r>
        <w:rPr>
          <w:rFonts w:eastAsia="Calibri" w:cs="Times New Roman"/>
          <w:bCs/>
          <w:szCs w:val="24"/>
          <w:lang w:val="en-US"/>
        </w:rPr>
        <w:instrText>ADDIN CSL_CITATION {"citationItems":[{"id":"ITEM-1","itemData":{"author":[{"dropping-particle":"","family":"GSS","given":"","non-dropping-particle":"","parse-names":false,"suffix":""}],"id":"ITEM-1","issued":{"date-parts":[["2014"]]},"title":"Gushiegu district","type":"article-journal"},"uris":["http://www.mendeley.com/documents/?uuid=ee566269-df9d-4fb7-a584-c3d99cb4fffe"]}],"mendeley":{"formattedCitation":"(GSS, 2014)","plainTextFormattedCitation":"(GSS, 2014)","previouslyFormattedCitation":"(GSS, 2014)"},"properties":{"noteIndex":0},"schema":"https://github.com/citation-style-language/schema/raw/master/csl-citation.json"}</w:instrText>
      </w:r>
      <w:r>
        <w:rPr>
          <w:rFonts w:eastAsia="Calibri" w:cs="Times New Roman"/>
          <w:bCs/>
          <w:szCs w:val="24"/>
          <w:lang w:val="en-US"/>
        </w:rPr>
        <w:fldChar w:fldCharType="separate"/>
      </w:r>
      <w:r>
        <w:rPr>
          <w:rFonts w:eastAsia="Calibri" w:cs="Times New Roman"/>
          <w:bCs/>
          <w:noProof/>
          <w:szCs w:val="24"/>
          <w:lang w:val="en-US"/>
        </w:rPr>
        <w:t>(GSS, 2014)</w:t>
      </w:r>
      <w:r>
        <w:rPr>
          <w:rFonts w:eastAsia="Calibri" w:cs="Times New Roman"/>
          <w:bCs/>
          <w:szCs w:val="24"/>
          <w:lang w:val="en-US"/>
        </w:rPr>
        <w:fldChar w:fldCharType="end"/>
      </w:r>
      <w:r>
        <w:rPr>
          <w:rFonts w:eastAsia="Calibri" w:cs="Times New Roman"/>
          <w:bCs/>
          <w:szCs w:val="24"/>
          <w:lang w:val="en-US"/>
        </w:rPr>
        <w:t xml:space="preserve">, making it conducive for climate change-related research. Secondly, the municipality has a substantial population of pastoralists, as indicated by studies conducted by scholars </w:t>
      </w:r>
      <w:r>
        <w:rPr>
          <w:rFonts w:eastAsia="Calibri" w:cs="Times New Roman"/>
          <w:bCs/>
          <w:szCs w:val="24"/>
          <w:lang w:val="en-US"/>
        </w:rPr>
        <w:fldChar w:fldCharType="begin" w:fldLock="1"/>
      </w:r>
      <w:r>
        <w:rPr>
          <w:rFonts w:eastAsia="Calibri" w:cs="Times New Roman"/>
          <w:bCs/>
          <w:szCs w:val="24"/>
          <w:lang w:val="en-US"/>
        </w:rPr>
        <w:instrText>ADDIN CSL_CITATION {"citationItems":[{"id":"ITEM-1","itemData":{"DOI":"10.3197/np.2020.240102","author":[{"dropping-particle":"","family":"Bukari","given":"Kaderi","non-dropping-particle":"","parse-names":false,"suffix":""},{"dropping-particle":"","family":"Bukari","given":"Shaibu","non-dropping-particle":"","parse-names":false,"suffix":""},{"dropping-particle":"","family":"Sow","given":"Papa","non-dropping-particle":"","parse-names":false,"suffix":""},{"dropping-particle":"","family":"Scheffran","given":"Jürgen","non-dropping-particle":"","parse-names":false,"suffix":""}],"container-title":"Nomadic Peoples","id":"ITEM-1","issued":{"date-parts":[["2020","3","1"]]},"page":"4-31","title":"Diversity and Multiple Drivers of Pastoral Fulani Migration to Ghana","type":"article-journal","volume":"24"},"uris":["http://www.mendeley.com/documents/?uuid=63cd46e9-cafe-40d3-bcc1-99b22ea09773"]}],"mendeley":{"formattedCitation":"(K. Bukari et al., 2020)","plainTextFormattedCitation":"(K. Bukari et al., 2020)","previouslyFormattedCitation":"(K. Bukari et al., 2020)"},"properties":{"noteIndex":0},"schema":"https://github.com/citation-style-language/schema/raw/master/csl-citation.json"}</w:instrText>
      </w:r>
      <w:r>
        <w:rPr>
          <w:rFonts w:eastAsia="Calibri" w:cs="Times New Roman"/>
          <w:bCs/>
          <w:szCs w:val="24"/>
          <w:lang w:val="en-US"/>
        </w:rPr>
        <w:fldChar w:fldCharType="separate"/>
      </w:r>
      <w:r>
        <w:rPr>
          <w:rFonts w:eastAsia="Calibri" w:cs="Times New Roman"/>
          <w:bCs/>
          <w:noProof/>
          <w:szCs w:val="24"/>
          <w:lang w:val="en-US"/>
        </w:rPr>
        <w:t>(K. Bukari et al., 2020)</w:t>
      </w:r>
      <w:r>
        <w:rPr>
          <w:rFonts w:eastAsia="Calibri" w:cs="Times New Roman"/>
          <w:bCs/>
          <w:szCs w:val="24"/>
          <w:lang w:val="en-US"/>
        </w:rPr>
        <w:fldChar w:fldCharType="end"/>
      </w:r>
      <w:r>
        <w:rPr>
          <w:rFonts w:eastAsia="Calibri" w:cs="Times New Roman"/>
          <w:bCs/>
          <w:szCs w:val="24"/>
          <w:lang w:val="en-US"/>
        </w:rPr>
        <w:t>. However, the role of climate change in their migration to the area remains largely unexplored, making it an ideal context for this study. Thirdly, there is a limited body of research in the area that explores the perceptions of pastoralists on climate change, creating a research gap that this study aims to fill. Lastly, the selection was based on practical considerations of accessibility and feasibility.</w:t>
      </w:r>
    </w:p>
    <w:p w:rsidR="00EB798B" w:rsidRDefault="00EB798B">
      <w:pPr>
        <w:spacing w:after="0" w:line="480" w:lineRule="auto"/>
        <w:rPr>
          <w:rFonts w:eastAsia="Calibri" w:cs="Times New Roman"/>
          <w:bCs/>
          <w:szCs w:val="24"/>
          <w:lang w:val="en-US"/>
        </w:rPr>
      </w:pPr>
    </w:p>
    <w:p w:rsidR="00EB798B" w:rsidRDefault="00EB798B">
      <w:pPr>
        <w:spacing w:after="0" w:line="480" w:lineRule="auto"/>
        <w:rPr>
          <w:rFonts w:eastAsia="Calibri" w:cs="Times New Roman"/>
          <w:bCs/>
          <w:szCs w:val="24"/>
          <w:lang w:val="en-US"/>
        </w:rPr>
      </w:pPr>
    </w:p>
    <w:p w:rsidR="00EB798B" w:rsidRDefault="00EB798B">
      <w:pPr>
        <w:spacing w:after="0" w:line="480" w:lineRule="auto"/>
        <w:rPr>
          <w:rFonts w:eastAsia="Calibri" w:cs="Times New Roman"/>
          <w:bCs/>
          <w:szCs w:val="24"/>
          <w:lang w:val="en-US"/>
        </w:rPr>
      </w:pPr>
    </w:p>
    <w:p w:rsidR="007C6553" w:rsidRDefault="007C6553" w:rsidP="007C6553">
      <w:pPr>
        <w:pStyle w:val="figures"/>
        <w:spacing w:before="0" w:after="0"/>
      </w:pPr>
      <w:bookmarkStart w:id="63" w:name="_Toc128437242"/>
      <w:bookmarkStart w:id="64" w:name="_Toc156217569"/>
      <w:r>
        <w:lastRenderedPageBreak/>
        <w:t xml:space="preserve">Figure 3.1: </w:t>
      </w:r>
    </w:p>
    <w:p w:rsidR="00E53882" w:rsidRPr="00EB798B" w:rsidRDefault="007C6553" w:rsidP="00EB798B">
      <w:pPr>
        <w:pStyle w:val="figures"/>
        <w:spacing w:before="0" w:after="0"/>
        <w:rPr>
          <w:b w:val="0"/>
          <w:i/>
        </w:rPr>
      </w:pPr>
      <w:r w:rsidRPr="007C6553">
        <w:rPr>
          <w:b w:val="0"/>
          <w:i/>
        </w:rPr>
        <w:t xml:space="preserve">Map of </w:t>
      </w:r>
      <w:proofErr w:type="spellStart"/>
      <w:r w:rsidRPr="007C6553">
        <w:rPr>
          <w:b w:val="0"/>
          <w:i/>
        </w:rPr>
        <w:t>Gusheigu</w:t>
      </w:r>
      <w:proofErr w:type="spellEnd"/>
      <w:r w:rsidRPr="007C6553">
        <w:rPr>
          <w:b w:val="0"/>
          <w:i/>
        </w:rPr>
        <w:t xml:space="preserve"> </w:t>
      </w:r>
      <w:bookmarkEnd w:id="63"/>
      <w:r w:rsidRPr="007C6553">
        <w:rPr>
          <w:b w:val="0"/>
          <w:i/>
        </w:rPr>
        <w:t>Municipal showing Study Communities</w:t>
      </w:r>
      <w:bookmarkEnd w:id="64"/>
    </w:p>
    <w:p w:rsidR="00E53882" w:rsidRDefault="00B16FF7">
      <w:pPr>
        <w:spacing w:after="0" w:line="480" w:lineRule="auto"/>
        <w:rPr>
          <w:rFonts w:eastAsia="Calibri" w:cs="Times New Roman"/>
          <w:szCs w:val="24"/>
        </w:rPr>
      </w:pPr>
      <w:r>
        <w:rPr>
          <w:rFonts w:eastAsia="Calibri" w:cs="Times New Roman"/>
          <w:noProof/>
          <w:szCs w:val="24"/>
          <w:lang w:val="en-US"/>
        </w:rPr>
        <w:drawing>
          <wp:inline distT="0" distB="0" distL="0" distR="0" wp14:anchorId="0E694981" wp14:editId="78358B50">
            <wp:extent cx="5943600" cy="33051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3305175"/>
                    </a:xfrm>
                    <a:prstGeom prst="rect">
                      <a:avLst/>
                    </a:prstGeom>
                  </pic:spPr>
                </pic:pic>
              </a:graphicData>
            </a:graphic>
          </wp:inline>
        </w:drawing>
      </w:r>
      <w:r>
        <w:rPr>
          <w:rFonts w:eastAsia="Times New Roman" w:cs="Times New Roman"/>
          <w:noProof/>
          <w:vanish/>
          <w:szCs w:val="24"/>
          <w:lang w:val="en-US"/>
        </w:rPr>
        <w:drawing>
          <wp:inline distT="0" distB="0" distL="0" distR="0" wp14:anchorId="392E77C5" wp14:editId="46B59636">
            <wp:extent cx="5731510" cy="4053205"/>
            <wp:effectExtent l="0" t="0" r="254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731510" cy="4053205"/>
                    </a:xfrm>
                    <a:prstGeom prst="rect">
                      <a:avLst/>
                    </a:prstGeom>
                  </pic:spPr>
                </pic:pic>
              </a:graphicData>
            </a:graphic>
          </wp:inline>
        </w:drawing>
      </w:r>
    </w:p>
    <w:p w:rsidR="00E53882" w:rsidRPr="0017617E" w:rsidRDefault="00B16FF7" w:rsidP="0017617E">
      <w:pPr>
        <w:spacing w:before="0" w:after="0" w:line="480" w:lineRule="auto"/>
        <w:rPr>
          <w:rFonts w:cs="Times New Roman"/>
          <w:b/>
          <w:bCs/>
          <w:iCs/>
          <w:szCs w:val="24"/>
        </w:rPr>
      </w:pPr>
      <w:r>
        <w:rPr>
          <w:rFonts w:cs="Times New Roman"/>
          <w:b/>
          <w:bCs/>
          <w:iCs/>
          <w:szCs w:val="24"/>
        </w:rPr>
        <w:t>Source: Author’s Own Construct (2023)</w:t>
      </w:r>
      <w:bookmarkStart w:id="65" w:name="_Toc128438191"/>
    </w:p>
    <w:p w:rsidR="00E53882" w:rsidRDefault="00B16FF7">
      <w:pPr>
        <w:pStyle w:val="Heading3"/>
      </w:pPr>
      <w:bookmarkStart w:id="66" w:name="_Toc164261697"/>
      <w:r>
        <w:t>3.2.1 Research Paradigm</w:t>
      </w:r>
      <w:bookmarkEnd w:id="65"/>
      <w:bookmarkEnd w:id="66"/>
      <w:r>
        <w:t xml:space="preserve"> </w:t>
      </w:r>
    </w:p>
    <w:p w:rsidR="00E53882" w:rsidRDefault="00B16FF7" w:rsidP="0017617E">
      <w:pPr>
        <w:autoSpaceDE w:val="0"/>
        <w:autoSpaceDN w:val="0"/>
        <w:adjustRightInd w:val="0"/>
        <w:spacing w:after="0" w:line="480" w:lineRule="auto"/>
        <w:rPr>
          <w:rFonts w:eastAsia="Calibri"/>
        </w:rPr>
      </w:pPr>
      <w:r>
        <w:rPr>
          <w:rFonts w:eastAsia="Calibri" w:cs="Times New Roman"/>
          <w:bCs/>
          <w:szCs w:val="24"/>
        </w:rPr>
        <w:t>This study adopted constructivist paradigm. Scholars characterizes the constructivist philosophical paradigm as a perspective emphasizing that individuals build their own understanding and knowledge of the world by actively engaging with and reflecting on their experiences</w:t>
      </w:r>
      <w:r w:rsidR="009B24A3">
        <w:rPr>
          <w:rFonts w:eastAsia="Calibri" w:cs="Times New Roman"/>
          <w:bCs/>
          <w:szCs w:val="24"/>
        </w:rPr>
        <w:t xml:space="preserve"> </w:t>
      </w:r>
      <w:r w:rsidR="009B24A3">
        <w:rPr>
          <w:rFonts w:eastAsia="Calibri" w:cs="Times New Roman"/>
          <w:bCs/>
          <w:szCs w:val="24"/>
        </w:rPr>
        <w:fldChar w:fldCharType="begin" w:fldLock="1"/>
      </w:r>
      <w:r w:rsidR="001B129C">
        <w:rPr>
          <w:rFonts w:eastAsia="Calibri" w:cs="Times New Roman"/>
          <w:bCs/>
          <w:szCs w:val="24"/>
        </w:rPr>
        <w:instrText>ADDIN CSL_CITATION {"citationItems":[{"id":"ITEM-1","itemData":{"ISBN":"0-8039-3822-5 (Hardcover); 0-8039-3823-3 (Paperback)","abstract":"This book is about options for inquiry: options among the paradigms—basic belief systems—that have emerged as successors to conventional positivism. Three options are explored in this book: postpositivism, on the shoulders of whose proponents the mantles of succession and of hegemony appear to have fallen, and two brash and sometimes contentious contendors, critical theory and constructivism. Although all three alternatives reject positivism, they make very different diagnoses of its problems and, therefore, offer very different remedies (PsycInfo Database Record (c) 2022 APA, all rights reserved)","author":[{"dropping-particle":"","family":"Guba","given":"Egon G.","non-dropping-particle":"","parse-names":false,"suffix":""}],"container-title":"The paradigm dialog.","editor":[{"dropping-particle":"","family":"Guba","given":"Egon G","non-dropping-particle":"","parse-names":false,"suffix":""}],"id":"ITEM-1","issued":{"date-parts":[["1990"]]},"number-of-pages":"424","publisher":"Sage Publications, Inc","publisher-place":"Thousand Oaks, CA, US","title":"The paradigm dialog.","type":"book"},"uris":["http://www.mendeley.com/documents/?uuid=5a8c056c-0f76-43c3-a58d-e0080a1be719"]}],"mendeley":{"formattedCitation":"(Guba, 1990)","plainTextFormattedCitation":"(Guba, 1990)","previouslyFormattedCitation":"(Guba, 1990)"},"properties":{"noteIndex":0},"schema":"https://github.com/citation-style-language/schema/raw/master/csl-citation.json"}</w:instrText>
      </w:r>
      <w:r w:rsidR="009B24A3">
        <w:rPr>
          <w:rFonts w:eastAsia="Calibri" w:cs="Times New Roman"/>
          <w:bCs/>
          <w:szCs w:val="24"/>
        </w:rPr>
        <w:fldChar w:fldCharType="separate"/>
      </w:r>
      <w:r w:rsidR="009B24A3" w:rsidRPr="009B24A3">
        <w:rPr>
          <w:rFonts w:eastAsia="Calibri" w:cs="Times New Roman"/>
          <w:bCs/>
          <w:noProof/>
          <w:szCs w:val="24"/>
        </w:rPr>
        <w:t>(Guba, 1990)</w:t>
      </w:r>
      <w:r w:rsidR="009B24A3">
        <w:rPr>
          <w:rFonts w:eastAsia="Calibri" w:cs="Times New Roman"/>
          <w:bCs/>
          <w:szCs w:val="24"/>
        </w:rPr>
        <w:fldChar w:fldCharType="end"/>
      </w:r>
      <w:r>
        <w:rPr>
          <w:rFonts w:eastAsia="Calibri" w:cs="Times New Roman"/>
          <w:bCs/>
          <w:szCs w:val="24"/>
        </w:rPr>
        <w:t xml:space="preserve">. The underlying premise is that people largely shape or generate their learning from </w:t>
      </w:r>
      <w:proofErr w:type="spellStart"/>
      <w:r>
        <w:rPr>
          <w:rFonts w:eastAsia="Calibri" w:cs="Times New Roman"/>
          <w:bCs/>
          <w:szCs w:val="24"/>
        </w:rPr>
        <w:t>firsthand</w:t>
      </w:r>
      <w:proofErr w:type="spellEnd"/>
      <w:r>
        <w:rPr>
          <w:rFonts w:eastAsia="Calibri" w:cs="Times New Roman"/>
          <w:bCs/>
          <w:szCs w:val="24"/>
        </w:rPr>
        <w:t xml:space="preserve"> experiences </w:t>
      </w:r>
      <w:r>
        <w:rPr>
          <w:rFonts w:eastAsia="Calibri" w:cs="Times New Roman"/>
          <w:bCs/>
          <w:szCs w:val="24"/>
        </w:rPr>
        <w:fldChar w:fldCharType="begin" w:fldLock="1"/>
      </w:r>
      <w:r>
        <w:rPr>
          <w:rFonts w:eastAsia="Calibri" w:cs="Times New Roman"/>
          <w:bCs/>
          <w:szCs w:val="24"/>
        </w:rPr>
        <w:instrText>ADDIN CSL_CITATION {"citationItems":[{"id":"ITEM-1","itemData":{"ISBN":"0-8039-4979-1","abstract":"Compilation of various authors work on various topics on the Qualitative research methodology","author":[{"dropping-particle":"","family":"Guba","given":"Egon G.","non-dropping-particle":"","parse-names":false,"suffix":""},{"dropping-particle":"","family":"Lincoln","given":"Yvonna's S.","non-dropping-particle":"","parse-names":false,"suffix":""}],"container-title":"Handbook of Qualitative Research","id":"ITEM-1","issued":{"date-parts":[["1994"]]},"page":"273-285","title":"Competing paradigms in qualitative research","type":"article"},"uris":["http://www.mendeley.com/documents/?uuid=ba234ea3-21aa-4420-b210-51f2f03cee06"]}],"mendeley":{"formattedCitation":"(Guba &amp; Lincoln, 1994)","plainTextFormattedCitation":"(Guba &amp; Lincoln, 1994)","previouslyFormattedCitation":"(Guba &amp; Lincoln, 1994)"},"properties":{"noteIndex":0},"schema":"https://github.com/citation-style-language/schema/raw/master/csl-citation.json"}</w:instrText>
      </w:r>
      <w:r>
        <w:rPr>
          <w:rFonts w:eastAsia="Calibri" w:cs="Times New Roman"/>
          <w:bCs/>
          <w:szCs w:val="24"/>
        </w:rPr>
        <w:fldChar w:fldCharType="separate"/>
      </w:r>
      <w:r>
        <w:rPr>
          <w:rFonts w:eastAsia="Calibri" w:cs="Times New Roman"/>
          <w:bCs/>
          <w:noProof/>
          <w:szCs w:val="24"/>
        </w:rPr>
        <w:t>(Guba &amp; Lincoln, 1994)</w:t>
      </w:r>
      <w:r>
        <w:rPr>
          <w:rFonts w:eastAsia="Calibri" w:cs="Times New Roman"/>
          <w:bCs/>
          <w:szCs w:val="24"/>
        </w:rPr>
        <w:fldChar w:fldCharType="end"/>
      </w:r>
      <w:r>
        <w:rPr>
          <w:rFonts w:eastAsia="Calibri" w:cs="Times New Roman"/>
          <w:bCs/>
          <w:szCs w:val="24"/>
        </w:rPr>
        <w:t xml:space="preserve">. According to constructivism, meaningful learning is synonymous with the process of constructing understanding; no other form of learning exists. This challenges the conventional notion of learning as a rote, memorize, and forget approach, highlighting the importance of motivation and the practical application of acquired knowledge in real-life scenarios </w:t>
      </w:r>
      <w:r>
        <w:rPr>
          <w:rFonts w:eastAsia="Calibri" w:cs="Times New Roman"/>
          <w:bCs/>
          <w:szCs w:val="24"/>
        </w:rPr>
        <w:fldChar w:fldCharType="begin" w:fldLock="1"/>
      </w:r>
      <w:r w:rsidR="00900D2E">
        <w:rPr>
          <w:rFonts w:eastAsia="Calibri" w:cs="Times New Roman"/>
          <w:bCs/>
          <w:szCs w:val="24"/>
        </w:rPr>
        <w:instrText>ADDIN CSL_CITATION {"citationItems":[{"id":"ITEM-1","itemData":{"ISBN":"978-1-61735-865-4 (Paperback); 978-1-61735-866-1 (Hardcover); 978-1-61735-867-8 (PDF)","abstract":"This chapter discusses constructivist learning theory. Constructivism is a learning theory that posits that learners actively construct knowledge and make meaning, based on their experiences, individually or socially. Confrey describes constructivism as a belief that all knowledge is necessarily a product of our own cognitive acts. The active role the learner takes in constructivist learning sharply contrasts with one in which learning is the passive transmission of information from one individual to another. Constructivism is a theory that posits knowledge must be constructed by a person, not just transmitted to the person. Two simple but important ideas highlight the notion of constructed knowledge: (a) prior knowledge always influences the formation of new knowledge and (b) learning is an active process. Learners are not blank slates, they bring prior cultural knowledge and/or experiences to learning situations that impact the new knowledge they will construct or modify. If the new knowledge emerging is not in agreement with their current schema, the learner can evaluate both and modify their knowledge and schema. Hence meaning making is interpretive and dependent on the learner's experiences and understanding. (PsycInfo Database Record (c) 2022 APA, all rights reserved)","author":[{"dropping-particle":"","family":"Narayan","given":"Ratna","non-dropping-particle":"","parse-names":false,"suffix":""},{"dropping-particle":"","family":"Rodriguez","given":"Cynthia","non-dropping-particle":"","parse-names":false,"suffix":""},{"dropping-particle":"","family":"Araujo","given":"Juan","non-dropping-particle":"","parse-names":false,"suffix":""},{"dropping-particle":"","family":"Shaqlaih","given":"Ali","non-dropping-particle":"","parse-names":false,"suffix":""},{"dropping-particle":"","family":"Moss","given":"Glenda","non-dropping-particle":"","parse-names":false,"suffix":""}],"container-title":"The handbook of educational theories.","id":"ITEM-1","issued":{"date-parts":[["2013"]]},"page":"169-183","publisher":"IAP Information Age Publishing","publisher-place":"Moss, Glenda: University of North Texas, Department of Teacher Education &amp; Administration, 7300 University Hills Blvd., Dallas, TX, US, 75241-4600, glenda.moss@unt.edu","title":"Constructivism—Constructivist learning theory.","type":"chapter"},"uris":["http://www.mendeley.com/documents/?uuid=02f4069a-3cdc-41f6-9a8b-c2d089bfe5f0"]}],"mendeley":{"formattedCitation":"(Narayan et al., 2013)","plainTextFormattedCitation":"(Narayan et al., 2013)","previouslyFormattedCitation":"(Narayan et al., 2013)"},"properties":{"noteIndex":0},"schema":"https://github.com/citation-style-language/schema/raw/master/csl-citation.json"}</w:instrText>
      </w:r>
      <w:r>
        <w:rPr>
          <w:rFonts w:eastAsia="Calibri" w:cs="Times New Roman"/>
          <w:bCs/>
          <w:szCs w:val="24"/>
        </w:rPr>
        <w:fldChar w:fldCharType="separate"/>
      </w:r>
      <w:r>
        <w:rPr>
          <w:rFonts w:eastAsia="Calibri" w:cs="Times New Roman"/>
          <w:bCs/>
          <w:noProof/>
          <w:szCs w:val="24"/>
        </w:rPr>
        <w:t xml:space="preserve">(Narayan et al., </w:t>
      </w:r>
      <w:r>
        <w:rPr>
          <w:rFonts w:eastAsia="Calibri" w:cs="Times New Roman"/>
          <w:bCs/>
          <w:noProof/>
          <w:szCs w:val="24"/>
        </w:rPr>
        <w:lastRenderedPageBreak/>
        <w:t>2013)</w:t>
      </w:r>
      <w:r>
        <w:rPr>
          <w:rFonts w:eastAsia="Calibri" w:cs="Times New Roman"/>
          <w:bCs/>
          <w:szCs w:val="24"/>
        </w:rPr>
        <w:fldChar w:fldCharType="end"/>
      </w:r>
      <w:r>
        <w:rPr>
          <w:rFonts w:eastAsia="Calibri" w:cs="Times New Roman"/>
          <w:bCs/>
          <w:szCs w:val="24"/>
        </w:rPr>
        <w:t xml:space="preserve">. The constructivist philosophy rejects the notion that learning solely occurs through traditional teacher-led lectures. According to this perspective, true learning emerges when learners actively engage in experimentation and hands-on experiences. The foundation of this philosophy aligns with Confucius' famous quote: "I hear and I forget. I see and I remember. I do and I understand." In essence, if teachers simply provide information to students in a passive manner, akin to spoon-feeding, learners may lack the capacity for critical thinking and may forget what they were taught. By contrast, constructivist philosophers advocate for involving students in the teaching and learning processes, allowing them to personally discover knowledge or "truth" through active engagement. This approach aims to foster a deeper understanding and lasting retention of the learned material </w:t>
      </w:r>
      <w:r>
        <w:rPr>
          <w:rFonts w:eastAsia="Calibri" w:cs="Times New Roman"/>
          <w:bCs/>
          <w:szCs w:val="24"/>
        </w:rPr>
        <w:fldChar w:fldCharType="begin" w:fldLock="1"/>
      </w:r>
      <w:r w:rsidR="00900D2E">
        <w:rPr>
          <w:rFonts w:eastAsia="Calibri" w:cs="Times New Roman"/>
          <w:bCs/>
          <w:szCs w:val="24"/>
        </w:rPr>
        <w:instrText>ADDIN CSL_CITATION {"citationItems":[{"id":"ITEM-1","itemData":{"abstract":"The constructivism philosophical paradigm is an efficient tool that can yield many benefits when implemented in the carrying out of research in diverse field of study as well as in undertaking teaching and learning activities at any educational level. There was the need to adopt the qualitative research's powerful tool thus, document analysis to present a literature review on the subject to enlighten researchers and teachers of the great imports, rich and useful information that they can glean from this vibrant paradigm of philosophy. The paper projects, how researchers can be coached with this philosophical paradigm in their selection of research design, instrumentation, theoretical framework and data analysis procedures. It recommends viable instructional strategies that teachers can employ for instructing learners in the constructivist approach. The paper contends strongly that the constructivism philosophical paradigm provides a firm foundation for researches, especially in humanities, education and other behavioral researches while maximizing students' learning outcomes when employed in teaching and learning activities.","author":[{"dropping-particle":"","family":"Adom","given":"Dickson","non-dropping-particle":"","parse-names":false,"suffix":""},{"dropping-particle":"","family":"Attah","given":"Akwasi Yeboah","non-dropping-particle":"","parse-names":false,"suffix":""},{"dropping-particle":"","family":"Ankrah","given":"Kusi","non-dropping-particle":"","parse-names":false,"suffix":""}],"container-title":"Global Journal of Arts Humanities and Social Sciences","id":"ITEM-1","issue":"10","issued":{"date-parts":[["2016"]]},"page":"1-9","title":"Constructivism Philosophical Paradigm: Implication for Research, Teaching and Learning","type":"article-journal","volume":"4"},"uris":["http://www.mendeley.com/documents/?uuid=263364e0-bc7f-4740-a4ac-64d712011c00"]}],"mendeley":{"formattedCitation":"(Adom et al., 2016)","plainTextFormattedCitation":"(Adom et al., 2016)","previouslyFormattedCitation":"(Adom et al., 2016)"},"properties":{"noteIndex":0},"schema":"https://github.com/citation-style-language/schema/raw/master/csl-citation.json"}</w:instrText>
      </w:r>
      <w:r>
        <w:rPr>
          <w:rFonts w:eastAsia="Calibri" w:cs="Times New Roman"/>
          <w:bCs/>
          <w:szCs w:val="24"/>
        </w:rPr>
        <w:fldChar w:fldCharType="separate"/>
      </w:r>
      <w:r>
        <w:rPr>
          <w:rFonts w:eastAsia="Calibri" w:cs="Times New Roman"/>
          <w:bCs/>
          <w:noProof/>
          <w:szCs w:val="24"/>
        </w:rPr>
        <w:t>(Adom et al., 2016)</w:t>
      </w:r>
      <w:r>
        <w:rPr>
          <w:rFonts w:eastAsia="Calibri" w:cs="Times New Roman"/>
          <w:bCs/>
          <w:szCs w:val="24"/>
        </w:rPr>
        <w:fldChar w:fldCharType="end"/>
      </w:r>
      <w:r>
        <w:rPr>
          <w:rFonts w:eastAsia="Calibri" w:cs="Times New Roman"/>
          <w:bCs/>
          <w:szCs w:val="24"/>
        </w:rPr>
        <w:t>. This study was guided by constructivist paradigm to uncover the relationship between climate change and pastoralists mobility. Since this paradigm is based on people’s experiences, it was appropriate for a study of this nature.</w:t>
      </w:r>
      <w:bookmarkStart w:id="67" w:name="_Toc128438192"/>
    </w:p>
    <w:p w:rsidR="00E53882" w:rsidRDefault="00B16FF7">
      <w:pPr>
        <w:pStyle w:val="Heading2"/>
        <w:spacing w:line="480" w:lineRule="auto"/>
        <w:rPr>
          <w:rFonts w:eastAsia="Calibri"/>
        </w:rPr>
      </w:pPr>
      <w:bookmarkStart w:id="68" w:name="_Toc164261698"/>
      <w:r>
        <w:rPr>
          <w:rFonts w:eastAsia="Calibri"/>
        </w:rPr>
        <w:t>3.2.2 Research Approach</w:t>
      </w:r>
      <w:bookmarkEnd w:id="67"/>
      <w:bookmarkEnd w:id="68"/>
    </w:p>
    <w:p w:rsidR="00E53882" w:rsidRDefault="00B16FF7">
      <w:pPr>
        <w:autoSpaceDE w:val="0"/>
        <w:autoSpaceDN w:val="0"/>
        <w:adjustRightInd w:val="0"/>
        <w:spacing w:after="0" w:line="480" w:lineRule="auto"/>
        <w:rPr>
          <w:rFonts w:eastAsia="Calibri" w:cs="Times New Roman"/>
          <w:szCs w:val="24"/>
        </w:rPr>
      </w:pPr>
      <w:bookmarkStart w:id="69" w:name="_Toc128438193"/>
      <w:r>
        <w:rPr>
          <w:rFonts w:eastAsia="Calibri" w:cs="Times New Roman"/>
          <w:szCs w:val="24"/>
        </w:rPr>
        <w:t xml:space="preserve">Scholars have identified three approaches to research. These are qualitative, quantitative, and mixed approaches. For the purpose of this study, I adopted the qualitative approach to uncover the relationship between climate change and pastoralists mobility. According to methodological commentators, the key distinction between these methods is how each discipline handle data. They further stated that, the choice of every approach depend on the research questions and objective </w:t>
      </w:r>
      <w:r>
        <w:rPr>
          <w:rFonts w:eastAsia="Calibri" w:cs="Times New Roman"/>
          <w:szCs w:val="24"/>
        </w:rPr>
        <w:fldChar w:fldCharType="begin" w:fldLock="1"/>
      </w:r>
      <w:r>
        <w:rPr>
          <w:rFonts w:eastAsia="Calibri" w:cs="Times New Roman"/>
          <w:szCs w:val="24"/>
        </w:rPr>
        <w:instrText>ADDIN CSL_CITATION {"citationItems":[{"id":"ITEM-1","itemData":{"DOI":"10.1037/0033-2909.120.2.235","ISSN":"00332909","abstract":"The author develops a theoretical framework relating job involvement to its antecedents, correlates, and consequences and reports meta-analyses of 51 pairwise relationships involving job involvement. Results of the meta-analyses support research suggesting that job involvement is influenced by personality and situational variables. Job involvement was strongly related to job and work attitudes but not to role perceptions, behavioral work outcomes, negative \"side effects,\" or demographic variables. Moderator analyses indicated little difference in the strength of relationships based on involvement measure. The author found modest but systematic differences in the strength of relationships between studies of employees of public versus private organizations. He compares and contrasts the results of this study with meta-analytic findings regarding organizational commitment, discusses important theoretical considerations in the research stream, and offers suggestions for future research. Copyright 1996 by the American Psychological Association, Inc.","author":[{"dropping-particle":"","family":"Brown","given":"Steven P.","non-dropping-particle":"","parse-names":false,"suffix":""}],"container-title":"Psychological Bulletin","id":"ITEM-1","issue":"2","issued":{"date-parts":[["1996"]]},"page":"235-255","title":"A meta-analysis and review of organizational research on job involvement","type":"article-journal","volume":"120"},"uris":["http://www.mendeley.com/documents/?uuid=73989b0c-b383-4547-a587-6b0c69295c16"]}],"mendeley":{"formattedCitation":"(Brown, 1996)","plainTextFormattedCitation":"(Brown, 1996)","previouslyFormattedCitation":"(Brown, 1996)"},"properties":{"noteIndex":0},"schema":"https://github.com/citation-style-language/schema/raw/master/csl-citation.json"}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(Brown, 1996)</w:t>
      </w:r>
      <w:r>
        <w:rPr>
          <w:rFonts w:eastAsia="Calibri" w:cs="Times New Roman"/>
          <w:szCs w:val="24"/>
        </w:rPr>
        <w:fldChar w:fldCharType="end"/>
      </w:r>
      <w:r>
        <w:rPr>
          <w:rFonts w:eastAsia="Calibri" w:cs="Times New Roman"/>
          <w:szCs w:val="24"/>
        </w:rPr>
        <w:t xml:space="preserve">. This show that the value of an approach </w:t>
      </w:r>
      <w:r w:rsidR="00C11C2A">
        <w:rPr>
          <w:rFonts w:eastAsia="Calibri" w:cs="Times New Roman"/>
          <w:szCs w:val="24"/>
        </w:rPr>
        <w:t>depends</w:t>
      </w:r>
      <w:r>
        <w:rPr>
          <w:rFonts w:eastAsia="Calibri" w:cs="Times New Roman"/>
          <w:szCs w:val="24"/>
        </w:rPr>
        <w:t xml:space="preserve"> on its ability to provide answers to the problem under investigation. Therefore, the researcher's approach and aims should be used to decide the study's parameters rather than any set rules </w:t>
      </w:r>
      <w:r>
        <w:rPr>
          <w:rFonts w:eastAsia="Calibri" w:cs="Times New Roman"/>
          <w:szCs w:val="24"/>
        </w:rPr>
        <w:fldChar w:fldCharType="begin" w:fldLock="1"/>
      </w:r>
      <w:r>
        <w:rPr>
          <w:rFonts w:eastAsia="Calibri" w:cs="Times New Roman"/>
          <w:szCs w:val="24"/>
        </w:rPr>
        <w:instrText>ADDIN CSL_CITATION {"citationItems":[{"id":"ITEM-1","itemData":{"author":[{"dropping-particle":"","family":"Patton","given":"Michael Quinn","non-dropping-particle":"","parse-names":false,"suffix":""}],"container-title":"Qualitative Research and Evaluation Methods","id":"ITEM-1","issued":{"date-parts":[["2002"]]},"title":"Patton 2002.pdf","type":"article"},"uris":["http://www.mendeley.com/documents/?uuid=20511924-8418-42cc-a73b-853aec3fe2f2"]}],"mendeley":{"formattedCitation":"(Patton, 2002)","plainTextFormattedCitation":"(Patton, 2002)","previouslyFormattedCitation":"(Patton, 2002)"},"properties":{"noteIndex":0},"schema":"https://github.com/citation-style-language/schema/raw/master/csl-citation.json"}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(Patton, 2002)</w:t>
      </w:r>
      <w:r>
        <w:rPr>
          <w:rFonts w:eastAsia="Calibri" w:cs="Times New Roman"/>
          <w:szCs w:val="24"/>
        </w:rPr>
        <w:fldChar w:fldCharType="end"/>
      </w:r>
      <w:r>
        <w:rPr>
          <w:rFonts w:eastAsia="Calibri" w:cs="Times New Roman"/>
          <w:szCs w:val="24"/>
        </w:rPr>
        <w:t xml:space="preserve">. Qualitative research approach is use in various field to gathered </w:t>
      </w:r>
      <w:r>
        <w:rPr>
          <w:rFonts w:eastAsia="Calibri" w:cs="Times New Roman"/>
          <w:szCs w:val="24"/>
        </w:rPr>
        <w:lastRenderedPageBreak/>
        <w:t xml:space="preserve">an in-depth information into human behaviour, experiences, and social phenomena </w:t>
      </w:r>
      <w:r>
        <w:rPr>
          <w:rFonts w:eastAsia="Calibri" w:cs="Times New Roman"/>
          <w:szCs w:val="24"/>
        </w:rPr>
        <w:fldChar w:fldCharType="begin" w:fldLock="1"/>
      </w:r>
      <w:r>
        <w:rPr>
          <w:rFonts w:eastAsia="Calibri" w:cs="Times New Roman"/>
          <w:szCs w:val="24"/>
        </w:rPr>
        <w:instrText>ADDIN CSL_CITATION {"citationItems":[{"id":"ITEM-1","itemData":{"ISBN":"1506386768","author":[{"dropping-particle":"","family":"Creswell","given":"John W","non-dropping-particle":"","parse-names":false,"suffix":""},{"dropping-particle":"","family":"Creswell","given":"J David","non-dropping-particle":"","parse-names":false,"suffix":""}],"id":"ITEM-1","issued":{"date-parts":[["2018"]]},"publisher":"Sage publications","title":"Research design: Qualitative, and mixed methods approaches","type":"book"},"uris":["http://www.mendeley.com/documents/?uuid=eba9019d-a9a1-4e01-94ff-9a839d00444f"]}],"mendeley":{"formattedCitation":"(Creswell &amp; Creswell, 2018)","plainTextFormattedCitation":"(Creswell &amp; Creswell, 2018)","previouslyFormattedCitation":"(Creswell &amp; Creswell, 2018)"},"properties":{"noteIndex":0},"schema":"https://github.com/citation-style-language/schema/raw/master/csl-citation.json"}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(Creswell &amp; Creswell, 2018)</w:t>
      </w:r>
      <w:r>
        <w:rPr>
          <w:rFonts w:eastAsia="Calibri" w:cs="Times New Roman"/>
          <w:szCs w:val="24"/>
        </w:rPr>
        <w:fldChar w:fldCharType="end"/>
      </w:r>
      <w:r>
        <w:rPr>
          <w:rFonts w:eastAsia="Calibri" w:cs="Times New Roman"/>
          <w:szCs w:val="24"/>
        </w:rPr>
        <w:t xml:space="preserve">. The objective is to get understanding of subjective meaning and interpretation individuals’ attributes to their experiences, instead of relying on quantitative data. Qualitative approach gives the researcher’s the ability to collect and analyse non-numeric data through interviews, observations and document to get a comprehensive understanding of the topic under investigation. The purpose for adopting this approach is that, it employs open-ended inquiries and probing techniques, allowing participants to express themselves freely, as opposed to the constrained choices inherent in quantitative methods. The use of open-ended questions facilitates responses that are meaningful, culturally relevant, unforeseen by the researcher, and comprehensive in nature. Additionally, qualitative methods offer the flexibility to delve into initial participant responses, enabling inquiries into the reasons or mechanisms behind their answers. This flexibility makes qualitative research particularly adept at capturing culturally specific information about the values, opinions, behaviours, relationships, and social contexts of specific populations. Moreover, qualitative methods excel at uncovering intangible factors such as social norms, power dynamics, status, gender roles, ethnicity, and religion—factors that might not be immediately evident in development outcomes. Understanding these elements is crucial for designing policies and programs that deliver optimal value for money </w:t>
      </w:r>
      <w:r>
        <w:rPr>
          <w:rFonts w:eastAsia="Calibri" w:cs="Times New Roman"/>
          <w:szCs w:val="24"/>
        </w:rPr>
        <w:fldChar w:fldCharType="begin" w:fldLock="1"/>
      </w:r>
      <w:r w:rsidR="00900D2E">
        <w:rPr>
          <w:rFonts w:eastAsia="Calibri" w:cs="Times New Roman"/>
          <w:szCs w:val="24"/>
        </w:rPr>
        <w:instrText>ADDIN CSL_CITATION {"citationItems":[{"id":"ITEM-1","itemData":{"ISBN":"1071836757","author":[{"dropping-particle":"","family":"Denzin","given":"Norman K","non-dropping-particle":"","parse-names":false,"suffix":""},{"dropping-particle":"","family":"Lincoln","given":"Yvonna S","non-dropping-particle":"","parse-names":false,"suffix":""},{"dropping-particle":"","family":"Giardina","given":"Michael D","non-dropping-particle":"","parse-names":false,"suffix":""},{"dropping-particle":"","family":"Cannella","given":"Gaile S","non-dropping-particle":"","parse-names":false,"suffix":""}],"id":"ITEM-1","issued":{"date-parts":[["2023"]]},"publisher":"Sage publications","title":"The Sage handbook of qualitative research","type":"book"},"uris":["http://www.mendeley.com/documents/?uuid=4bfa1d78-40f6-4da7-be36-73b9cc7acfc5"]}],"mendeley":{"formattedCitation":"(Denzin et al., 2023)","plainTextFormattedCitation":"(Denzin et al., 2023)","previouslyFormattedCitation":"(Denzin et al., 2023)"},"properties":{"noteIndex":0},"schema":"https://github.com/citation-style-language/schema/raw/master/csl-citation.json"}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(Denzin et al., 2023)</w:t>
      </w:r>
      <w:r>
        <w:rPr>
          <w:rFonts w:eastAsia="Calibri" w:cs="Times New Roman"/>
          <w:szCs w:val="24"/>
        </w:rPr>
        <w:fldChar w:fldCharType="end"/>
      </w:r>
      <w:r>
        <w:rPr>
          <w:rFonts w:eastAsia="Calibri" w:cs="Times New Roman"/>
          <w:szCs w:val="24"/>
        </w:rPr>
        <w:t>. The disadvantage of using this approach is that it is time consuming. It takes longer time to conduct qualitative research. It is also expensive to conduct qualitative research.</w:t>
      </w:r>
    </w:p>
    <w:p w:rsidR="00E53882" w:rsidRDefault="00B16FF7">
      <w:pPr>
        <w:pStyle w:val="Heading2"/>
        <w:spacing w:line="480" w:lineRule="auto"/>
        <w:rPr>
          <w:rFonts w:eastAsia="Calibri"/>
        </w:rPr>
      </w:pPr>
      <w:bookmarkStart w:id="70" w:name="_Toc164261699"/>
      <w:r>
        <w:rPr>
          <w:rFonts w:eastAsia="Calibri"/>
        </w:rPr>
        <w:t>3.2.3 Research Design</w:t>
      </w:r>
      <w:bookmarkEnd w:id="69"/>
      <w:bookmarkEnd w:id="70"/>
    </w:p>
    <w:p w:rsidR="00E53882" w:rsidRDefault="00B16FF7">
      <w:pPr>
        <w:tabs>
          <w:tab w:val="left" w:pos="720"/>
        </w:tabs>
        <w:autoSpaceDE w:val="0"/>
        <w:autoSpaceDN w:val="0"/>
        <w:adjustRightInd w:val="0"/>
        <w:spacing w:after="174" w:line="480" w:lineRule="auto"/>
        <w:rPr>
          <w:rFonts w:eastAsia="Calibri" w:cs="Times New Roman"/>
          <w:szCs w:val="24"/>
        </w:rPr>
      </w:pPr>
      <w:bookmarkStart w:id="71" w:name="_Toc128438194"/>
      <w:r>
        <w:rPr>
          <w:rFonts w:eastAsia="Calibri" w:cs="Times New Roman"/>
          <w:szCs w:val="24"/>
        </w:rPr>
        <w:t xml:space="preserve">The phenomenological research design was adopted for this study to explore individuals' lived experiences and how they make sense of those experiences. This design was suitable for </w:t>
      </w:r>
      <w:r>
        <w:rPr>
          <w:rFonts w:eastAsia="Calibri" w:cs="Times New Roman"/>
          <w:szCs w:val="24"/>
        </w:rPr>
        <w:lastRenderedPageBreak/>
        <w:t xml:space="preserve">understanding how pastoralists perceive and interpret climate change and how it influences their movement. I utilized a combination of focus group interviews, in-depth interviews, key informant interviews, and observation techniques as my primary data collection methods. I applied these methods following a Participatory Rural Approaches to generate qualitative data. The Participatory Rural Approach empowers pastoralists to uncover their own circumstances rather than solely relying on the researcher's interpretation. However, this approach also allows for active researcher involvement, ensuring that the researcher facilitates the process of recall and analysis attentively </w:t>
      </w:r>
      <w:r>
        <w:rPr>
          <w:rFonts w:eastAsia="Calibri" w:cs="Times New Roman"/>
          <w:szCs w:val="24"/>
        </w:rPr>
        <w:fldChar w:fldCharType="begin" w:fldLock="1"/>
      </w:r>
      <w:r>
        <w:rPr>
          <w:rFonts w:eastAsia="Calibri" w:cs="Times New Roman"/>
          <w:szCs w:val="24"/>
        </w:rPr>
        <w:instrText>ADDIN CSL_CITATION {"citationItems":[{"id":"ITEM-1","itemData":{"ISBN":"0903715589","author":[{"dropping-particle":"","family":"Chambers","given":"Robert","non-dropping-particle":"","parse-names":false,"suffix":""},{"dropping-particle":"","family":"Conway","given":"Gordon","non-dropping-particle":"","parse-names":false,"suffix":""}],"id":"ITEM-1","issued":{"date-parts":[["1992"]]},"publisher":"Institute of Development Studies (UK)","title":"Sustainable rural livelihoods: practical concepts for the 21st century","type":"book"},"uris":["http://www.mendeley.com/documents/?uuid=d7614493-8e73-40c3-8577-d876a1f7e987"]}],"mendeley":{"formattedCitation":"(Chambers &amp; Conway, 1992)","plainTextFormattedCitation":"(Chambers &amp; Conway, 1992)","previouslyFormattedCitation":"(Chambers &amp; Conway, 1992)"},"properties":{"noteIndex":0},"schema":"https://github.com/citation-style-language/schema/raw/master/csl-citation.json"}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(Chambers &amp; Conway, 1992)</w:t>
      </w:r>
      <w:r>
        <w:rPr>
          <w:rFonts w:eastAsia="Calibri" w:cs="Times New Roman"/>
          <w:szCs w:val="24"/>
        </w:rPr>
        <w:fldChar w:fldCharType="end"/>
      </w:r>
      <w:r>
        <w:rPr>
          <w:rFonts w:eastAsia="Calibri" w:cs="Times New Roman"/>
          <w:szCs w:val="24"/>
        </w:rPr>
        <w:t>.</w:t>
      </w:r>
    </w:p>
    <w:p w:rsidR="00E53882" w:rsidRDefault="00B16FF7">
      <w:pPr>
        <w:autoSpaceDE w:val="0"/>
        <w:autoSpaceDN w:val="0"/>
        <w:adjustRightInd w:val="0"/>
        <w:spacing w:after="0" w:line="480" w:lineRule="auto"/>
        <w:rPr>
          <w:rFonts w:eastAsia="Calibri" w:cs="Times New Roman"/>
          <w:vanish/>
          <w:color w:val="000000"/>
          <w:szCs w:val="24"/>
        </w:rPr>
      </w:pPr>
      <w:bookmarkStart w:id="72" w:name="_Toc128438198"/>
      <w:bookmarkEnd w:id="71"/>
      <w:r>
        <w:rPr>
          <w:rFonts w:eastAsia="Calibri" w:cs="Times New Roman"/>
          <w:vanish/>
          <w:color w:val="000000"/>
          <w:szCs w:val="24"/>
        </w:rPr>
        <w:t>Top of Form</w:t>
      </w:r>
    </w:p>
    <w:p w:rsidR="00E53882" w:rsidRDefault="00B16FF7">
      <w:pPr>
        <w:pStyle w:val="Heading2"/>
        <w:spacing w:line="480" w:lineRule="auto"/>
        <w:rPr>
          <w:rFonts w:eastAsia="Calibri"/>
        </w:rPr>
      </w:pPr>
      <w:r>
        <w:rPr>
          <w:rFonts w:eastAsia="Calibri"/>
          <w:color w:val="000000"/>
        </w:rPr>
        <w:t xml:space="preserve"> </w:t>
      </w:r>
      <w:bookmarkStart w:id="73" w:name="_Toc164261700"/>
      <w:r>
        <w:rPr>
          <w:rFonts w:eastAsia="Calibri"/>
        </w:rPr>
        <w:t>3.2.4 Study Population, Sampling Techniques and Sample Size</w:t>
      </w:r>
      <w:bookmarkEnd w:id="73"/>
    </w:p>
    <w:p w:rsidR="00E53882" w:rsidRDefault="00B16FF7">
      <w:pPr>
        <w:autoSpaceDE w:val="0"/>
        <w:autoSpaceDN w:val="0"/>
        <w:adjustRightInd w:val="0"/>
        <w:spacing w:after="0" w:line="480" w:lineRule="auto"/>
        <w:rPr>
          <w:rFonts w:eastAsia="Calibri" w:cs="Times New Roman"/>
          <w:szCs w:val="24"/>
        </w:rPr>
      </w:pPr>
      <w:r>
        <w:rPr>
          <w:rFonts w:eastAsia="Calibri" w:cs="Times New Roman"/>
          <w:szCs w:val="24"/>
        </w:rPr>
        <w:t xml:space="preserve">The study focused mainly on the pastoralist’s population of selected communities in the study area. Specifically, the study focuses on those who are currently staying in the study area with their families and those who move into the area on seasonal basis. I also interviewed old cow boys in the districts to see their perceptions on climate change as well as veterinary officer to understand their role in pastoralism. Pastoralist were chosen as the target population for this study because they are among the people who are at the frontline of climate change. There were 15 pastoralist participants in the sample. The participants were carefully chosen to ensure age and experience diversity. In order to find candidates </w:t>
      </w:r>
      <w:r w:rsidR="00C11C2A">
        <w:rPr>
          <w:rFonts w:eastAsia="Calibri" w:cs="Times New Roman"/>
          <w:szCs w:val="24"/>
        </w:rPr>
        <w:t>who,</w:t>
      </w:r>
      <w:r>
        <w:rPr>
          <w:rFonts w:eastAsia="Calibri" w:cs="Times New Roman"/>
          <w:szCs w:val="24"/>
        </w:rPr>
        <w:t xml:space="preserve"> fit the inclusion requirements, the recruitment process involved getting in touch with the local </w:t>
      </w:r>
      <w:proofErr w:type="spellStart"/>
      <w:r>
        <w:rPr>
          <w:rFonts w:eastAsia="Calibri" w:cs="Times New Roman"/>
          <w:szCs w:val="24"/>
        </w:rPr>
        <w:t>Fulbe</w:t>
      </w:r>
      <w:proofErr w:type="spellEnd"/>
      <w:r>
        <w:rPr>
          <w:rFonts w:eastAsia="Calibri" w:cs="Times New Roman"/>
          <w:szCs w:val="24"/>
        </w:rPr>
        <w:t xml:space="preserve"> chief. The participants were interviewed in semi-structured interviews as part of the data collection process. The researcher used an iterative process of data collection and analysis as the interviews went on. Following each interview, transcripts were examined and analysed to spot any new themes and determine whether data saturation had been reached. The researcher conducted ten interviews, and afterward noticed that no new themes were emerging from the </w:t>
      </w:r>
      <w:r>
        <w:rPr>
          <w:rFonts w:eastAsia="Calibri" w:cs="Times New Roman"/>
          <w:szCs w:val="24"/>
        </w:rPr>
        <w:lastRenderedPageBreak/>
        <w:t>data, indicating saturation. Five more interviews were conducted to confirm this, but no fresh themes or insights were discovered. Further data collection was deemed unnecessary at this point because it was determined that data saturation had been reached. The sample of 15 participants offered a wide and varied range of experiences and viewpoints in relation to mobility and climate change. The participants were between the ages of 30 and 75.</w:t>
      </w:r>
      <w:r>
        <w:rPr>
          <w:rFonts w:eastAsia="Calibri" w:cs="Times New Roman"/>
          <w:vanish/>
          <w:szCs w:val="24"/>
        </w:rPr>
        <w:t>Bottom of Form</w:t>
      </w:r>
    </w:p>
    <w:p w:rsidR="00E53882" w:rsidRDefault="00B16FF7">
      <w:pPr>
        <w:autoSpaceDE w:val="0"/>
        <w:autoSpaceDN w:val="0"/>
        <w:adjustRightInd w:val="0"/>
        <w:spacing w:after="0" w:line="480" w:lineRule="auto"/>
        <w:rPr>
          <w:rFonts w:eastAsia="Calibri" w:cs="Times New Roman"/>
          <w:color w:val="000000"/>
          <w:szCs w:val="24"/>
        </w:rPr>
      </w:pPr>
      <w:r>
        <w:rPr>
          <w:rFonts w:eastAsia="Calibri" w:cs="Times New Roman"/>
          <w:color w:val="000000"/>
          <w:szCs w:val="24"/>
        </w:rPr>
        <w:t xml:space="preserve">The purposive sampling technique was used in selecting the research participants.  According to </w:t>
      </w:r>
      <w:r>
        <w:rPr>
          <w:rFonts w:eastAsia="Calibri" w:cs="Times New Roman"/>
          <w:color w:val="000000"/>
          <w:szCs w:val="24"/>
        </w:rPr>
        <w:fldChar w:fldCharType="begin" w:fldLock="1"/>
      </w:r>
      <w:r>
        <w:rPr>
          <w:rFonts w:eastAsia="Calibri" w:cs="Times New Roman"/>
          <w:color w:val="000000"/>
          <w:szCs w:val="24"/>
        </w:rPr>
        <w:instrText>ADDIN CSL_CITATION {"citationItems":[{"id":"ITEM-1","itemData":{"ISBN":"0787910090","author":[{"dropping-particle":"","family":"Merriam","given":"Sharan B","non-dropping-particle":"","parse-names":false,"suffix":""}],"id":"ITEM-1","issued":{"date-parts":[["1998"]]},"publisher":"ERIC","title":"Qualitative Research and Case Study Applications in Education. Revised and Expanded from\" Case Study Research in Education.\".","type":"book"},"uris":["http://www.mendeley.com/documents/?uuid=64214ed5-0a5a-415e-9965-e500b8bd7813"]}],"mendeley":{"formattedCitation":"(Merriam, 1998)","manualFormatting":"Merriam, (1998)","plainTextFormattedCitation":"(Merriam, 1998)","previouslyFormattedCitation":"(Merriam, 1998)"},"properties":{"noteIndex":0},"schema":"https://github.com/citation-style-language/schema/raw/master/csl-citation.json"}</w:instrText>
      </w:r>
      <w:r>
        <w:rPr>
          <w:rFonts w:eastAsia="Calibri" w:cs="Times New Roman"/>
          <w:color w:val="000000"/>
          <w:szCs w:val="24"/>
        </w:rPr>
        <w:fldChar w:fldCharType="separate"/>
      </w:r>
      <w:r>
        <w:rPr>
          <w:rFonts w:eastAsia="Calibri" w:cs="Times New Roman"/>
          <w:noProof/>
          <w:color w:val="000000"/>
          <w:szCs w:val="24"/>
        </w:rPr>
        <w:t>Merriam, (1998)</w:t>
      </w:r>
      <w:r>
        <w:rPr>
          <w:rFonts w:eastAsia="Calibri" w:cs="Times New Roman"/>
          <w:color w:val="000000"/>
          <w:szCs w:val="24"/>
        </w:rPr>
        <w:fldChar w:fldCharType="end"/>
      </w:r>
      <w:r>
        <w:rPr>
          <w:rFonts w:eastAsia="Calibri" w:cs="Times New Roman"/>
          <w:color w:val="000000"/>
          <w:szCs w:val="24"/>
        </w:rPr>
        <w:t xml:space="preserve">, "Purposive sampling is based on the assumption that one wants to discover, understand, and gain insight; therefore, one needs to select a sample from which one can learn most." This study gathered data from different perspectives and different participants. The purposive sampling helped the researcher to select a specific number of respondents who had in-depth experience in pastoralism. The logic and power of using purposive sampling for this study was derived from the researcher’s quest for an in-depth understanding and appreciation of the way pastoralists deal with issues of climate change. This technique was used to sample participants for key informant interviews, in-depth interviews, focus group discussion and participatory approaches. The </w:t>
      </w:r>
      <w:proofErr w:type="spellStart"/>
      <w:r>
        <w:rPr>
          <w:rFonts w:eastAsia="Calibri" w:cs="Times New Roman"/>
          <w:color w:val="000000"/>
          <w:szCs w:val="24"/>
        </w:rPr>
        <w:t>Gusheigu</w:t>
      </w:r>
      <w:proofErr w:type="spellEnd"/>
      <w:r>
        <w:rPr>
          <w:rFonts w:eastAsia="Calibri" w:cs="Times New Roman"/>
          <w:color w:val="000000"/>
          <w:szCs w:val="24"/>
        </w:rPr>
        <w:t xml:space="preserve"> Municipal was also selected purposively from the districts in the Northern region and the study communities too were purposively selected from the municipal. </w:t>
      </w:r>
    </w:p>
    <w:p w:rsidR="00E53882" w:rsidRDefault="00B16FF7">
      <w:pPr>
        <w:pStyle w:val="Heading2"/>
        <w:spacing w:line="480" w:lineRule="auto"/>
        <w:rPr>
          <w:rFonts w:eastAsia="Calibri"/>
        </w:rPr>
      </w:pPr>
      <w:bookmarkStart w:id="74" w:name="_Toc164261701"/>
      <w:r>
        <w:rPr>
          <w:rFonts w:eastAsia="Calibri"/>
        </w:rPr>
        <w:t>3.2.5 Data Collection and Instruments</w:t>
      </w:r>
      <w:bookmarkEnd w:id="74"/>
    </w:p>
    <w:p w:rsidR="00E53882" w:rsidRDefault="00B16FF7">
      <w:pPr>
        <w:spacing w:line="480" w:lineRule="auto"/>
        <w:rPr>
          <w:rFonts w:eastAsia="Calibri" w:cs="Times New Roman"/>
          <w:bCs/>
          <w:color w:val="000000"/>
          <w:szCs w:val="24"/>
        </w:rPr>
      </w:pPr>
      <w:r>
        <w:rPr>
          <w:rFonts w:eastAsia="Calibri" w:cs="Times New Roman"/>
          <w:bCs/>
          <w:color w:val="000000"/>
          <w:szCs w:val="24"/>
        </w:rPr>
        <w:t xml:space="preserve">Data was </w:t>
      </w:r>
      <w:r w:rsidR="000C40E7">
        <w:rPr>
          <w:rFonts w:eastAsia="Calibri" w:cs="Times New Roman"/>
          <w:bCs/>
          <w:color w:val="000000"/>
          <w:szCs w:val="24"/>
        </w:rPr>
        <w:t>obtained</w:t>
      </w:r>
      <w:r>
        <w:rPr>
          <w:rFonts w:eastAsia="Calibri" w:cs="Times New Roman"/>
          <w:bCs/>
          <w:color w:val="000000"/>
          <w:szCs w:val="24"/>
        </w:rPr>
        <w:t xml:space="preserve"> from primary sources through key informant interviews, in-depth interviews, observation, and focus group discussion.  These instruments were used because they provide valuable insights into the characteristics of pastoralists in host communities, their perceptions of climate change, and the relationship between pastoralists' mobility and climate change. I began this process by contacting the </w:t>
      </w:r>
      <w:proofErr w:type="spellStart"/>
      <w:r>
        <w:rPr>
          <w:rFonts w:eastAsia="Calibri" w:cs="Times New Roman"/>
          <w:bCs/>
          <w:color w:val="000000"/>
          <w:szCs w:val="24"/>
        </w:rPr>
        <w:t>fulbe</w:t>
      </w:r>
      <w:proofErr w:type="spellEnd"/>
      <w:r>
        <w:rPr>
          <w:rFonts w:eastAsia="Calibri" w:cs="Times New Roman"/>
          <w:bCs/>
          <w:color w:val="000000"/>
          <w:szCs w:val="24"/>
        </w:rPr>
        <w:t xml:space="preserve"> chief and his subjects in the study area. I </w:t>
      </w:r>
      <w:r>
        <w:rPr>
          <w:rFonts w:eastAsia="Calibri" w:cs="Times New Roman"/>
          <w:bCs/>
          <w:color w:val="000000"/>
          <w:szCs w:val="24"/>
        </w:rPr>
        <w:lastRenderedPageBreak/>
        <w:t>presented some kola as part of the community entry protocols to build rapport and also gained trust from the respondents. Pastoralist are very reserved people and do not like to share their experiences with people outside their tribe, but through this process I was able to gained their trust. After this process I started with key informant interviews, followed by in-depth interviews, and focus group discussion was the last. Observations were made throughout the data collection period.</w:t>
      </w:r>
    </w:p>
    <w:p w:rsidR="00E53882" w:rsidRDefault="00B16FF7">
      <w:pPr>
        <w:spacing w:line="480" w:lineRule="auto"/>
        <w:rPr>
          <w:rFonts w:eastAsia="Calibri" w:cs="Times New Roman"/>
          <w:bCs/>
          <w:color w:val="000000"/>
          <w:szCs w:val="24"/>
        </w:rPr>
      </w:pPr>
      <w:r>
        <w:rPr>
          <w:rFonts w:eastAsia="Calibri" w:cs="Times New Roman"/>
          <w:bCs/>
          <w:color w:val="000000"/>
          <w:szCs w:val="24"/>
        </w:rPr>
        <w:t xml:space="preserve">Key informant interviews were conducted with individuals who possess expertise and knowledge relevant to the research topic. These key informants include the </w:t>
      </w:r>
      <w:proofErr w:type="spellStart"/>
      <w:r>
        <w:rPr>
          <w:rFonts w:eastAsia="Calibri" w:cs="Times New Roman"/>
          <w:bCs/>
          <w:color w:val="000000"/>
          <w:szCs w:val="24"/>
        </w:rPr>
        <w:t>Fulbe</w:t>
      </w:r>
      <w:proofErr w:type="spellEnd"/>
      <w:r>
        <w:rPr>
          <w:rFonts w:eastAsia="Calibri" w:cs="Times New Roman"/>
          <w:bCs/>
          <w:color w:val="000000"/>
          <w:szCs w:val="24"/>
        </w:rPr>
        <w:t xml:space="preserve"> chief, veterinary officer, old </w:t>
      </w:r>
      <w:proofErr w:type="spellStart"/>
      <w:r>
        <w:rPr>
          <w:rFonts w:eastAsia="Calibri" w:cs="Times New Roman"/>
          <w:bCs/>
          <w:color w:val="000000"/>
          <w:szCs w:val="24"/>
        </w:rPr>
        <w:t>Dagomba</w:t>
      </w:r>
      <w:proofErr w:type="spellEnd"/>
      <w:r>
        <w:rPr>
          <w:rFonts w:eastAsia="Calibri" w:cs="Times New Roman"/>
          <w:bCs/>
          <w:color w:val="000000"/>
          <w:szCs w:val="24"/>
        </w:rPr>
        <w:t xml:space="preserve"> cowboys, and selected leaders in some of the study's communities. In all, the researchers conducted six (6) key informant interviews. Through these interviews, the researcher gathered information about the characteristics of pastoralists in the host communities, their relationships with the local people, and other relevant factors. Key informants also provided insights into the perception of climate change and its adaptation measures.</w:t>
      </w:r>
    </w:p>
    <w:p w:rsidR="00E53882" w:rsidRDefault="00B16FF7">
      <w:pPr>
        <w:spacing w:line="480" w:lineRule="auto"/>
        <w:rPr>
          <w:rFonts w:eastAsia="Calibri" w:cs="Times New Roman"/>
          <w:bCs/>
          <w:color w:val="000000"/>
          <w:szCs w:val="24"/>
        </w:rPr>
      </w:pPr>
      <w:r>
        <w:rPr>
          <w:rFonts w:eastAsia="Calibri" w:cs="Times New Roman"/>
          <w:bCs/>
          <w:color w:val="000000"/>
          <w:szCs w:val="24"/>
        </w:rPr>
        <w:t xml:space="preserve">In-depth interviews were conducted with individual pastoralists who have experienced climate change and mobility. These interviews were primarily about exploring their perceptions of climate change and its impact on their livelihoods. Through one-on-one conversations with pastoralists, the researcher gained a deeper understanding of their life experiences, coping strategies and adaptation measures in response to climate change. The interviews also examined the connection between herders' mobility patterns and climate change and examined how environmental factors and changing conditions influence their decisions to migrate or </w:t>
      </w:r>
      <w:r>
        <w:rPr>
          <w:rFonts w:eastAsia="Calibri" w:cs="Times New Roman"/>
          <w:bCs/>
          <w:color w:val="000000"/>
          <w:szCs w:val="24"/>
        </w:rPr>
        <w:lastRenderedPageBreak/>
        <w:t>move within or outside the country. In total, the researchers conducted 15 in-depth interviews using an interview guide.</w:t>
      </w:r>
    </w:p>
    <w:p w:rsidR="00E53882" w:rsidRPr="00B16FF7" w:rsidRDefault="00B16FF7">
      <w:pPr>
        <w:spacing w:line="480" w:lineRule="auto"/>
        <w:rPr>
          <w:rFonts w:cs="Times New Roman"/>
          <w:szCs w:val="24"/>
        </w:rPr>
      </w:pPr>
      <w:r>
        <w:rPr>
          <w:rFonts w:cs="Times New Roman"/>
          <w:szCs w:val="24"/>
        </w:rPr>
        <w:t>Focus group discussions (FGDs) with pastoralists were held to examine their perceptions and experiences regarding mobility and climate change. Eight (8) participants in total were purposefully chosen by each study community to participate in FGDs.  The researcher facilitated the conversation by posing open-ended questions and inviting participants to express their ideas and personal experiences regarding mobility and climate change. Natural conversations between participants were made possible by the manner in which the discussions were conducted. Additionally, they talked about the adaptation techniques they have employed in response to these changes. The conversation went on for three hours and ten minutes. I have included the two participatory approaches that I adopted in this study.</w:t>
      </w:r>
    </w:p>
    <w:p w:rsidR="00E53882" w:rsidRDefault="00B16FF7">
      <w:pPr>
        <w:spacing w:line="480" w:lineRule="auto"/>
        <w:rPr>
          <w:rFonts w:cs="Times New Roman"/>
          <w:szCs w:val="24"/>
        </w:rPr>
      </w:pPr>
      <w:r>
        <w:rPr>
          <w:rFonts w:cs="Times New Roman"/>
          <w:szCs w:val="24"/>
        </w:rPr>
        <w:t xml:space="preserve">Participant observations involve researchers immersing themselves in the community or context under the study to directly observe and document behaviours, interactions, and events </w:t>
      </w:r>
      <w:r>
        <w:rPr>
          <w:rFonts w:cs="Times New Roman"/>
          <w:szCs w:val="24"/>
        </w:rPr>
        <w:fldChar w:fldCharType="begin" w:fldLock="1"/>
      </w:r>
      <w:r>
        <w:rPr>
          <w:rFonts w:cs="Times New Roman"/>
          <w:szCs w:val="24"/>
        </w:rPr>
        <w:instrText>ADDIN CSL_CITATION {"citationItems":[{"id":"ITEM-1","itemData":{"DOI":"10.2307/3318111","author":[{"dropping-particle":"","family":"Spradley","given":"James","non-dropping-particle":"","parse-names":false,"suffix":""}],"container-title":"Anthropological quaterly","id":"ITEM-1","issue":"March","issued":{"date-parts":[["1980"]]},"page":"4-7","title":"Review Reviewed Work ( s ): Participant Observation by James P . Spradley Review by : Nicola Tannenbaum Published by : The George Washington University Institute for Ethnographic Research Stable URL : http://www.jstor.org/stable/3318111","type":"article-journal","volume":"53"},"uris":["http://www.mendeley.com/documents/?uuid=3b8dc21c-f2ce-444a-a6e1-18f60937b466"]}],"mendeley":{"formattedCitation":"(Spradley, 1980)","plainTextFormattedCitation":"(Spradley, 1980)","previouslyFormattedCitation":"(Spradley, 1980)"},"properties":{"noteIndex":0},"schema":"https://github.com/citation-style-language/schema/raw/master/csl-citation.json"}</w:instrText>
      </w:r>
      <w:r>
        <w:rPr>
          <w:rFonts w:cs="Times New Roman"/>
          <w:szCs w:val="24"/>
        </w:rPr>
        <w:fldChar w:fldCharType="separate"/>
      </w:r>
      <w:r>
        <w:rPr>
          <w:rFonts w:cs="Times New Roman"/>
          <w:noProof/>
          <w:szCs w:val="24"/>
        </w:rPr>
        <w:t>(Spradley, 1980)</w:t>
      </w:r>
      <w:r>
        <w:rPr>
          <w:rFonts w:cs="Times New Roman"/>
          <w:szCs w:val="24"/>
        </w:rPr>
        <w:fldChar w:fldCharType="end"/>
      </w:r>
      <w:r>
        <w:rPr>
          <w:rFonts w:cs="Times New Roman"/>
          <w:szCs w:val="24"/>
        </w:rPr>
        <w:t>. In this study, participant observations were used to gain a deeper understanding of how climate change influences mobility patterns in real time. The researchers spent an extended period living within the study area. This allowed the researchers to observe first-hand how climate-related factors, such as changing weather patterns and resource availability, influenced the decisions and movements of pastoralists. The researchers documented observations through field notes, capturing details about when and why pastoralists decided to move their herds, the routes they took, and the challenges they encountered. This method provided rich contextual data that complemented the insights gained from the FGDs.</w:t>
      </w:r>
    </w:p>
    <w:p w:rsidR="00E53882" w:rsidRDefault="00B16FF7">
      <w:pPr>
        <w:pStyle w:val="Heading2"/>
        <w:spacing w:line="480" w:lineRule="auto"/>
      </w:pPr>
      <w:bookmarkStart w:id="75" w:name="_Toc164261702"/>
      <w:r>
        <w:lastRenderedPageBreak/>
        <w:t>Participatory Tools</w:t>
      </w:r>
      <w:bookmarkEnd w:id="75"/>
    </w:p>
    <w:p w:rsidR="00E53882" w:rsidRDefault="00B16FF7">
      <w:pPr>
        <w:spacing w:line="480" w:lineRule="auto"/>
        <w:rPr>
          <w:rFonts w:cs="Times New Roman"/>
          <w:szCs w:val="24"/>
        </w:rPr>
      </w:pPr>
      <w:r>
        <w:rPr>
          <w:rFonts w:cs="Times New Roman"/>
          <w:szCs w:val="24"/>
        </w:rPr>
        <w:t xml:space="preserve">Participatory tools and activities aim to shift power dynamics from the researcher to the participants in the research process. After the researcher explains the exercise, participants generate their own data using the tool. This data is often visual, making these tools suitable for use with participants with lower literacy levels. In group settings, data is generated interactively, with members collaborating and discussing together </w:t>
      </w:r>
      <w:r>
        <w:rPr>
          <w:rFonts w:cs="Times New Roman"/>
          <w:szCs w:val="24"/>
        </w:rPr>
        <w:fldChar w:fldCharType="begin" w:fldLock="1"/>
      </w:r>
      <w:r>
        <w:rPr>
          <w:rFonts w:cs="Times New Roman"/>
          <w:szCs w:val="24"/>
        </w:rPr>
        <w:instrText>ADDIN CSL_CITATION {"citationItems":[{"id":"ITEM-1","itemData":{"author":[{"dropping-particle":"","family":"Sontakki","given":"Bharat","non-dropping-particle":"","parse-names":false,"suffix":""},{"dropping-particle":"","family":"Venkatesan","given":"Purushothaman","non-dropping-particle":"","parse-names":false,"suffix":""}],"id":"ITEM-1","issue":"September","issued":{"date-parts":[["2019"]]},"title":"Participatory Rural Appraisal(PRA):Tools &amp; Techniques","type":"article-journal"},"uris":["http://www.mendeley.com/documents/?uuid=5cd9dabd-fe9e-4fe6-ae74-1aa67efd7e81"]}],"mendeley":{"formattedCitation":"(Sontakki &amp; Venkatesan, 2019)","plainTextFormattedCitation":"(Sontakki &amp; Venkatesan, 2019)","previouslyFormattedCitation":"(Sontakki &amp; Venkatesan, 2019)"},"properties":{"noteIndex":0},"schema":"https://github.com/citation-style-language/schema/raw/master/csl-citation.json"}</w:instrText>
      </w:r>
      <w:r>
        <w:rPr>
          <w:rFonts w:cs="Times New Roman"/>
          <w:szCs w:val="24"/>
        </w:rPr>
        <w:fldChar w:fldCharType="separate"/>
      </w:r>
      <w:r>
        <w:rPr>
          <w:rFonts w:cs="Times New Roman"/>
          <w:noProof/>
          <w:szCs w:val="24"/>
        </w:rPr>
        <w:t>(Sontakki &amp; Venkatesan, 2019)</w:t>
      </w:r>
      <w:r>
        <w:rPr>
          <w:rFonts w:cs="Times New Roman"/>
          <w:szCs w:val="24"/>
        </w:rPr>
        <w:fldChar w:fldCharType="end"/>
      </w:r>
      <w:r>
        <w:rPr>
          <w:rFonts w:cs="Times New Roman"/>
          <w:szCs w:val="24"/>
        </w:rPr>
        <w:t xml:space="preserve">. The researcher encourages participants to </w:t>
      </w:r>
      <w:proofErr w:type="spellStart"/>
      <w:r>
        <w:rPr>
          <w:rFonts w:cs="Times New Roman"/>
          <w:szCs w:val="24"/>
        </w:rPr>
        <w:t>analyze</w:t>
      </w:r>
      <w:proofErr w:type="spellEnd"/>
      <w:r>
        <w:rPr>
          <w:rFonts w:cs="Times New Roman"/>
          <w:szCs w:val="24"/>
        </w:rPr>
        <w:t xml:space="preserve"> and reflect on the information produced through the exercise to derive findings and insights. Participatory tools include activities like seasonal calendar, social mapping, ranking and scoring exercises, social mapping, mobility map etc. These participatory research tools can be utilized independently as part of a broader research initiative or integrated into other qualitative methods. For instance, a researcher might incorporate a ranking exercise into an in-depth interview or a focus group discussion. Similarly, a mapping exercise could be employed during participant observation </w:t>
      </w:r>
      <w:r>
        <w:rPr>
          <w:rFonts w:cs="Times New Roman"/>
          <w:szCs w:val="24"/>
        </w:rPr>
        <w:fldChar w:fldCharType="begin" w:fldLock="1"/>
      </w:r>
      <w:r>
        <w:rPr>
          <w:rFonts w:cs="Times New Roman"/>
          <w:szCs w:val="24"/>
        </w:rPr>
        <w:instrText>ADDIN CSL_CITATION {"citationItems":[{"id":"ITEM-1","itemData":{"author":[{"dropping-particle":"","family":"Sontakki","given":"Bharat","non-dropping-particle":"","parse-names":false,"suffix":""},{"dropping-particle":"","family":"Venkatesan","given":"Purushothaman","non-dropping-particle":"","parse-names":false,"suffix":""}],"id":"ITEM-1","issue":"September","issued":{"date-parts":[["2019"]]},"title":"Participatory Rural Appraisal(PRA):Tools &amp; Techniques","type":"article-journal"},"uris":["http://www.mendeley.com/documents/?uuid=5cd9dabd-fe9e-4fe6-ae74-1aa67efd7e81"]},{"id":"ITEM-2","itemData":{"DOI":"10.1007/978-981-10-7035-8","ISBN":"9789811070358","abstract":"OBJECTIVE The aim of this study was to explore the burden of care for patients undergoing hemodialysis from the experiences of family caregivers. METHODS In this qualitative study, a content analysis approach was used for data collection and analysis. Participants were 16 family caregivers selected through purposive sampling from four medical education centers affiliated with Ahvaz Jundishapur University of Medical Sciences, Iran. Semi-structured interviews were held to collect data. RESULTS Four categories were developed as follows: ‘care challenges’, ‘psychological vulnerabilities’, ‘the chronic nature of care ’and “care in the shade”. The categories led to the development of the main theme of ‘progressive exhaustion’ experienced by the family caregivers during the provision of care to patients undergoing hemodialysis. CONCLUSION Family caregivers have a significant role in the process of patient care, and this role leads them to progressive exhaustion; therefore, the overall health of the caregivers should be taken into account and more attention should be paid to their quality of life, social welfare, and satisfaction level.","author":[{"dropping-particle":"","family":"Cochrane","given":"Logan","non-dropping-particle":"","parse-names":false,"suffix":""},{"dropping-particle":"","family":"Corbett","given":"Jon","non-dropping-particle":"","parse-names":false,"suffix":""}],"container-title":"Handbook of Communication for Development and Social Change","id":"ITEM-2","issue":"August 2018","issued":{"date-parts":[["2020"]]},"title":"Handbook of Communication for Development and Social Change","type":"article-journal"},"uris":["http://www.mendeley.com/documents/?uuid=0200956d-b517-43dc-b7a3-695a79fd5165"]}],"mendeley":{"formattedCitation":"(Cochrane &amp; Corbett, 2020; Sontakki &amp; Venkatesan, 2019)","plainTextFormattedCitation":"(Cochrane &amp; Corbett, 2020; Sontakki &amp; Venkatesan, 2019)","previouslyFormattedCitation":"(Cochrane &amp; Corbett, 2020; Sontakki &amp; Venkatesan, 2019)"},"properties":{"noteIndex":0},"schema":"https://github.com/citation-style-language/schema/raw/master/csl-citation.json"}</w:instrText>
      </w:r>
      <w:r>
        <w:rPr>
          <w:rFonts w:cs="Times New Roman"/>
          <w:szCs w:val="24"/>
        </w:rPr>
        <w:fldChar w:fldCharType="separate"/>
      </w:r>
      <w:r>
        <w:rPr>
          <w:rFonts w:cs="Times New Roman"/>
          <w:noProof/>
          <w:szCs w:val="24"/>
        </w:rPr>
        <w:t>(Cochrane &amp; Corbett, 2020; Sontakki &amp; Venkatesan, 2019)</w:t>
      </w:r>
      <w:r>
        <w:rPr>
          <w:rFonts w:cs="Times New Roman"/>
          <w:szCs w:val="24"/>
        </w:rPr>
        <w:fldChar w:fldCharType="end"/>
      </w:r>
      <w:r>
        <w:rPr>
          <w:rFonts w:cs="Times New Roman"/>
          <w:szCs w:val="24"/>
        </w:rPr>
        <w:t>. In this study, I have incorporated participatory mapping and seasonal calendar technique into the focus group process.</w:t>
      </w:r>
    </w:p>
    <w:p w:rsidR="00E53882" w:rsidRDefault="00B16FF7">
      <w:pPr>
        <w:pStyle w:val="Heading2"/>
        <w:spacing w:line="480" w:lineRule="auto"/>
      </w:pPr>
      <w:bookmarkStart w:id="76" w:name="_Toc164261703"/>
      <w:r>
        <w:t>Participatory mapping</w:t>
      </w:r>
      <w:bookmarkEnd w:id="76"/>
    </w:p>
    <w:p w:rsidR="00E53882" w:rsidRDefault="00B16FF7">
      <w:pPr>
        <w:spacing w:line="480" w:lineRule="auto"/>
        <w:rPr>
          <w:b/>
          <w:bCs/>
        </w:rPr>
      </w:pPr>
      <w:r>
        <w:rPr>
          <w:rFonts w:cs="Times New Roman"/>
          <w:szCs w:val="24"/>
        </w:rPr>
        <w:t xml:space="preserve">Participatory mapping is a cartographic approach aimed at revealing the connection between a location and local communities. Through the creation of maps, this method visually represents the relationship a community has with its surroundings, highlighting both physical and sociocultural aspects deemed significant by the community. Moreover, the participatory mapping process emphasizes the importance of fostering an inclusive environment where all </w:t>
      </w:r>
      <w:r>
        <w:rPr>
          <w:rFonts w:cs="Times New Roman"/>
          <w:szCs w:val="24"/>
        </w:rPr>
        <w:lastRenderedPageBreak/>
        <w:t xml:space="preserve">perspectives can be heard and expressed </w:t>
      </w:r>
      <w:r>
        <w:rPr>
          <w:rFonts w:cs="Times New Roman"/>
          <w:szCs w:val="24"/>
        </w:rPr>
        <w:fldChar w:fldCharType="begin" w:fldLock="1"/>
      </w:r>
      <w:r>
        <w:rPr>
          <w:rFonts w:cs="Times New Roman"/>
          <w:szCs w:val="24"/>
        </w:rPr>
        <w:instrText>ADDIN CSL_CITATION {"citationItems":[{"id":"ITEM-1","itemData":{"DOI":"10.1007/978-981-10-7035-8","ISBN":"9789811070358","abstract":"OBJECTIVE The aim of this study was to explore the burden of care for patients undergoing hemodialysis from the experiences of family caregivers. METHODS In this qualitative study, a content analysis approach was used for data collection and analysis. Participants were 16 family caregivers selected through purposive sampling from four medical education centers affiliated with Ahvaz Jundishapur University of Medical Sciences, Iran. Semi-structured interviews were held to collect data. RESULTS Four categories were developed as follows: ‘care challenges’, ‘psychological vulnerabilities’, ‘the chronic nature of care ’and “care in the shade”. The categories led to the development of the main theme of ‘progressive exhaustion’ experienced by the family caregivers during the provision of care to patients undergoing hemodialysis. CONCLUSION Family caregivers have a significant role in the process of patient care, and this role leads them to progressive exhaustion; therefore, the overall health of the caregivers should be taken into account and more attention should be paid to their quality of life, social welfare, and satisfaction level.","author":[{"dropping-particle":"","family":"Cochrane","given":"Logan","non-dropping-particle":"","parse-names":false,"suffix":""},{"dropping-particle":"","family":"Corbett","given":"Jon","non-dropping-particle":"","parse-names":false,"suffix":""}],"container-title":"Handbook of Communication for Development and Social Change","id":"ITEM-1","issue":"August 2018","issued":{"date-parts":[["2020"]]},"title":"Handbook of Communication for Development and Social Change","type":"article-journal"},"uris":["http://www.mendeley.com/documents/?uuid=0200956d-b517-43dc-b7a3-695a79fd5165"]}],"mendeley":{"formattedCitation":"(Cochrane &amp; Corbett, 2020)","plainTextFormattedCitation":"(Cochrane &amp; Corbett, 2020)","previouslyFormattedCitation":"(Cochrane &amp; Corbett, 2020)"},"properties":{"noteIndex":0},"schema":"https://github.com/citation-style-language/schema/raw/master/csl-citation.json"}</w:instrText>
      </w:r>
      <w:r>
        <w:rPr>
          <w:rFonts w:cs="Times New Roman"/>
          <w:szCs w:val="24"/>
        </w:rPr>
        <w:fldChar w:fldCharType="separate"/>
      </w:r>
      <w:r>
        <w:rPr>
          <w:rFonts w:cs="Times New Roman"/>
          <w:noProof/>
          <w:szCs w:val="24"/>
        </w:rPr>
        <w:t>(Cochrane &amp; Corbett, 2020)</w:t>
      </w:r>
      <w:r>
        <w:rPr>
          <w:rFonts w:cs="Times New Roman"/>
          <w:szCs w:val="24"/>
        </w:rPr>
        <w:fldChar w:fldCharType="end"/>
      </w:r>
      <w:r>
        <w:rPr>
          <w:rFonts w:cs="Times New Roman"/>
          <w:szCs w:val="24"/>
        </w:rPr>
        <w:t>.</w:t>
      </w:r>
      <w:r>
        <w:rPr>
          <w:rFonts w:cs="Times New Roman"/>
          <w:color w:val="374151"/>
          <w:szCs w:val="24"/>
          <w:shd w:val="clear" w:color="auto" w:fill="F7F7F8"/>
        </w:rPr>
        <w:t xml:space="preserve"> </w:t>
      </w:r>
      <w:r>
        <w:rPr>
          <w:rFonts w:cs="Times New Roman"/>
          <w:szCs w:val="24"/>
        </w:rPr>
        <w:t xml:space="preserve">Participatory mapping utilizes various methods, such as sketch mapping, transect mapping, and participatory three-dimensional modelling. In recent times, participatory mapping projects have incorporated advanced geographic information technologies, including Global Positioning Systems (GPS), aerial photographs, satellite-derived images, geographic information systems (GIS), and the geospatial web </w:t>
      </w:r>
      <w:r>
        <w:rPr>
          <w:rFonts w:cs="Times New Roman"/>
          <w:szCs w:val="24"/>
        </w:rPr>
        <w:fldChar w:fldCharType="begin" w:fldLock="1"/>
      </w:r>
      <w:r>
        <w:rPr>
          <w:rFonts w:cs="Times New Roman"/>
          <w:szCs w:val="24"/>
        </w:rPr>
        <w:instrText>ADDIN CSL_CITATION {"citationItems":[{"id":"ITEM-1","itemData":{"DOI":"10.1007/978-981-10-7035-8_6-1","ISBN":"978-981-10-7035-8","abstract":"Participatory and community mapping has emerged as a key tool for identifying and communicating development needs and been further recognized as a means to support social change. Drawing upon a broad assessment of the literature, more than two decades of experience with mapping initiatives from three continents, and covering a diverse array of applications and issues, this chapter explores both the application of participatory and community mapping and the range of impacts experienced. In so doing, the chapter explores the potential effectiveness for participatory and community mapping to effect positive change. At the same time, we will critically review the assumptions about social change and empowerment, highlighting challenges and limitations to their meaningful usage. This chapter provides practitioners and academics with an overview of participatory and community mapping uses, processes, and impacts and their role as a tool of communication for development and social change.","author":[{"dropping-particle":"","family":"Cochrane","given":"Logan","non-dropping-particle":"","parse-names":false,"suffix":""},{"dropping-particle":"","family":"Corbett","given":"Jon","non-dropping-particle":"","parse-names":false,"suffix":""}],"editor":[{"dropping-particle":"","family":"Servaes","given":"Jan","non-dropping-particle":"","parse-names":false,"suffix":""}],"id":"ITEM-1","issued":{"date-parts":[["2018"]]},"page":"1-9","publisher":"Springer Singapore","publisher-place":"Singapore","title":"Participatory Mapping BT  - Handbook of Communication for Development and Social Change","type":"chapter"},"uris":["http://www.mendeley.com/documents/?uuid=59f574f5-e2a0-43d2-80e5-e8c06268ad1e"]}],"mendeley":{"formattedCitation":"(Cochrane &amp; Corbett, 2018)","plainTextFormattedCitation":"(Cochrane &amp; Corbett, 2018)","previouslyFormattedCitation":"(Cochrane &amp; Corbett, 2018)"},"properties":{"noteIndex":0},"schema":"https://github.com/citation-style-language/schema/raw/master/csl-citation.json"}</w:instrText>
      </w:r>
      <w:r>
        <w:rPr>
          <w:rFonts w:cs="Times New Roman"/>
          <w:szCs w:val="24"/>
        </w:rPr>
        <w:fldChar w:fldCharType="separate"/>
      </w:r>
      <w:r>
        <w:rPr>
          <w:rFonts w:cs="Times New Roman"/>
          <w:noProof/>
          <w:szCs w:val="24"/>
        </w:rPr>
        <w:t>(Cochrane &amp; Corbett, 2018)</w:t>
      </w:r>
      <w:r>
        <w:rPr>
          <w:rFonts w:cs="Times New Roman"/>
          <w:szCs w:val="24"/>
        </w:rPr>
        <w:fldChar w:fldCharType="end"/>
      </w:r>
      <w:r>
        <w:rPr>
          <w:rFonts w:cs="Times New Roman"/>
          <w:szCs w:val="24"/>
        </w:rPr>
        <w:t>. I have employed participatory mapping techniques, using GIS to generate mobility map in the study area. Through this techniques pastoralist were able to map out their movement patterns within and outside the study area.</w:t>
      </w:r>
    </w:p>
    <w:p w:rsidR="00E53882" w:rsidRDefault="00B16FF7">
      <w:pPr>
        <w:pStyle w:val="Heading2"/>
        <w:spacing w:before="0" w:after="0" w:line="480" w:lineRule="auto"/>
        <w:rPr>
          <w:lang w:bidi="en-US"/>
        </w:rPr>
      </w:pPr>
      <w:bookmarkStart w:id="77" w:name="_Toc164261704"/>
      <w:r>
        <w:rPr>
          <w:lang w:bidi="en-US"/>
        </w:rPr>
        <w:t>Seasonal Mobility Calendar</w:t>
      </w:r>
      <w:bookmarkEnd w:id="77"/>
    </w:p>
    <w:p w:rsidR="00E53882" w:rsidRDefault="00B16FF7">
      <w:pPr>
        <w:spacing w:before="0" w:after="0" w:line="480" w:lineRule="auto"/>
        <w:rPr>
          <w:rFonts w:cs="Times New Roman"/>
          <w:szCs w:val="24"/>
        </w:rPr>
      </w:pPr>
      <w:r>
        <w:rPr>
          <w:rFonts w:cs="Times New Roman"/>
          <w:szCs w:val="24"/>
          <w:lang w:bidi="en-US"/>
        </w:rPr>
        <w:t xml:space="preserve">A seasonal mobility calendar is a pictorial representation that shows the patterns of movement of individuals, communities, or groups throughout the different seasons of the year </w:t>
      </w:r>
      <w:r>
        <w:rPr>
          <w:rFonts w:cs="Times New Roman"/>
          <w:szCs w:val="24"/>
          <w:lang w:bidi="en-US"/>
        </w:rPr>
        <w:fldChar w:fldCharType="begin" w:fldLock="1"/>
      </w:r>
      <w:r>
        <w:rPr>
          <w:rFonts w:cs="Times New Roman"/>
          <w:szCs w:val="24"/>
          <w:lang w:bidi="en-US"/>
        </w:rPr>
        <w:instrText>ADDIN CSL_CITATION {"citationItems":[{"id":"ITEM-1","itemData":{"author":[{"dropping-particle":"","family":"Sontakki","given":"Bharat","non-dropping-particle":"","parse-names":false,"suffix":""},{"dropping-particle":"","family":"Venkatesan","given":"Purushothaman","non-dropping-particle":"","parse-names":false,"suffix":""}],"id":"ITEM-1","issue":"September","issued":{"date-parts":[["2019"]]},"title":"Participatory Rural Appraisal(PRA):Tools &amp; Techniques","type":"article-journal"},"uris":["http://www.mendeley.com/documents/?uuid=5cd9dabd-fe9e-4fe6-ae74-1aa67efd7e81"]}],"mendeley":{"formattedCitation":"(Sontakki &amp; Venkatesan, 2019)","plainTextFormattedCitation":"(Sontakki &amp; Venkatesan, 2019)","previouslyFormattedCitation":"(Sontakki &amp; Venkatesan, 2019)"},"properties":{"noteIndex":0},"schema":"https://github.com/citation-style-language/schema/raw/master/csl-citation.json"}</w:instrText>
      </w:r>
      <w:r>
        <w:rPr>
          <w:rFonts w:cs="Times New Roman"/>
          <w:szCs w:val="24"/>
          <w:lang w:bidi="en-US"/>
        </w:rPr>
        <w:fldChar w:fldCharType="separate"/>
      </w:r>
      <w:r>
        <w:rPr>
          <w:rFonts w:cs="Times New Roman"/>
          <w:noProof/>
          <w:szCs w:val="24"/>
          <w:lang w:bidi="en-US"/>
        </w:rPr>
        <w:t>(Sontakki &amp; Venkatesan, 2019)</w:t>
      </w:r>
      <w:r>
        <w:rPr>
          <w:rFonts w:cs="Times New Roman"/>
          <w:szCs w:val="24"/>
          <w:lang w:bidi="en-US"/>
        </w:rPr>
        <w:fldChar w:fldCharType="end"/>
      </w:r>
      <w:r>
        <w:rPr>
          <w:rFonts w:cs="Times New Roman"/>
          <w:szCs w:val="24"/>
          <w:lang w:bidi="en-US"/>
        </w:rPr>
        <w:t>. This calendar shows where and when people move to and the reason behind their movement.  It also shows various activities that they performed during this period. With this techniques pastoralist were able to show where and when they move to, with their cattle on seasonal basis throughout the year.</w:t>
      </w:r>
      <w:r>
        <w:rPr>
          <w:rFonts w:cs="Times New Roman"/>
          <w:szCs w:val="24"/>
        </w:rPr>
        <w:t xml:space="preserve"> Through this techniques mobility calendar for the study area was generated. </w:t>
      </w:r>
    </w:p>
    <w:p w:rsidR="000C40E7" w:rsidRDefault="000C40E7">
      <w:pPr>
        <w:spacing w:before="0" w:after="0" w:line="480" w:lineRule="auto"/>
        <w:rPr>
          <w:rFonts w:cs="Times New Roman"/>
          <w:szCs w:val="24"/>
          <w:lang w:bidi="en-US"/>
        </w:rPr>
      </w:pPr>
    </w:p>
    <w:p w:rsidR="00E53882" w:rsidRDefault="00B16FF7">
      <w:pPr>
        <w:pStyle w:val="Heading3"/>
      </w:pPr>
      <w:bookmarkStart w:id="78" w:name="_Toc164261705"/>
      <w:r>
        <w:t>3.3 Data Analysis and Presentation</w:t>
      </w:r>
      <w:bookmarkEnd w:id="72"/>
      <w:bookmarkEnd w:id="78"/>
    </w:p>
    <w:p w:rsidR="00E53882" w:rsidRDefault="00B16FF7">
      <w:pPr>
        <w:spacing w:before="0" w:after="0" w:line="480" w:lineRule="auto"/>
        <w:rPr>
          <w:rFonts w:cs="Times New Roman"/>
          <w:szCs w:val="24"/>
        </w:rPr>
      </w:pPr>
      <w:r>
        <w:rPr>
          <w:rFonts w:cs="Times New Roman"/>
          <w:szCs w:val="24"/>
        </w:rPr>
        <w:t xml:space="preserve">The methodical process of organizing, interpreting, and making sense of the data gathered is included in the data analysis component of qualitative studies </w:t>
      </w:r>
      <w:r>
        <w:rPr>
          <w:rFonts w:cs="Times New Roman"/>
          <w:szCs w:val="24"/>
        </w:rPr>
        <w:fldChar w:fldCharType="begin" w:fldLock="1"/>
      </w:r>
      <w:r w:rsidR="00900D2E">
        <w:rPr>
          <w:rFonts w:cs="Times New Roman"/>
          <w:szCs w:val="24"/>
        </w:rPr>
        <w:instrText>ADDIN CSL_CITATION {"citationItems":[{"id":"ITEM-1","itemData":{"DOI":"10.1177/1534484320903890","ISSN":"15526712","abstract":"Given the vast and diverse qualitative analytic landscape, what might be a generative starting point for researchers who desire to learn how to produce quality qualitative analyses? This question is particularly relevant to researchers new to the field and practice of qualitative research and instructors and mentors who regularly introduce students to qualitative research practices. In this article, we seek to offer what we view as a useful starting point for learning how to do qualitative analysis. We begin by discussing briefly the general landscape of qualitative research methodologies and methods. To contextualize our suggestions, we review the qualitative analytic practices commonly used within human resource development (HRD). Following this, we describe thematic analysis in more detail, including why we believe it is a particularly useful analytic approach to consider when first learning about qualitative analysis. We share seven common practices or important considerations for carrying out a thematic analysis and conclude by highlighting key considerations for assuring quality when conducting a thematic analysis.","author":[{"dropping-particle":"","family":"Lester","given":"Jessica Nina","non-dropping-particle":"","parse-names":false,"suffix":""},{"dropping-particle":"","family":"Cho","given":"Yonjoo","non-dropping-particle":"","parse-names":false,"suffix":""},{"dropping-particle":"","family":"Lochmiller","given":"Chad R.","non-dropping-particle":"","parse-names":false,"suffix":""}],"container-title":"Human Resource Development Review","id":"ITEM-1","issue":"1","issued":{"date-parts":[["2020"]]},"page":"94-106","title":"Learning to Do Qualitative Data Analysis: A Starting Point","type":"article-journal","volume":"19"},"uris":["http://www.mendeley.com/documents/?uuid=6150bef0-a0fb-4dcb-8238-54519c9f14fd"]}],"mendeley":{"formattedCitation":"(Lester et al., 2020)","plainTextFormattedCitation":"(Lester et al., 2020)","previouslyFormattedCitation":"(Lester et al., 2020)"},"properties":{"noteIndex":0},"schema":"https://github.com/citation-style-language/schema/raw/master/csl-citation.json"}</w:instrText>
      </w:r>
      <w:r>
        <w:rPr>
          <w:rFonts w:cs="Times New Roman"/>
          <w:szCs w:val="24"/>
        </w:rPr>
        <w:fldChar w:fldCharType="separate"/>
      </w:r>
      <w:r>
        <w:rPr>
          <w:rFonts w:cs="Times New Roman"/>
          <w:noProof/>
          <w:szCs w:val="24"/>
        </w:rPr>
        <w:t>(Lester et al., 2020)</w:t>
      </w:r>
      <w:r>
        <w:rPr>
          <w:rFonts w:cs="Times New Roman"/>
          <w:szCs w:val="24"/>
        </w:rPr>
        <w:fldChar w:fldCharType="end"/>
      </w:r>
      <w:r>
        <w:rPr>
          <w:rFonts w:cs="Times New Roman"/>
          <w:szCs w:val="24"/>
        </w:rPr>
        <w:t xml:space="preserve">. The methodology for the data analysis is explained in this section, along with the major themes, patterns, or classifications that came to light. The narrative analysis method was used in this study's data analysis, which entailed a methodical review of the stories contained in the data </w:t>
      </w:r>
      <w:r>
        <w:rPr>
          <w:rFonts w:cs="Times New Roman"/>
          <w:szCs w:val="24"/>
        </w:rPr>
        <w:lastRenderedPageBreak/>
        <w:t>that was gathered. To make the analysis process easier, verbatim transcriptions of focus group talks and interviews were made. To obtain a thorough grasp of the participants' experiences, a process of familiarization with the data was first carried out by reading the transcripts numerous times. Next, by labelling data segments that represented significant concepts, ideas, or experiences associated with the subject matter, initial code was generated. To make sure they adequately reflected the richness and depth of the data, these codes were updated and improved through an iterative coding and recoding process. On the basis of their connections and commonalities, the codes were then categorized into initial themes. To make sure they appropriately captured the experiences of the participants and offered insightful information, these themes were examined and improved. To find similarities, differences, and connections between various facets of pastoralist mobility, the themes were also contrasted and compared. Following the identification of themes, the researcher started the process of interpretation and analysis to create a logical story that encapsulated the essence of the data. To enable the contextualization of the findings within a more comprehensive theoretical framework, the themes were examined in relation to the body of literature already available on climate change and pastoralist mobility. This study was able to learn crucial information about the pastoralist's experiences with climate change by employing a strict data analysis procedure. The themes found offer a thorough understanding of these populations' adaptive tactics.</w:t>
      </w:r>
    </w:p>
    <w:p w:rsidR="00E53882" w:rsidRDefault="00E53882">
      <w:pPr>
        <w:pStyle w:val="Heading2"/>
        <w:spacing w:before="0" w:after="0" w:line="480" w:lineRule="auto"/>
      </w:pPr>
      <w:bookmarkStart w:id="79" w:name="_Toc128438199"/>
    </w:p>
    <w:p w:rsidR="00E53882" w:rsidRDefault="00B16FF7">
      <w:pPr>
        <w:pStyle w:val="Heading2"/>
        <w:spacing w:before="0" w:after="0" w:line="480" w:lineRule="auto"/>
      </w:pPr>
      <w:bookmarkStart w:id="80" w:name="_Toc164261706"/>
      <w:r>
        <w:t>3.4 Ethical Considerations</w:t>
      </w:r>
      <w:bookmarkEnd w:id="79"/>
      <w:bookmarkEnd w:id="80"/>
    </w:p>
    <w:p w:rsidR="00E53882" w:rsidRDefault="00B16FF7">
      <w:pPr>
        <w:spacing w:before="0" w:after="0" w:line="480" w:lineRule="auto"/>
        <w:rPr>
          <w:rFonts w:eastAsia="Times New Roman" w:cs="Times New Roman"/>
          <w:color w:val="252525"/>
          <w:szCs w:val="24"/>
          <w:lang w:eastAsia="en-GB"/>
        </w:rPr>
      </w:pPr>
      <w:r>
        <w:rPr>
          <w:rFonts w:eastAsia="Times New Roman" w:cs="Times New Roman"/>
          <w:color w:val="252525"/>
          <w:szCs w:val="24"/>
          <w:lang w:eastAsia="en-GB"/>
        </w:rPr>
        <w:t xml:space="preserve">Ensuring the safeguarding of individuals involved in research by adhering to ethical principles is crucial in any study. Ethical considerations hold special significance in qualitative research, given the thorough nature of the study process. The awareness of ethical issues becomes more </w:t>
      </w:r>
      <w:r>
        <w:rPr>
          <w:rFonts w:eastAsia="Times New Roman" w:cs="Times New Roman"/>
          <w:color w:val="252525"/>
          <w:szCs w:val="24"/>
          <w:lang w:eastAsia="en-GB"/>
        </w:rPr>
        <w:lastRenderedPageBreak/>
        <w:t xml:space="preserve">pronounced, especially when engaging in face-to-face interviews with vulnerable participants. Such individuals might experience heightened stress while articulating their feelings during the interview session </w:t>
      </w:r>
      <w:r>
        <w:rPr>
          <w:rFonts w:eastAsia="Times New Roman" w:cs="Times New Roman"/>
          <w:color w:val="252525"/>
          <w:szCs w:val="24"/>
          <w:lang w:eastAsia="en-GB"/>
        </w:rPr>
        <w:fldChar w:fldCharType="begin" w:fldLock="1"/>
      </w:r>
      <w:r>
        <w:rPr>
          <w:rFonts w:eastAsia="Times New Roman" w:cs="Times New Roman"/>
          <w:color w:val="252525"/>
          <w:szCs w:val="24"/>
          <w:lang w:eastAsia="en-GB"/>
        </w:rPr>
        <w:instrText>ADDIN CSL_CITATION {"citationItems":[{"id":"ITEM-1","itemData":{"DOI":"10.31436/ijcs.v1i2.82","abstract":"The protection of human subjects through the application of appropriate ethical principles is important in all research study. In a qualitative study, ethical considerations have a particular resonance due to the in-depth nature of the study process. The existing ethical guidance for undertaking qualitative research often provide general guidelines rather than focusing on how to apply it in practice, particularly when interviewing a vulnerable group of women. The aim of this paper is to present my own experience of conducting 33 individual face to face interviews on the womenâ€™s experience of postnatal depression across three different cultural backgrounds in Malaysia. This paper reflects on the strategies that can be adopted by a qualitative researcher to ensure that their participantsâ€™ identity is protected throughout recruitment and dissemination process, to deal with participants from different cultural backgrounds, and to handle and manage distress during an interview. The consideration of ethical issues is crucial throughout all stages of the qualitative study to keep the balance between the potential risks of research and the likely benefits of the research.","author":[{"dropping-particle":"","family":"Mohd Arifin","given":"Siti Roshaidai","non-dropping-particle":"","parse-names":false,"suffix":""}],"container-title":"International Journal of Care Scholars","id":"ITEM-1","issue":"2","issued":{"date-parts":[["2018"]]},"page":"30-33","title":"Ethical Considerations in Qualitative Study","type":"article-journal","volume":"1"},"uris":["http://www.mendeley.com/documents/?uuid=66ca1c1b-1e19-44d7-9b97-3232e2d2e07c"]}],"mendeley":{"formattedCitation":"(Mohd Arifin, 2018)","plainTextFormattedCitation":"(Mohd Arifin, 2018)","previouslyFormattedCitation":"(Mohd Arifin, 2018)"},"properties":{"noteIndex":0},"schema":"https://github.com/citation-style-language/schema/raw/master/csl-citation.json"}</w:instrText>
      </w:r>
      <w:r>
        <w:rPr>
          <w:rFonts w:eastAsia="Times New Roman" w:cs="Times New Roman"/>
          <w:color w:val="252525"/>
          <w:szCs w:val="24"/>
          <w:lang w:eastAsia="en-GB"/>
        </w:rPr>
        <w:fldChar w:fldCharType="separate"/>
      </w:r>
      <w:r>
        <w:rPr>
          <w:rFonts w:eastAsia="Times New Roman" w:cs="Times New Roman"/>
          <w:noProof/>
          <w:color w:val="252525"/>
          <w:szCs w:val="24"/>
          <w:lang w:eastAsia="en-GB"/>
        </w:rPr>
        <w:t>(Mohd Arifin, 2018)</w:t>
      </w:r>
      <w:r>
        <w:rPr>
          <w:rFonts w:eastAsia="Times New Roman" w:cs="Times New Roman"/>
          <w:color w:val="252525"/>
          <w:szCs w:val="24"/>
          <w:lang w:eastAsia="en-GB"/>
        </w:rPr>
        <w:fldChar w:fldCharType="end"/>
      </w:r>
      <w:r>
        <w:rPr>
          <w:rFonts w:eastAsia="Times New Roman" w:cs="Times New Roman"/>
          <w:color w:val="252525"/>
          <w:szCs w:val="24"/>
          <w:lang w:eastAsia="en-GB"/>
        </w:rPr>
        <w:t>. For a study of this kind, a researcher needs to be aware of and adhere to the proper research ethics and principles. Research that is focused on the pastoralist movement and climate change needs to be done with great care. The following protocols must be observing during the interview process:</w:t>
      </w:r>
    </w:p>
    <w:p w:rsidR="00E53882" w:rsidRDefault="00B16FF7">
      <w:pPr>
        <w:pStyle w:val="ListParagraph"/>
        <w:numPr>
          <w:ilvl w:val="0"/>
          <w:numId w:val="3"/>
        </w:numPr>
        <w:spacing w:before="0" w:after="0" w:line="480" w:lineRule="auto"/>
        <w:rPr>
          <w:rFonts w:cs="Times New Roman"/>
          <w:szCs w:val="24"/>
        </w:rPr>
      </w:pPr>
      <w:r>
        <w:rPr>
          <w:rFonts w:cs="Times New Roman"/>
          <w:b/>
          <w:szCs w:val="24"/>
        </w:rPr>
        <w:t>Informed Consent and Voluntary Participation:</w:t>
      </w:r>
      <w:r>
        <w:rPr>
          <w:rFonts w:cs="Times New Roman"/>
          <w:szCs w:val="24"/>
        </w:rPr>
        <w:t xml:space="preserve"> The researcher obtained informed consent from all subjects before beginning the research. This includes informing subjects of the risks and benefits of participating in the research and giving them the opportunity to ask questions and make decisions about whether or not to participate.</w:t>
      </w:r>
    </w:p>
    <w:p w:rsidR="00E53882" w:rsidRDefault="00B16FF7">
      <w:pPr>
        <w:pStyle w:val="ListParagraph"/>
        <w:numPr>
          <w:ilvl w:val="0"/>
          <w:numId w:val="3"/>
        </w:numPr>
        <w:spacing w:after="0" w:line="480" w:lineRule="auto"/>
        <w:rPr>
          <w:rFonts w:cs="Times New Roman"/>
          <w:szCs w:val="24"/>
        </w:rPr>
      </w:pPr>
      <w:r>
        <w:rPr>
          <w:rFonts w:cs="Times New Roman"/>
          <w:b/>
          <w:szCs w:val="24"/>
        </w:rPr>
        <w:t>Anonymity and Confidentiality:</w:t>
      </w:r>
      <w:r>
        <w:rPr>
          <w:rFonts w:cs="Times New Roman"/>
          <w:szCs w:val="24"/>
        </w:rPr>
        <w:t xml:space="preserve"> To maintain the anonymity and confidentiality of the participants, their names and identities were not disclosed during the entire process of data collection, analysis, and reporting of the study findings.</w:t>
      </w:r>
      <w:r>
        <w:rPr>
          <w:rFonts w:ascii="Segoe UI" w:hAnsi="Segoe UI" w:cs="Segoe UI"/>
          <w:color w:val="374151"/>
          <w:shd w:val="clear" w:color="auto" w:fill="F7F7F8"/>
        </w:rPr>
        <w:t xml:space="preserve"> </w:t>
      </w:r>
      <w:r>
        <w:rPr>
          <w:rFonts w:cs="Times New Roman"/>
          <w:szCs w:val="24"/>
        </w:rPr>
        <w:t>The privacy and confidentiality of the interview setting were meticulously handled throughout the interview process, as well as during the analysis of data and the sharing of research findings.</w:t>
      </w:r>
    </w:p>
    <w:p w:rsidR="00E53882" w:rsidRDefault="00B16FF7">
      <w:pPr>
        <w:pStyle w:val="ListParagraph"/>
        <w:numPr>
          <w:ilvl w:val="0"/>
          <w:numId w:val="3"/>
        </w:numPr>
        <w:spacing w:after="0" w:line="480" w:lineRule="auto"/>
        <w:rPr>
          <w:rFonts w:cs="Times New Roman"/>
          <w:szCs w:val="24"/>
        </w:rPr>
      </w:pPr>
      <w:r>
        <w:rPr>
          <w:rFonts w:cs="Times New Roman"/>
          <w:b/>
          <w:szCs w:val="24"/>
        </w:rPr>
        <w:t>Analysis and Sharing of Results:</w:t>
      </w:r>
      <w:r>
        <w:rPr>
          <w:rFonts w:cs="Times New Roman"/>
          <w:szCs w:val="24"/>
        </w:rPr>
        <w:t xml:space="preserve"> Transcription of data occurred in a secluded environment, employing earphones to prevent the potential exposure of recordings to others. The identities of participants were systematically omitted during transcription, ensuring the exclusion of names or any distinctive markers of identity. When presenting the study's findings, participants were identified by pseudonyms in the verbatim quotes.</w:t>
      </w:r>
    </w:p>
    <w:p w:rsidR="00E53882" w:rsidRDefault="00B16FF7">
      <w:pPr>
        <w:pStyle w:val="ListParagraph"/>
        <w:numPr>
          <w:ilvl w:val="0"/>
          <w:numId w:val="3"/>
        </w:numPr>
        <w:spacing w:after="0" w:line="480" w:lineRule="auto"/>
        <w:rPr>
          <w:rFonts w:cs="Times New Roman"/>
          <w:szCs w:val="24"/>
        </w:rPr>
      </w:pPr>
      <w:r>
        <w:rPr>
          <w:rFonts w:cs="Times New Roman"/>
          <w:b/>
          <w:szCs w:val="24"/>
        </w:rPr>
        <w:lastRenderedPageBreak/>
        <w:t>Honesty:</w:t>
      </w:r>
      <w:r>
        <w:rPr>
          <w:rFonts w:cs="Times New Roman"/>
          <w:szCs w:val="24"/>
        </w:rPr>
        <w:t xml:space="preserve"> The researcher was honest when conducting this research and reporting the results. This includes being honest about the methods used, the data collected, and the results obtained.</w:t>
      </w:r>
    </w:p>
    <w:p w:rsidR="00E53882" w:rsidRDefault="00B16FF7">
      <w:pPr>
        <w:pStyle w:val="ListParagraph"/>
        <w:numPr>
          <w:ilvl w:val="0"/>
          <w:numId w:val="3"/>
        </w:numPr>
        <w:spacing w:after="0" w:line="480" w:lineRule="auto"/>
        <w:rPr>
          <w:rFonts w:cs="Times New Roman"/>
          <w:szCs w:val="24"/>
        </w:rPr>
      </w:pPr>
      <w:r>
        <w:rPr>
          <w:rFonts w:cs="Times New Roman"/>
          <w:b/>
          <w:szCs w:val="24"/>
        </w:rPr>
        <w:t>Respect for Human Subjects:</w:t>
      </w:r>
      <w:r>
        <w:rPr>
          <w:rFonts w:cs="Times New Roman"/>
          <w:szCs w:val="24"/>
        </w:rPr>
        <w:t xml:space="preserve"> The researcher respected the rights of all subjects involved in the research, including protecting their privacy and right to withdraw at any time.</w:t>
      </w:r>
    </w:p>
    <w:p w:rsidR="00E53882" w:rsidRDefault="00B16FF7">
      <w:pPr>
        <w:pStyle w:val="ListParagraph"/>
        <w:numPr>
          <w:ilvl w:val="0"/>
          <w:numId w:val="3"/>
        </w:numPr>
        <w:spacing w:after="0" w:line="480" w:lineRule="auto"/>
        <w:rPr>
          <w:rFonts w:cs="Times New Roman"/>
          <w:szCs w:val="24"/>
        </w:rPr>
      </w:pPr>
      <w:r>
        <w:rPr>
          <w:rFonts w:cs="Times New Roman"/>
          <w:b/>
          <w:szCs w:val="24"/>
        </w:rPr>
        <w:t>Data Collection and Use:</w:t>
      </w:r>
      <w:r>
        <w:rPr>
          <w:rFonts w:cs="Times New Roman"/>
          <w:szCs w:val="24"/>
        </w:rPr>
        <w:t xml:space="preserve"> The researcher ensured that the data collected is accurate and used for the purposes for which it was collected.</w:t>
      </w:r>
    </w:p>
    <w:p w:rsidR="00E53882" w:rsidRDefault="00B16FF7">
      <w:pPr>
        <w:pStyle w:val="ListParagraph"/>
        <w:numPr>
          <w:ilvl w:val="0"/>
          <w:numId w:val="3"/>
        </w:numPr>
        <w:spacing w:after="0" w:line="480" w:lineRule="auto"/>
        <w:rPr>
          <w:rFonts w:cs="Times New Roman"/>
          <w:szCs w:val="24"/>
        </w:rPr>
      </w:pPr>
      <w:r>
        <w:rPr>
          <w:rFonts w:cs="Times New Roman"/>
          <w:b/>
          <w:szCs w:val="24"/>
        </w:rPr>
        <w:t>Conflict of Interest:</w:t>
      </w:r>
      <w:r>
        <w:rPr>
          <w:rFonts w:cs="Times New Roman"/>
          <w:szCs w:val="24"/>
        </w:rPr>
        <w:t xml:space="preserve"> The researcher ensured that there are no conflicts of interest between their research objectives and any personal or professional interests.</w:t>
      </w:r>
    </w:p>
    <w:p w:rsidR="00E53882" w:rsidRDefault="00B16FF7">
      <w:pPr>
        <w:pStyle w:val="ListParagraph"/>
        <w:numPr>
          <w:ilvl w:val="0"/>
          <w:numId w:val="3"/>
        </w:numPr>
        <w:spacing w:after="0" w:line="480" w:lineRule="auto"/>
        <w:rPr>
          <w:rFonts w:cs="Times New Roman"/>
          <w:szCs w:val="24"/>
        </w:rPr>
      </w:pPr>
      <w:r>
        <w:rPr>
          <w:rFonts w:cs="Times New Roman"/>
          <w:b/>
          <w:szCs w:val="24"/>
        </w:rPr>
        <w:t xml:space="preserve">Credit and Authorship: </w:t>
      </w:r>
      <w:r>
        <w:rPr>
          <w:rFonts w:cs="Times New Roman"/>
          <w:szCs w:val="24"/>
        </w:rPr>
        <w:t>The researcher also ensured that credit is given to all contributors to the research and that authorship is attributed appropriately.</w:t>
      </w:r>
      <w:bookmarkStart w:id="81" w:name="_Toc128438202"/>
    </w:p>
    <w:p w:rsidR="00E53882" w:rsidRDefault="00E53882">
      <w:pPr>
        <w:pStyle w:val="ListParagraph"/>
        <w:spacing w:after="0" w:line="480" w:lineRule="auto"/>
        <w:rPr>
          <w:rFonts w:cs="Times New Roman"/>
          <w:szCs w:val="24"/>
        </w:rPr>
      </w:pPr>
    </w:p>
    <w:p w:rsidR="00E53882" w:rsidRDefault="00B16FF7">
      <w:pPr>
        <w:pStyle w:val="Heading2"/>
        <w:spacing w:line="480" w:lineRule="auto"/>
      </w:pPr>
      <w:bookmarkStart w:id="82" w:name="_Toc164261707"/>
      <w:r>
        <w:t>3.5. Limitations of the research</w:t>
      </w:r>
      <w:bookmarkEnd w:id="81"/>
      <w:bookmarkEnd w:id="82"/>
      <w:r>
        <w:t xml:space="preserve"> </w:t>
      </w:r>
    </w:p>
    <w:p w:rsidR="00E53882" w:rsidRDefault="00B16FF7">
      <w:pPr>
        <w:pStyle w:val="ListParagraph"/>
        <w:numPr>
          <w:ilvl w:val="0"/>
          <w:numId w:val="4"/>
        </w:numPr>
        <w:spacing w:after="0" w:line="480" w:lineRule="auto"/>
        <w:rPr>
          <w:rFonts w:cs="Times New Roman"/>
          <w:szCs w:val="24"/>
        </w:rPr>
      </w:pPr>
      <w:r>
        <w:rPr>
          <w:rFonts w:cs="Times New Roman"/>
          <w:b/>
          <w:szCs w:val="24"/>
        </w:rPr>
        <w:t>Sample size:</w:t>
      </w:r>
      <w:r>
        <w:rPr>
          <w:rFonts w:cs="Times New Roman"/>
          <w:szCs w:val="24"/>
        </w:rPr>
        <w:t xml:space="preserve"> The sample size of the research was relatively small, which may not have allowed for sufficient data collection and analysis to accurately represent the larger population of individuals.</w:t>
      </w:r>
    </w:p>
    <w:p w:rsidR="00E53882" w:rsidRDefault="00B16FF7">
      <w:pPr>
        <w:pStyle w:val="ListParagraph"/>
        <w:numPr>
          <w:ilvl w:val="0"/>
          <w:numId w:val="4"/>
        </w:numPr>
        <w:spacing w:after="0" w:line="480" w:lineRule="auto"/>
        <w:rPr>
          <w:rFonts w:cs="Times New Roman"/>
          <w:szCs w:val="24"/>
        </w:rPr>
      </w:pPr>
      <w:r>
        <w:rPr>
          <w:rFonts w:cs="Times New Roman"/>
          <w:b/>
          <w:szCs w:val="24"/>
        </w:rPr>
        <w:t>External validity:</w:t>
      </w:r>
      <w:r>
        <w:rPr>
          <w:rFonts w:cs="Times New Roman"/>
          <w:szCs w:val="24"/>
        </w:rPr>
        <w:t xml:space="preserve"> Due to the specific nature of the research design, it is difficult to generalize the findings to a larger population.</w:t>
      </w:r>
    </w:p>
    <w:p w:rsidR="00E53882" w:rsidRDefault="00B16FF7">
      <w:pPr>
        <w:pStyle w:val="ListParagraph"/>
        <w:numPr>
          <w:ilvl w:val="0"/>
          <w:numId w:val="4"/>
        </w:numPr>
        <w:spacing w:after="0" w:line="480" w:lineRule="auto"/>
        <w:rPr>
          <w:rFonts w:cs="Times New Roman"/>
          <w:szCs w:val="24"/>
        </w:rPr>
      </w:pPr>
      <w:r>
        <w:rPr>
          <w:rFonts w:cs="Times New Roman"/>
          <w:b/>
          <w:szCs w:val="24"/>
        </w:rPr>
        <w:t>Response bias:</w:t>
      </w:r>
      <w:r>
        <w:rPr>
          <w:rFonts w:cs="Times New Roman"/>
          <w:szCs w:val="24"/>
        </w:rPr>
        <w:t xml:space="preserve"> The use of self-reported data may have been affected by response bias, as participants may have been motivated to give socially desirable answers.</w:t>
      </w:r>
    </w:p>
    <w:p w:rsidR="00E53882" w:rsidRDefault="00B16FF7">
      <w:pPr>
        <w:pStyle w:val="ListParagraph"/>
        <w:numPr>
          <w:ilvl w:val="0"/>
          <w:numId w:val="4"/>
        </w:numPr>
        <w:spacing w:after="0" w:line="480" w:lineRule="auto"/>
        <w:rPr>
          <w:rFonts w:cs="Times New Roman"/>
          <w:szCs w:val="24"/>
        </w:rPr>
      </w:pPr>
      <w:r>
        <w:rPr>
          <w:rFonts w:cs="Times New Roman"/>
          <w:b/>
          <w:szCs w:val="24"/>
        </w:rPr>
        <w:t>Time constraints:</w:t>
      </w:r>
      <w:r>
        <w:rPr>
          <w:rFonts w:cs="Times New Roman"/>
          <w:szCs w:val="24"/>
        </w:rPr>
        <w:t xml:space="preserve"> Given the limited amount of time allocated for the research, it may not have been possible to collect enough data or to explore the topic in depth</w:t>
      </w:r>
    </w:p>
    <w:p w:rsidR="00E53882" w:rsidRPr="006115F0" w:rsidRDefault="00B16FF7" w:rsidP="006115F0">
      <w:pPr>
        <w:pStyle w:val="ListParagraph"/>
        <w:numPr>
          <w:ilvl w:val="0"/>
          <w:numId w:val="4"/>
        </w:numPr>
        <w:spacing w:after="0" w:line="480" w:lineRule="auto"/>
        <w:jc w:val="left"/>
        <w:rPr>
          <w:rFonts w:cs="Times New Roman"/>
          <w:b/>
          <w:szCs w:val="24"/>
        </w:rPr>
      </w:pPr>
      <w:r>
        <w:rPr>
          <w:rFonts w:cs="Times New Roman"/>
          <w:b/>
          <w:szCs w:val="24"/>
        </w:rPr>
        <w:lastRenderedPageBreak/>
        <w:t>Cost:</w:t>
      </w:r>
      <w:r>
        <w:rPr>
          <w:rFonts w:cs="Times New Roman"/>
          <w:szCs w:val="24"/>
        </w:rPr>
        <w:t xml:space="preserve"> The cost of conducting the research may have limited the scope and scale of the project</w:t>
      </w:r>
    </w:p>
    <w:p w:rsidR="006115F0" w:rsidRPr="00EC50F4" w:rsidRDefault="006115F0" w:rsidP="00EC50F4">
      <w:pPr>
        <w:pStyle w:val="Heading2"/>
      </w:pPr>
      <w:bookmarkStart w:id="83" w:name="_Toc164261708"/>
      <w:r w:rsidRPr="00EC50F4">
        <w:t>3.6 Researcher Positionality</w:t>
      </w:r>
      <w:bookmarkEnd w:id="83"/>
    </w:p>
    <w:p w:rsidR="006115F0" w:rsidRPr="00EA0AF8" w:rsidRDefault="006115F0" w:rsidP="00A0628B">
      <w:pPr>
        <w:autoSpaceDE w:val="0"/>
        <w:autoSpaceDN w:val="0"/>
        <w:adjustRightInd w:val="0"/>
        <w:spacing w:after="174" w:line="480" w:lineRule="auto"/>
        <w:rPr>
          <w:rFonts w:eastAsia="Calibri" w:cs="Times New Roman"/>
          <w:szCs w:val="24"/>
        </w:rPr>
      </w:pPr>
      <w:r w:rsidRPr="00EA0AF8">
        <w:rPr>
          <w:rFonts w:eastAsia="Calibri" w:cs="Times New Roman"/>
          <w:szCs w:val="24"/>
        </w:rPr>
        <w:t xml:space="preserve">Positionality refers to the researchers' personal perspectives, experiences, and social identities that may influence the research process and outcomes. It is important for researchers to acknowledge and reflect upon their </w:t>
      </w:r>
      <w:proofErr w:type="spellStart"/>
      <w:r w:rsidRPr="00EA0AF8">
        <w:rPr>
          <w:rFonts w:eastAsia="Calibri" w:cs="Times New Roman"/>
          <w:szCs w:val="24"/>
        </w:rPr>
        <w:t>positionality</w:t>
      </w:r>
      <w:proofErr w:type="spellEnd"/>
      <w:r w:rsidRPr="00EA0AF8">
        <w:rPr>
          <w:rFonts w:eastAsia="Calibri" w:cs="Times New Roman"/>
          <w:szCs w:val="24"/>
        </w:rPr>
        <w:t xml:space="preserve"> as it can shape their biases, assumptions, and interpretations throughout the study </w:t>
      </w:r>
      <w:r w:rsidRPr="00EA0AF8">
        <w:rPr>
          <w:rFonts w:eastAsia="Calibri" w:cs="Times New Roman"/>
          <w:szCs w:val="24"/>
        </w:rPr>
        <w:fldChar w:fldCharType="begin" w:fldLock="1"/>
      </w:r>
      <w:r w:rsidRPr="00EA0AF8">
        <w:rPr>
          <w:rFonts w:eastAsia="Calibri" w:cs="Times New Roman"/>
          <w:szCs w:val="24"/>
        </w:rPr>
        <w:instrText>ADDIN CSL_CITATION {"citationItems":[{"id":"ITEM-1","itemData":{"author":[{"dropping-particle":"","family":"Throne","given":"Robin","non-dropping-particle":"","parse-names":false,"suffix":""}],"id":"ITEM-1","issued":{"date-parts":[["2012","1","1"]]},"title":"Positionality","type":"chapter"},"uris":["http://www.mendeley.com/documents/?uuid=27bb47e9-a261-4756-b99e-8d0753573d6e"]}],"mendeley":{"formattedCitation":"(Throne, 2012)","plainTextFormattedCitation":"(Throne, 2012)","previouslyFormattedCitation":"(Throne, 2012)"},"properties":{"noteIndex":0},"schema":"https://github.com/citation-style-language/schema/raw/master/csl-citation.json"}</w:instrText>
      </w:r>
      <w:r w:rsidRPr="00EA0AF8">
        <w:rPr>
          <w:rFonts w:eastAsia="Calibri" w:cs="Times New Roman"/>
          <w:szCs w:val="24"/>
        </w:rPr>
        <w:fldChar w:fldCharType="separate"/>
      </w:r>
      <w:r w:rsidRPr="00EA0AF8">
        <w:rPr>
          <w:rFonts w:eastAsia="Calibri" w:cs="Times New Roman"/>
          <w:noProof/>
          <w:szCs w:val="24"/>
        </w:rPr>
        <w:t>(Throne, 2012)</w:t>
      </w:r>
      <w:r w:rsidRPr="00EA0AF8">
        <w:rPr>
          <w:rFonts w:eastAsia="Calibri" w:cs="Times New Roman"/>
          <w:szCs w:val="24"/>
        </w:rPr>
        <w:fldChar w:fldCharType="end"/>
      </w:r>
      <w:r w:rsidRPr="00EA0AF8">
        <w:rPr>
          <w:rFonts w:eastAsia="Calibri" w:cs="Times New Roman"/>
          <w:szCs w:val="24"/>
        </w:rPr>
        <w:t>.</w:t>
      </w:r>
    </w:p>
    <w:p w:rsidR="00A0628B" w:rsidRDefault="006115F0" w:rsidP="00A0628B">
      <w:pPr>
        <w:autoSpaceDE w:val="0"/>
        <w:autoSpaceDN w:val="0"/>
        <w:adjustRightInd w:val="0"/>
        <w:spacing w:after="174" w:line="480" w:lineRule="auto"/>
        <w:rPr>
          <w:rFonts w:eastAsia="Calibri" w:cs="Times New Roman"/>
          <w:szCs w:val="24"/>
        </w:rPr>
      </w:pPr>
      <w:r w:rsidRPr="00A0628B">
        <w:rPr>
          <w:rFonts w:eastAsia="Calibri" w:cs="Times New Roman"/>
          <w:szCs w:val="24"/>
        </w:rPr>
        <w:t xml:space="preserve">As an individual researcher conducting a study on climate change, </w:t>
      </w:r>
      <w:r w:rsidR="00A0628B" w:rsidRPr="00A0628B">
        <w:rPr>
          <w:rFonts w:eastAsia="Calibri" w:cs="Times New Roman"/>
          <w:szCs w:val="24"/>
        </w:rPr>
        <w:t xml:space="preserve">and </w:t>
      </w:r>
      <w:r w:rsidRPr="00A0628B">
        <w:rPr>
          <w:rFonts w:eastAsia="Calibri" w:cs="Times New Roman"/>
          <w:szCs w:val="24"/>
        </w:rPr>
        <w:t xml:space="preserve">pastoralists' mobility, it is crucial to acknowledge my </w:t>
      </w:r>
      <w:proofErr w:type="spellStart"/>
      <w:r w:rsidRPr="00A0628B">
        <w:rPr>
          <w:rFonts w:eastAsia="Calibri" w:cs="Times New Roman"/>
          <w:szCs w:val="24"/>
        </w:rPr>
        <w:t>positionality</w:t>
      </w:r>
      <w:proofErr w:type="spellEnd"/>
      <w:r w:rsidRPr="00A0628B">
        <w:rPr>
          <w:rFonts w:eastAsia="Calibri" w:cs="Times New Roman"/>
          <w:szCs w:val="24"/>
        </w:rPr>
        <w:t xml:space="preserve"> and how it may influence the research process and findings. My background as a social scientist with expertise in migration and environmental studies shapes the lens through which I approach the topic. While I do not have personal experience working directly with pastoralist communities, I recognize the importance of self-reflection to avoid imposing my own assumptions and biases onto the research. </w:t>
      </w:r>
    </w:p>
    <w:p w:rsidR="00A0628B" w:rsidRDefault="006115F0" w:rsidP="00A0628B">
      <w:pPr>
        <w:autoSpaceDE w:val="0"/>
        <w:autoSpaceDN w:val="0"/>
        <w:adjustRightInd w:val="0"/>
        <w:spacing w:after="174" w:line="480" w:lineRule="auto"/>
        <w:rPr>
          <w:rFonts w:eastAsia="Calibri" w:cs="Times New Roman"/>
          <w:szCs w:val="24"/>
        </w:rPr>
      </w:pPr>
      <w:r w:rsidRPr="00A0628B">
        <w:rPr>
          <w:rFonts w:eastAsia="Calibri" w:cs="Times New Roman"/>
          <w:szCs w:val="24"/>
        </w:rPr>
        <w:t xml:space="preserve">I was mindful that my academic training and cultural background may influence my interpretations of the data and interactions with participants. I was committed to maintaining transparency throughout the research process. I had clearly communicated my role as an outsider researcher to the participants, ensuring they understood my objectives and any potential conflicts of interest. Through fostering open and honest dialogue, I was able to create a safe space for participants to share their experiences and perspectives. </w:t>
      </w:r>
    </w:p>
    <w:p w:rsidR="006115F0" w:rsidRPr="00A0628B" w:rsidRDefault="006115F0" w:rsidP="00A0628B">
      <w:pPr>
        <w:autoSpaceDE w:val="0"/>
        <w:autoSpaceDN w:val="0"/>
        <w:adjustRightInd w:val="0"/>
        <w:spacing w:after="174" w:line="480" w:lineRule="auto"/>
        <w:rPr>
          <w:rFonts w:eastAsia="Calibri" w:cs="Times New Roman"/>
          <w:szCs w:val="24"/>
        </w:rPr>
      </w:pPr>
      <w:r w:rsidRPr="00A0628B">
        <w:rPr>
          <w:rFonts w:eastAsia="Calibri" w:cs="Times New Roman"/>
          <w:szCs w:val="24"/>
        </w:rPr>
        <w:t xml:space="preserve">As a researcher, I acknowledged the power dynamics inherent in the research relationship. I was aware that my position as a researcher grants me certain privileges and authority, which </w:t>
      </w:r>
      <w:r w:rsidRPr="00A0628B">
        <w:rPr>
          <w:rFonts w:eastAsia="Calibri" w:cs="Times New Roman"/>
          <w:szCs w:val="24"/>
        </w:rPr>
        <w:lastRenderedPageBreak/>
        <w:t>may affect the dynamics and trust-building process with the pastoralist</w:t>
      </w:r>
      <w:r w:rsidR="00A0628B">
        <w:rPr>
          <w:rFonts w:eastAsia="Calibri" w:cs="Times New Roman"/>
          <w:szCs w:val="24"/>
        </w:rPr>
        <w:t>s</w:t>
      </w:r>
      <w:r w:rsidRPr="00A0628B">
        <w:rPr>
          <w:rFonts w:eastAsia="Calibri" w:cs="Times New Roman"/>
          <w:szCs w:val="24"/>
        </w:rPr>
        <w:t>. To address these power imbalances, I strived to engage in collaborative and participatory approaches, involving pastoralist</w:t>
      </w:r>
      <w:r w:rsidR="00A0628B">
        <w:rPr>
          <w:rFonts w:eastAsia="Calibri" w:cs="Times New Roman"/>
          <w:szCs w:val="24"/>
        </w:rPr>
        <w:t xml:space="preserve">s </w:t>
      </w:r>
      <w:r w:rsidRPr="00A0628B">
        <w:rPr>
          <w:rFonts w:eastAsia="Calibri" w:cs="Times New Roman"/>
          <w:szCs w:val="24"/>
        </w:rPr>
        <w:t xml:space="preserve">in the research design and decision-making processes. Reflexivity was my guiding principle throughout the study. I regularly reflected on my own biases, assumptions, and values that may influence the research process and findings. </w:t>
      </w:r>
      <w:r w:rsidR="00A0628B">
        <w:rPr>
          <w:rFonts w:eastAsia="Calibri" w:cs="Times New Roman"/>
          <w:szCs w:val="24"/>
        </w:rPr>
        <w:t>Through this process</w:t>
      </w:r>
      <w:r w:rsidRPr="00A0628B">
        <w:rPr>
          <w:rFonts w:eastAsia="Calibri" w:cs="Times New Roman"/>
          <w:szCs w:val="24"/>
        </w:rPr>
        <w:t>, I enhanced the validity and reliability of the study while respecting the diverse perspectives and voices of the pastoralist</w:t>
      </w:r>
      <w:r w:rsidR="00A0628B">
        <w:rPr>
          <w:rFonts w:eastAsia="Calibri" w:cs="Times New Roman"/>
          <w:szCs w:val="24"/>
        </w:rPr>
        <w:t>s</w:t>
      </w:r>
      <w:r w:rsidRPr="00A0628B">
        <w:rPr>
          <w:rFonts w:eastAsia="Calibri" w:cs="Times New Roman"/>
          <w:szCs w:val="24"/>
        </w:rPr>
        <w:t>. In conclusion, I conducted ethical and rigorous research that respects the experiences and perspectives of the pastoralist</w:t>
      </w:r>
      <w:r w:rsidR="00A0628B">
        <w:rPr>
          <w:rFonts w:eastAsia="Calibri" w:cs="Times New Roman"/>
          <w:szCs w:val="24"/>
        </w:rPr>
        <w:t>s</w:t>
      </w:r>
      <w:r w:rsidRPr="00A0628B">
        <w:rPr>
          <w:rFonts w:eastAsia="Calibri" w:cs="Times New Roman"/>
          <w:szCs w:val="24"/>
        </w:rPr>
        <w:t xml:space="preserve"> while contributing to the broader understanding of climate change, </w:t>
      </w:r>
      <w:r w:rsidR="00A0628B">
        <w:rPr>
          <w:rFonts w:eastAsia="Calibri" w:cs="Times New Roman"/>
          <w:szCs w:val="24"/>
        </w:rPr>
        <w:t xml:space="preserve">and </w:t>
      </w:r>
      <w:r w:rsidRPr="00A0628B">
        <w:rPr>
          <w:rFonts w:eastAsia="Calibri" w:cs="Times New Roman"/>
          <w:szCs w:val="24"/>
        </w:rPr>
        <w:t>mobility.</w:t>
      </w:r>
    </w:p>
    <w:p w:rsidR="00E53882" w:rsidRDefault="00E53882"/>
    <w:p w:rsidR="00E53882" w:rsidRDefault="00E53882"/>
    <w:p w:rsidR="00F3043B" w:rsidRDefault="00F3043B"/>
    <w:p w:rsidR="00F3043B" w:rsidRDefault="00F3043B"/>
    <w:p w:rsidR="00F3043B" w:rsidRDefault="00F3043B"/>
    <w:p w:rsidR="00E53882" w:rsidRDefault="00E53882"/>
    <w:p w:rsidR="000C40E7" w:rsidRDefault="000C40E7"/>
    <w:p w:rsidR="000C40E7" w:rsidRDefault="000C40E7"/>
    <w:p w:rsidR="000C40E7" w:rsidRDefault="000C40E7"/>
    <w:p w:rsidR="000C40E7" w:rsidRPr="000C40E7" w:rsidRDefault="000C40E7" w:rsidP="000C40E7"/>
    <w:p w:rsidR="00E53882" w:rsidRDefault="00B16FF7">
      <w:pPr>
        <w:pStyle w:val="Heading1"/>
        <w:spacing w:before="0" w:line="480" w:lineRule="auto"/>
      </w:pPr>
      <w:bookmarkStart w:id="84" w:name="_Toc164261709"/>
      <w:r>
        <w:lastRenderedPageBreak/>
        <w:t>CHAPTER FOUR</w:t>
      </w:r>
      <w:bookmarkEnd w:id="84"/>
    </w:p>
    <w:p w:rsidR="00E53882" w:rsidRDefault="00B16FF7">
      <w:pPr>
        <w:pStyle w:val="Heading1"/>
        <w:spacing w:before="0" w:line="480" w:lineRule="auto"/>
      </w:pPr>
      <w:bookmarkStart w:id="85" w:name="_Toc164261710"/>
      <w:r>
        <w:t>CHARACTERISTICS OF PASTORALISTS</w:t>
      </w:r>
      <w:bookmarkEnd w:id="85"/>
      <w:r>
        <w:t xml:space="preserve"> </w:t>
      </w:r>
    </w:p>
    <w:p w:rsidR="00E53882" w:rsidRDefault="00B16FF7">
      <w:pPr>
        <w:pStyle w:val="Heading2"/>
        <w:spacing w:before="0" w:line="480" w:lineRule="auto"/>
      </w:pPr>
      <w:bookmarkStart w:id="86" w:name="_Toc164261711"/>
      <w:r>
        <w:t>4.0 Introduction</w:t>
      </w:r>
      <w:bookmarkEnd w:id="86"/>
      <w:r>
        <w:t xml:space="preserve"> </w:t>
      </w:r>
    </w:p>
    <w:p w:rsidR="00E53882" w:rsidRDefault="00B16FF7">
      <w:pPr>
        <w:spacing w:line="480" w:lineRule="auto"/>
        <w:rPr>
          <w:rFonts w:cs="Times New Roman"/>
          <w:szCs w:val="24"/>
        </w:rPr>
      </w:pPr>
      <w:r>
        <w:rPr>
          <w:rFonts w:cs="Times New Roman"/>
          <w:szCs w:val="24"/>
        </w:rPr>
        <w:t>The aim of this chapter is to ascertain the characteristics of pastoralists in the study area. This means that we want to recognize and understand the main behaviour, features, and qualities of the pastoralists living in the study area. The purpose of this is to understand their challenges and needs and come out with proper recommendations that will help policy makers to develop interventions that can support them to adapt to their new environment. It is therefore, important to make conscious efforts to understand the characteristics of pastoralist which is the central theme in this thesis.</w:t>
      </w:r>
    </w:p>
    <w:p w:rsidR="00E53882" w:rsidRDefault="00B16FF7">
      <w:pPr>
        <w:pStyle w:val="Heading2"/>
        <w:spacing w:before="0" w:after="0" w:line="480" w:lineRule="auto"/>
      </w:pPr>
      <w:bookmarkStart w:id="87" w:name="_Toc164261712"/>
      <w:r>
        <w:t>4.1. Ethnic Groups involves in Pastoralism</w:t>
      </w:r>
      <w:bookmarkEnd w:id="87"/>
    </w:p>
    <w:p w:rsidR="00E53882" w:rsidRDefault="00B16FF7">
      <w:pPr>
        <w:spacing w:before="0" w:after="0" w:line="480" w:lineRule="auto"/>
        <w:rPr>
          <w:rFonts w:cs="Times New Roman"/>
          <w:szCs w:val="24"/>
        </w:rPr>
      </w:pPr>
      <w:r>
        <w:rPr>
          <w:rFonts w:cs="Times New Roman"/>
          <w:szCs w:val="24"/>
        </w:rPr>
        <w:t xml:space="preserve">Investigation in the study area revealed five different ethnic groups engaged in pastoralism. These groups include </w:t>
      </w:r>
      <w:proofErr w:type="spellStart"/>
      <w:r>
        <w:rPr>
          <w:rFonts w:cs="Times New Roman"/>
          <w:szCs w:val="24"/>
        </w:rPr>
        <w:t>Fulbe</w:t>
      </w:r>
      <w:proofErr w:type="spellEnd"/>
      <w:r>
        <w:rPr>
          <w:rFonts w:cs="Times New Roman"/>
          <w:szCs w:val="24"/>
        </w:rPr>
        <w:t xml:space="preserve">, </w:t>
      </w:r>
      <w:proofErr w:type="spellStart"/>
      <w:r>
        <w:rPr>
          <w:rFonts w:cs="Times New Roman"/>
          <w:szCs w:val="24"/>
        </w:rPr>
        <w:t>Jerigonji</w:t>
      </w:r>
      <w:proofErr w:type="spellEnd"/>
      <w:r>
        <w:rPr>
          <w:rFonts w:cs="Times New Roman"/>
          <w:szCs w:val="24"/>
        </w:rPr>
        <w:t xml:space="preserve"> (</w:t>
      </w:r>
      <w:proofErr w:type="spellStart"/>
      <w:r>
        <w:rPr>
          <w:rFonts w:cs="Times New Roman"/>
          <w:szCs w:val="24"/>
        </w:rPr>
        <w:t>Maasai</w:t>
      </w:r>
      <w:proofErr w:type="spellEnd"/>
      <w:r>
        <w:rPr>
          <w:rFonts w:cs="Times New Roman"/>
          <w:szCs w:val="24"/>
        </w:rPr>
        <w:t xml:space="preserve">), </w:t>
      </w:r>
      <w:proofErr w:type="gramStart"/>
      <w:r>
        <w:rPr>
          <w:rFonts w:cs="Times New Roman"/>
          <w:szCs w:val="24"/>
        </w:rPr>
        <w:t>Moshi</w:t>
      </w:r>
      <w:proofErr w:type="gramEnd"/>
      <w:r>
        <w:rPr>
          <w:rFonts w:cs="Times New Roman"/>
          <w:szCs w:val="24"/>
        </w:rPr>
        <w:t xml:space="preserve">, </w:t>
      </w:r>
      <w:proofErr w:type="spellStart"/>
      <w:r>
        <w:rPr>
          <w:rFonts w:cs="Times New Roman"/>
          <w:szCs w:val="24"/>
        </w:rPr>
        <w:t>Busansi</w:t>
      </w:r>
      <w:proofErr w:type="spellEnd"/>
      <w:r>
        <w:rPr>
          <w:rFonts w:cs="Times New Roman"/>
          <w:szCs w:val="24"/>
        </w:rPr>
        <w:t xml:space="preserve">, and </w:t>
      </w:r>
      <w:proofErr w:type="spellStart"/>
      <w:r>
        <w:rPr>
          <w:rFonts w:cs="Times New Roman"/>
          <w:szCs w:val="24"/>
        </w:rPr>
        <w:t>Gruma</w:t>
      </w:r>
      <w:proofErr w:type="spellEnd"/>
      <w:r>
        <w:rPr>
          <w:rFonts w:cs="Times New Roman"/>
          <w:szCs w:val="24"/>
        </w:rPr>
        <w:t xml:space="preserve"> people. The Moshi are divided into two categories: </w:t>
      </w:r>
      <w:proofErr w:type="spellStart"/>
      <w:r>
        <w:rPr>
          <w:rFonts w:cs="Times New Roman"/>
          <w:szCs w:val="24"/>
        </w:rPr>
        <w:t>Moyamba</w:t>
      </w:r>
      <w:proofErr w:type="spellEnd"/>
      <w:r>
        <w:rPr>
          <w:rFonts w:cs="Times New Roman"/>
          <w:szCs w:val="24"/>
        </w:rPr>
        <w:t xml:space="preserve"> and </w:t>
      </w:r>
      <w:proofErr w:type="spellStart"/>
      <w:r>
        <w:rPr>
          <w:rFonts w:cs="Times New Roman"/>
          <w:szCs w:val="24"/>
        </w:rPr>
        <w:t>Zawshi</w:t>
      </w:r>
      <w:proofErr w:type="spellEnd"/>
      <w:r>
        <w:rPr>
          <w:rFonts w:cs="Times New Roman"/>
          <w:szCs w:val="24"/>
        </w:rPr>
        <w:t xml:space="preserve">. They move with their cattle from their place of origin to the study area. Among these groups, </w:t>
      </w:r>
      <w:proofErr w:type="spellStart"/>
      <w:r>
        <w:rPr>
          <w:rFonts w:cs="Times New Roman"/>
          <w:szCs w:val="24"/>
        </w:rPr>
        <w:t>Fulbe</w:t>
      </w:r>
      <w:proofErr w:type="spellEnd"/>
      <w:r>
        <w:rPr>
          <w:rFonts w:cs="Times New Roman"/>
          <w:szCs w:val="24"/>
        </w:rPr>
        <w:t xml:space="preserve"> pastoralists form the majority in the study area. The category of </w:t>
      </w:r>
      <w:proofErr w:type="spellStart"/>
      <w:r>
        <w:rPr>
          <w:rFonts w:cs="Times New Roman"/>
          <w:szCs w:val="24"/>
        </w:rPr>
        <w:t>Fulbe</w:t>
      </w:r>
      <w:proofErr w:type="spellEnd"/>
      <w:r>
        <w:rPr>
          <w:rFonts w:cs="Times New Roman"/>
          <w:szCs w:val="24"/>
        </w:rPr>
        <w:t xml:space="preserve"> staying in the study area includes </w:t>
      </w:r>
      <w:proofErr w:type="spellStart"/>
      <w:r>
        <w:rPr>
          <w:rFonts w:cs="Times New Roman"/>
          <w:szCs w:val="24"/>
        </w:rPr>
        <w:t>Djallo</w:t>
      </w:r>
      <w:proofErr w:type="spellEnd"/>
      <w:r>
        <w:rPr>
          <w:rFonts w:cs="Times New Roman"/>
          <w:szCs w:val="24"/>
        </w:rPr>
        <w:t xml:space="preserve">, </w:t>
      </w:r>
      <w:proofErr w:type="spellStart"/>
      <w:r>
        <w:rPr>
          <w:rFonts w:cs="Times New Roman"/>
          <w:szCs w:val="24"/>
        </w:rPr>
        <w:t>Guiao</w:t>
      </w:r>
      <w:proofErr w:type="spellEnd"/>
      <w:r>
        <w:rPr>
          <w:rFonts w:cs="Times New Roman"/>
          <w:szCs w:val="24"/>
        </w:rPr>
        <w:t xml:space="preserve">, </w:t>
      </w:r>
      <w:proofErr w:type="spellStart"/>
      <w:r>
        <w:rPr>
          <w:rFonts w:cs="Times New Roman"/>
          <w:szCs w:val="24"/>
        </w:rPr>
        <w:t>Bande</w:t>
      </w:r>
      <w:proofErr w:type="spellEnd"/>
      <w:r>
        <w:rPr>
          <w:rFonts w:cs="Times New Roman"/>
          <w:szCs w:val="24"/>
        </w:rPr>
        <w:t xml:space="preserve">, Barry, Yaw, </w:t>
      </w:r>
      <w:proofErr w:type="spellStart"/>
      <w:r>
        <w:rPr>
          <w:rFonts w:cs="Times New Roman"/>
          <w:szCs w:val="24"/>
        </w:rPr>
        <w:t>Nibari</w:t>
      </w:r>
      <w:proofErr w:type="spellEnd"/>
      <w:r>
        <w:rPr>
          <w:rFonts w:cs="Times New Roman"/>
          <w:szCs w:val="24"/>
        </w:rPr>
        <w:t xml:space="preserve">, and </w:t>
      </w:r>
      <w:proofErr w:type="spellStart"/>
      <w:r>
        <w:rPr>
          <w:rFonts w:cs="Times New Roman"/>
          <w:szCs w:val="24"/>
        </w:rPr>
        <w:t>Sidibé</w:t>
      </w:r>
      <w:proofErr w:type="spellEnd"/>
      <w:r>
        <w:rPr>
          <w:rFonts w:cs="Times New Roman"/>
          <w:szCs w:val="24"/>
        </w:rPr>
        <w:t xml:space="preserve">. They are all descendants of the four men that </w:t>
      </w:r>
      <w:proofErr w:type="spellStart"/>
      <w:r>
        <w:rPr>
          <w:rFonts w:cs="Times New Roman"/>
          <w:szCs w:val="24"/>
        </w:rPr>
        <w:t>Hudu</w:t>
      </w:r>
      <w:proofErr w:type="spellEnd"/>
      <w:r>
        <w:rPr>
          <w:rFonts w:cs="Times New Roman"/>
          <w:szCs w:val="24"/>
        </w:rPr>
        <w:t xml:space="preserve"> Bata gave birth to (</w:t>
      </w:r>
      <w:proofErr w:type="spellStart"/>
      <w:r>
        <w:rPr>
          <w:rFonts w:cs="Times New Roman"/>
          <w:szCs w:val="24"/>
        </w:rPr>
        <w:t>Djallo</w:t>
      </w:r>
      <w:proofErr w:type="spellEnd"/>
      <w:r>
        <w:rPr>
          <w:rFonts w:cs="Times New Roman"/>
          <w:szCs w:val="24"/>
        </w:rPr>
        <w:t xml:space="preserve">, Ba, Barry, and Sow). This statement was captured during our conversation. </w:t>
      </w:r>
    </w:p>
    <w:p w:rsidR="00E53882" w:rsidRDefault="00B16FF7">
      <w:pPr>
        <w:spacing w:before="0" w:after="0" w:line="480" w:lineRule="auto"/>
        <w:ind w:left="864"/>
        <w:rPr>
          <w:rFonts w:cs="Times New Roman"/>
          <w:i/>
          <w:iCs/>
          <w:szCs w:val="24"/>
        </w:rPr>
      </w:pPr>
      <w:r>
        <w:rPr>
          <w:rFonts w:cs="Times New Roman"/>
          <w:i/>
          <w:iCs/>
          <w:szCs w:val="24"/>
        </w:rPr>
        <w:t xml:space="preserve">"When you see us, you might think we are all </w:t>
      </w:r>
      <w:proofErr w:type="spellStart"/>
      <w:r>
        <w:rPr>
          <w:rFonts w:cs="Times New Roman"/>
          <w:i/>
          <w:iCs/>
          <w:szCs w:val="24"/>
        </w:rPr>
        <w:t>Fulbe</w:t>
      </w:r>
      <w:proofErr w:type="spellEnd"/>
      <w:r>
        <w:rPr>
          <w:rFonts w:cs="Times New Roman"/>
          <w:i/>
          <w:iCs/>
          <w:szCs w:val="24"/>
        </w:rPr>
        <w:t xml:space="preserve"> people, but we are not. If it weren't for us, nobody would know that not all of us belongs to the </w:t>
      </w:r>
      <w:proofErr w:type="spellStart"/>
      <w:r>
        <w:rPr>
          <w:rFonts w:cs="Times New Roman"/>
          <w:i/>
          <w:iCs/>
          <w:szCs w:val="24"/>
        </w:rPr>
        <w:t>Fulbe</w:t>
      </w:r>
      <w:proofErr w:type="spellEnd"/>
      <w:r>
        <w:rPr>
          <w:rFonts w:cs="Times New Roman"/>
          <w:i/>
          <w:iCs/>
          <w:szCs w:val="24"/>
        </w:rPr>
        <w:t xml:space="preserve"> tribe" (Pastoralist, 65-year-old male participant on December 31, 2022) (Key Informant Interview, 2022/2023).</w:t>
      </w:r>
    </w:p>
    <w:p w:rsidR="00E53882" w:rsidRDefault="00B16FF7">
      <w:pPr>
        <w:spacing w:before="0" w:after="0" w:line="480" w:lineRule="auto"/>
        <w:rPr>
          <w:rFonts w:cs="Times New Roman"/>
          <w:szCs w:val="24"/>
        </w:rPr>
      </w:pPr>
      <w:r>
        <w:rPr>
          <w:rFonts w:cs="Times New Roman"/>
          <w:szCs w:val="24"/>
        </w:rPr>
        <w:lastRenderedPageBreak/>
        <w:t xml:space="preserve">The presence of various ethnic groups engaged in pastoralism signifies the diversity within this occupation, showing that it goes beyond boundaries. This implies that this occupation plays an important role in bringing together different ethnic group, promoting cooperation and common understanding. Even though this research identifies various ethnic groups involves in pastoralism. It does not go into their specific cultural practices; hence further research can be carried in this area to understand their cultural practices. Scholarly research supports the existence of diverse ethnic groups engaged in pastoralism. In the African continent, the </w:t>
      </w:r>
      <w:proofErr w:type="spellStart"/>
      <w:r>
        <w:rPr>
          <w:rFonts w:cs="Times New Roman"/>
          <w:szCs w:val="24"/>
        </w:rPr>
        <w:t>fulbe</w:t>
      </w:r>
      <w:proofErr w:type="spellEnd"/>
      <w:r>
        <w:rPr>
          <w:rFonts w:cs="Times New Roman"/>
          <w:szCs w:val="24"/>
        </w:rPr>
        <w:t xml:space="preserve"> people are known for their involvement in pastoralism </w:t>
      </w:r>
      <w:r>
        <w:rPr>
          <w:rFonts w:eastAsia="Calibri" w:cs="Times New Roman"/>
          <w:color w:val="000000"/>
          <w:szCs w:val="24"/>
          <w:shd w:val="clear" w:color="auto" w:fill="FFFFFF"/>
        </w:rPr>
        <w:fldChar w:fldCharType="begin" w:fldLock="1"/>
      </w:r>
      <w:r>
        <w:rPr>
          <w:rFonts w:eastAsia="Calibri" w:cs="Times New Roman"/>
          <w:color w:val="000000"/>
          <w:szCs w:val="24"/>
          <w:shd w:val="clear" w:color="auto" w:fill="FFFFFF"/>
        </w:rPr>
        <w:instrText>ADDIN CSL_CITATION {"citationItems":[{"id":"ITEM-1","itemData":{"abstract":"Despite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Africa","id":"ITEM-1","issue":"2","issued":{"date-parts":[["2017"]]},"page":"51-55","title":"SUSTAINABLE PASTORALISM AND RANGELANDS IN AFRICA","type":"article-journal","volume":"31"},"uris":["http://www.mendeley.com/documents/?uuid=7111be2c-d8fe-4652-9aad-a1008e384fd1"]},{"id":"ITEM-2","itemData":{"abstract":"… caused pastoralists to make cyclic movements into arable and agropastoral areas in … must have representation from the different actors concerned (pastoralists, farmers, agropastoralists) … and the host countries, while fully involving subregional pastoral organisations; • Develop …","author":[{"dropping-particle":"","family":"Alidou","given":"S M","non-dropping-particle":"","parse-names":false,"suffix":""}],"container-title":"CapEx in supporting pastoral development","id":"ITEM-2","issue":"February","issued":{"date-parts":[["2016"]]},"page":"8","title":"Cross-border transhumance corridors in West Africa","type":"article-journal"},"uris":["http://www.mendeley.com/documents/?uuid=c5ac5242-1fe8-4a94-952e-3d2ffa7d82cd"]},{"id":"ITEM-3","itemData":{"ISBN":"9789177974109","author":[{"dropping-particle":"","family":"Pas Schrijver","given":"Annemiek","non-dropping-particle":"","parse-names":false,"suffix":""}],"id":"ITEM-3","issued":{"date-parts":[["2019"]]},"number-of-pages":"139","title":"Pastoralists, mobility and conservation","type":"book"},"uris":["http://www.mendeley.com/documents/?uuid=c6268015-0c94-4be1-bbbc-daa35d9c716b"]}],"mendeley":{"formattedCitation":"(Alidou, 2016; FAO, 2017; Pas Schrijver, 2019)","manualFormatting":"(Alidou, 2016; Bukari &amp; Osei-Kufuor, 2021; FAO, 2017; Pas Schrijver, 2019)","plainTextFormattedCitation":"(Alidou, 2016; FAO, 2017; Pas Schrijver, 2019)","previouslyFormattedCitation":"(Alidou, 2016; FAO, 2017; Pas Schrijver, 2019)"},"properties":{"noteIndex":0},"schema":"https://github.com/citation-style-language/schema/raw/master/csl-citation.json"}</w:instrText>
      </w:r>
      <w:r>
        <w:rPr>
          <w:rFonts w:eastAsia="Calibri" w:cs="Times New Roman"/>
          <w:color w:val="000000"/>
          <w:szCs w:val="24"/>
          <w:shd w:val="clear" w:color="auto" w:fill="FFFFFF"/>
        </w:rPr>
        <w:fldChar w:fldCharType="separate"/>
      </w:r>
      <w:r>
        <w:rPr>
          <w:rFonts w:eastAsia="Calibri" w:cs="Times New Roman"/>
          <w:noProof/>
          <w:color w:val="000000"/>
          <w:szCs w:val="24"/>
          <w:shd w:val="clear" w:color="auto" w:fill="FFFFFF"/>
        </w:rPr>
        <w:t xml:space="preserve">(Alidou, 2016; </w:t>
      </w:r>
      <w:r>
        <w:rPr>
          <w:rFonts w:eastAsia="Calibri" w:cs="Times New Roman"/>
          <w:noProof/>
          <w:szCs w:val="24"/>
          <w:shd w:val="clear" w:color="auto" w:fill="FFFFFF"/>
        </w:rPr>
        <w:t xml:space="preserve">Bukari &amp; Osei-Kufuor, 2021; </w:t>
      </w:r>
      <w:r>
        <w:rPr>
          <w:rFonts w:eastAsia="Calibri" w:cs="Times New Roman"/>
          <w:noProof/>
          <w:color w:val="000000"/>
          <w:szCs w:val="24"/>
          <w:shd w:val="clear" w:color="auto" w:fill="FFFFFF"/>
        </w:rPr>
        <w:t>FAO, 2017; Pas Schrijver, 2019)</w:t>
      </w:r>
      <w:r>
        <w:rPr>
          <w:rFonts w:eastAsia="Calibri" w:cs="Times New Roman"/>
          <w:color w:val="000000"/>
          <w:szCs w:val="24"/>
          <w:shd w:val="clear" w:color="auto" w:fill="FFFFFF"/>
        </w:rPr>
        <w:fldChar w:fldCharType="end"/>
      </w:r>
      <w:r>
        <w:rPr>
          <w:rFonts w:cs="Times New Roman"/>
          <w:szCs w:val="24"/>
        </w:rPr>
        <w:t xml:space="preserve">. Furthermore, this finding is in line with </w:t>
      </w:r>
      <w:r>
        <w:rPr>
          <w:rFonts w:cs="Times New Roman"/>
          <w:szCs w:val="24"/>
        </w:rPr>
        <w:fldChar w:fldCharType="begin" w:fldLock="1"/>
      </w:r>
      <w:r>
        <w:rPr>
          <w:rFonts w:cs="Times New Roman"/>
          <w:szCs w:val="24"/>
        </w:rPr>
        <w:instrText>ADDIN CSL_CITATION {"citationItems":[{"id":"ITEM-1","itemData":{"DOI":"10.2307/525591","author":[{"dropping-particle":"","family":"Fratkin","given":"Elliot","non-dropping-particle":"","parse-names":false,"suffix":""}],"container-title":"African Studies Review","id":"ITEM-1","issued":{"date-parts":[["2001","12","1"]]},"page":"1","title":"East African Pastoralism in Transition: Maasai, Boran, and Rendille Cases","type":"article-journal","volume":"44"},"uris":["http://www.mendeley.com/documents/?uuid=e002b6dd-ac2c-4b2c-8fab-87b56d42a643"]}],"mendeley":{"formattedCitation":"(Fratkin, 2001)","manualFormatting":"Fratkin, (2001)","plainTextFormattedCitation":"(Fratkin, 2001)","previouslyFormattedCitation":"(Fratkin, 2001)"},"properties":{"noteIndex":0},"schema":"https://github.com/citation-style-language/schema/raw/master/csl-citation.json"}</w:instrText>
      </w:r>
      <w:r>
        <w:rPr>
          <w:rFonts w:cs="Times New Roman"/>
          <w:szCs w:val="24"/>
        </w:rPr>
        <w:fldChar w:fldCharType="separate"/>
      </w:r>
      <w:r>
        <w:rPr>
          <w:rFonts w:cs="Times New Roman"/>
          <w:noProof/>
          <w:szCs w:val="24"/>
        </w:rPr>
        <w:t>Fratkin, (2001)</w:t>
      </w:r>
      <w:r>
        <w:rPr>
          <w:rFonts w:cs="Times New Roman"/>
          <w:szCs w:val="24"/>
        </w:rPr>
        <w:fldChar w:fldCharType="end"/>
      </w:r>
      <w:r>
        <w:rPr>
          <w:rFonts w:cs="Times New Roman"/>
          <w:szCs w:val="24"/>
        </w:rPr>
        <w:t xml:space="preserve">, the author wrote on East African Pastoralism Transition, and use </w:t>
      </w:r>
      <w:proofErr w:type="spellStart"/>
      <w:r>
        <w:rPr>
          <w:rFonts w:cs="Times New Roman"/>
          <w:szCs w:val="24"/>
        </w:rPr>
        <w:t>Maasai</w:t>
      </w:r>
      <w:proofErr w:type="spellEnd"/>
      <w:r>
        <w:rPr>
          <w:rFonts w:cs="Times New Roman"/>
          <w:szCs w:val="24"/>
        </w:rPr>
        <w:t xml:space="preserve">, </w:t>
      </w:r>
      <w:proofErr w:type="spellStart"/>
      <w:r>
        <w:rPr>
          <w:rFonts w:cs="Times New Roman"/>
          <w:szCs w:val="24"/>
        </w:rPr>
        <w:t>Boran</w:t>
      </w:r>
      <w:proofErr w:type="spellEnd"/>
      <w:r>
        <w:rPr>
          <w:rFonts w:cs="Times New Roman"/>
          <w:szCs w:val="24"/>
        </w:rPr>
        <w:t xml:space="preserve">, and </w:t>
      </w:r>
      <w:proofErr w:type="spellStart"/>
      <w:r>
        <w:rPr>
          <w:rFonts w:cs="Times New Roman"/>
          <w:szCs w:val="24"/>
        </w:rPr>
        <w:t>Rendille</w:t>
      </w:r>
      <w:proofErr w:type="spellEnd"/>
      <w:r>
        <w:rPr>
          <w:rFonts w:cs="Times New Roman"/>
          <w:szCs w:val="24"/>
        </w:rPr>
        <w:t xml:space="preserve"> as a case study. These ethnic groups are involved in pastoralism in East Africa. Despite the diversity of these ethnic groups, they share several commonalities that bind them together. This is also in line with the study of </w:t>
      </w:r>
      <w:r>
        <w:rPr>
          <w:rFonts w:cs="Times New Roman"/>
          <w:szCs w:val="24"/>
        </w:rPr>
        <w:fldChar w:fldCharType="begin" w:fldLock="1"/>
      </w:r>
      <w:r>
        <w:rPr>
          <w:rFonts w:cs="Times New Roman"/>
          <w:szCs w:val="24"/>
        </w:rPr>
        <w:instrText>ADDIN CSL_CITATION {"citationItems":[{"id":"ITEM-1","itemData":{"ISBN":"9781443881715","abstract":"Ethnic diversity and solidarity are often thought to be at odds with each other. In an increasingly diverse society, individuals find it more difficult to identify with other citizens and, therefore, are less willing to show solidarity. Empirical tests of the relationship between diversity and solidarity are, however, inconclusive. This book tests the hypothesis that diversity undermines solidarity in various ways. It discusses the meaning of social solidarity and the different motives that people can have to act solidary, and it examines the relationship between ethnic diversity and solidarity at the national, regional and local levels. These empirical tests use multiple methods, such as an international survey, a vignette study among the Dutch population, and a field experiment involving visitors to a popular market in Amsterdam. The role of the mass media is examined by studying the images of different ethnic groups that are presented in some popular newspapers, TV programmes and a news provider on the Internet. The collection concludes that, although ethnicity is certainly an important factor in understanding patterns of solidarity, there is not a simple linear relationship between ethnic diversity and solidarity. Even though ethnic difference in itself may be a source of discrimination, one cannot conclude from this that increasing ethnic diversity will necessarily result in less solidarity.","author":[{"dropping-particle":"De","family":"Beer","given":"Paul T","non-dropping-particle":"","parse-names":false,"suffix":""}],"container-title":"Ethnic Diversity and Solidarity: A Study of theit Complex Relationship","id":"ITEM-1","issue":"June 2017","issued":{"date-parts":[["2017"]]},"number-of-pages":"1-13","title":"Ethnic Diversity and Solidarity","type":"book"},"uris":["http://www.mendeley.com/documents/?uuid=160bbc9b-48c6-4a7f-b395-415ecf456ba4"]}],"mendeley":{"formattedCitation":"(Beer, 2017)","plainTextFormattedCitation":"(Beer, 2017)","previouslyFormattedCitation":"(Beer, 2017)"},"properties":{"noteIndex":0},"schema":"https://github.com/citation-style-language/schema/raw/master/csl-citation.json"}</w:instrText>
      </w:r>
      <w:r>
        <w:rPr>
          <w:rFonts w:cs="Times New Roman"/>
          <w:szCs w:val="24"/>
        </w:rPr>
        <w:fldChar w:fldCharType="separate"/>
      </w:r>
      <w:r>
        <w:rPr>
          <w:rFonts w:cs="Times New Roman"/>
          <w:noProof/>
          <w:szCs w:val="24"/>
        </w:rPr>
        <w:t>(Beer, 2017)</w:t>
      </w:r>
      <w:r>
        <w:rPr>
          <w:rFonts w:cs="Times New Roman"/>
          <w:szCs w:val="24"/>
        </w:rPr>
        <w:fldChar w:fldCharType="end"/>
      </w:r>
      <w:r>
        <w:rPr>
          <w:rFonts w:cs="Times New Roman"/>
          <w:szCs w:val="24"/>
        </w:rPr>
        <w:t xml:space="preserve">, the author wrote on Ethnic Diversity and Solidarity and found that despite ethnic distinctions potentially leading to discrimination, it is not a valid inference that greater ethnic diversity will automatically lead to reduced solidarity. These findings shows that pastoralism is not limited to one ethnic group, but numerous ethnic groups are involved in it with their exceptional cultural backgrounds. </w:t>
      </w:r>
    </w:p>
    <w:p w:rsidR="00E53882" w:rsidRDefault="00E53882">
      <w:pPr>
        <w:spacing w:before="0" w:after="0" w:line="480" w:lineRule="auto"/>
        <w:rPr>
          <w:rFonts w:cs="Times New Roman"/>
          <w:b/>
          <w:szCs w:val="24"/>
        </w:rPr>
      </w:pPr>
    </w:p>
    <w:p w:rsidR="00E53882" w:rsidRDefault="00B16FF7">
      <w:pPr>
        <w:spacing w:before="0" w:after="0" w:line="480" w:lineRule="auto"/>
        <w:rPr>
          <w:rFonts w:cs="Times New Roman"/>
          <w:b/>
          <w:szCs w:val="24"/>
        </w:rPr>
      </w:pPr>
      <w:r>
        <w:rPr>
          <w:rFonts w:cs="Times New Roman"/>
          <w:b/>
          <w:szCs w:val="24"/>
        </w:rPr>
        <w:t>Language</w:t>
      </w:r>
    </w:p>
    <w:p w:rsidR="00E53882" w:rsidRDefault="00B16FF7">
      <w:pPr>
        <w:spacing w:after="0" w:line="480" w:lineRule="auto"/>
        <w:rPr>
          <w:rFonts w:cs="Times New Roman"/>
          <w:szCs w:val="24"/>
        </w:rPr>
      </w:pPr>
      <w:r>
        <w:rPr>
          <w:rFonts w:cs="Times New Roman"/>
          <w:szCs w:val="24"/>
        </w:rPr>
        <w:t xml:space="preserve">The main language adopted by all pastoralists in the study area is the </w:t>
      </w:r>
      <w:proofErr w:type="spellStart"/>
      <w:r>
        <w:rPr>
          <w:rFonts w:cs="Times New Roman"/>
          <w:szCs w:val="24"/>
        </w:rPr>
        <w:t>Fulbe</w:t>
      </w:r>
      <w:proofErr w:type="spellEnd"/>
      <w:r>
        <w:rPr>
          <w:rFonts w:cs="Times New Roman"/>
          <w:szCs w:val="24"/>
        </w:rPr>
        <w:t xml:space="preserve"> language, even though five ethnic groups were identified to be involved in pastoralism. None of these ethnic groups speak their own language; instead, they use the </w:t>
      </w:r>
      <w:proofErr w:type="spellStart"/>
      <w:r>
        <w:rPr>
          <w:rFonts w:cs="Times New Roman"/>
          <w:szCs w:val="24"/>
        </w:rPr>
        <w:t>Fulbe</w:t>
      </w:r>
      <w:proofErr w:type="spellEnd"/>
      <w:r>
        <w:rPr>
          <w:rFonts w:cs="Times New Roman"/>
          <w:szCs w:val="24"/>
        </w:rPr>
        <w:t xml:space="preserve"> language. This was noted during our discussion: </w:t>
      </w:r>
    </w:p>
    <w:p w:rsidR="00E53882" w:rsidRDefault="00B16FF7">
      <w:pPr>
        <w:spacing w:after="0" w:line="480" w:lineRule="auto"/>
        <w:ind w:left="864"/>
        <w:rPr>
          <w:rFonts w:cs="Times New Roman"/>
          <w:b/>
          <w:szCs w:val="24"/>
        </w:rPr>
      </w:pPr>
      <w:r>
        <w:rPr>
          <w:rFonts w:cs="Times New Roman"/>
          <w:szCs w:val="24"/>
        </w:rPr>
        <w:lastRenderedPageBreak/>
        <w:t>“</w:t>
      </w:r>
      <w:r>
        <w:rPr>
          <w:rFonts w:cs="Times New Roman"/>
          <w:i/>
          <w:szCs w:val="24"/>
        </w:rPr>
        <w:t xml:space="preserve">We do not speak our language frequently anymore; wherever you see us, we are speaking the </w:t>
      </w:r>
      <w:proofErr w:type="spellStart"/>
      <w:r>
        <w:rPr>
          <w:rFonts w:cs="Times New Roman"/>
          <w:i/>
          <w:szCs w:val="24"/>
        </w:rPr>
        <w:t>Fulbe</w:t>
      </w:r>
      <w:proofErr w:type="spellEnd"/>
      <w:r>
        <w:rPr>
          <w:rFonts w:cs="Times New Roman"/>
          <w:i/>
          <w:szCs w:val="24"/>
        </w:rPr>
        <w:t xml:space="preserve"> language, and everybody knows</w:t>
      </w:r>
      <w:r>
        <w:rPr>
          <w:rFonts w:cs="Times New Roman"/>
          <w:szCs w:val="24"/>
        </w:rPr>
        <w:t>” (Focus Group, 2023).</w:t>
      </w:r>
    </w:p>
    <w:p w:rsidR="00E53882" w:rsidRDefault="00E53882">
      <w:pPr>
        <w:spacing w:before="0" w:after="0" w:line="480" w:lineRule="auto"/>
        <w:rPr>
          <w:rFonts w:cs="Times New Roman"/>
          <w:b/>
          <w:szCs w:val="24"/>
        </w:rPr>
      </w:pPr>
    </w:p>
    <w:p w:rsidR="00E53882" w:rsidRDefault="00B16FF7">
      <w:pPr>
        <w:spacing w:before="0" w:after="0" w:line="480" w:lineRule="auto"/>
        <w:rPr>
          <w:rFonts w:cs="Times New Roman"/>
          <w:b/>
          <w:szCs w:val="24"/>
        </w:rPr>
      </w:pPr>
      <w:r>
        <w:rPr>
          <w:rFonts w:cs="Times New Roman"/>
          <w:b/>
          <w:szCs w:val="24"/>
        </w:rPr>
        <w:t>Mode of Dressing</w:t>
      </w:r>
    </w:p>
    <w:p w:rsidR="00E53882" w:rsidRDefault="00B16FF7">
      <w:pPr>
        <w:spacing w:line="480" w:lineRule="auto"/>
        <w:rPr>
          <w:rFonts w:cs="Times New Roman"/>
          <w:szCs w:val="24"/>
        </w:rPr>
      </w:pPr>
      <w:r>
        <w:rPr>
          <w:rFonts w:cs="Times New Roman"/>
          <w:szCs w:val="24"/>
        </w:rPr>
        <w:t xml:space="preserve">All pastoralists in the study area adopt a unique style of dressing. The mode of dressing includes the type of shirt and trousers they wear, the sandals they choose, as well as the hat. They carry a stick and whistle to direct the movement of their cattle. This makes it difficult for the people in the study area to distinguish them. Due to these resemblances, they classify all of them as </w:t>
      </w:r>
      <w:proofErr w:type="spellStart"/>
      <w:r>
        <w:rPr>
          <w:rFonts w:cs="Times New Roman"/>
          <w:szCs w:val="24"/>
        </w:rPr>
        <w:t>Fulbe</w:t>
      </w:r>
      <w:proofErr w:type="spellEnd"/>
      <w:r>
        <w:rPr>
          <w:rFonts w:cs="Times New Roman"/>
          <w:szCs w:val="24"/>
        </w:rPr>
        <w:t xml:space="preserve"> people, as explained by the key informant (Key Informant Interview, 2023).</w:t>
      </w:r>
    </w:p>
    <w:p w:rsidR="00E53882" w:rsidRDefault="00B16FF7">
      <w:pPr>
        <w:spacing w:before="0" w:after="0" w:line="480" w:lineRule="auto"/>
        <w:rPr>
          <w:rFonts w:cs="Times New Roman"/>
          <w:b/>
          <w:szCs w:val="24"/>
        </w:rPr>
      </w:pPr>
      <w:r>
        <w:rPr>
          <w:rFonts w:cs="Times New Roman"/>
          <w:b/>
          <w:szCs w:val="24"/>
        </w:rPr>
        <w:t>Major Occupation</w:t>
      </w:r>
    </w:p>
    <w:p w:rsidR="00E53882" w:rsidRDefault="00B16FF7">
      <w:pPr>
        <w:spacing w:after="0" w:line="480" w:lineRule="auto"/>
        <w:rPr>
          <w:rFonts w:cs="Times New Roman"/>
          <w:szCs w:val="24"/>
        </w:rPr>
      </w:pPr>
      <w:r>
        <w:rPr>
          <w:rFonts w:cs="Times New Roman"/>
          <w:szCs w:val="24"/>
        </w:rPr>
        <w:t>The major occupation of the pastoralists in the study area is the rearing of cattle. This could involve taking care of their own cattle or being hired by someone to look after theirs. In addition to this, they also engage in selling livestock, provisions, backyard farming, and other minor businesses. It is worth noting that some pastoralists in the study area have stopped taking care of animals and have now turned to farming as their primary livelihood activity (In-depth Interviews, 2023).</w:t>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szCs w:val="24"/>
        </w:rPr>
      </w:pPr>
      <w:r>
        <w:rPr>
          <w:rFonts w:cs="Times New Roman"/>
          <w:szCs w:val="24"/>
        </w:rPr>
        <w:t xml:space="preserve">In spite of the presence of different ethnic groups involve in pastoralism in the study area, the main language chosen by these pastoralists is the </w:t>
      </w:r>
      <w:proofErr w:type="spellStart"/>
      <w:r>
        <w:rPr>
          <w:rFonts w:cs="Times New Roman"/>
          <w:szCs w:val="24"/>
        </w:rPr>
        <w:t>fulbe</w:t>
      </w:r>
      <w:proofErr w:type="spellEnd"/>
      <w:r>
        <w:rPr>
          <w:rFonts w:cs="Times New Roman"/>
          <w:szCs w:val="24"/>
        </w:rPr>
        <w:t xml:space="preserve"> language known as Fulfulde.  This shows how strong the </w:t>
      </w:r>
      <w:proofErr w:type="spellStart"/>
      <w:r>
        <w:rPr>
          <w:rFonts w:cs="Times New Roman"/>
          <w:szCs w:val="24"/>
        </w:rPr>
        <w:t>fulbe</w:t>
      </w:r>
      <w:proofErr w:type="spellEnd"/>
      <w:r>
        <w:rPr>
          <w:rFonts w:cs="Times New Roman"/>
          <w:szCs w:val="24"/>
        </w:rPr>
        <w:t xml:space="preserve"> culture and language is, in influencing other ethnic groups. The adaption of this language is to enhance easy communication among themselves. It also </w:t>
      </w:r>
      <w:r>
        <w:rPr>
          <w:rFonts w:cs="Times New Roman"/>
          <w:szCs w:val="24"/>
        </w:rPr>
        <w:lastRenderedPageBreak/>
        <w:t xml:space="preserve">enhances coordination and cooperation among them, particularly when they are moving their cattle and managing their livelihood. The unique style of dressing promote uniformity in their appearance. This connection promotes a sense of identify and bond among these ethnic groups. However, this study does not delve in to potential cultural variations within the common language and style of dressing, which could be investigated into, in future studies. This aligns with the study of  </w:t>
      </w:r>
      <w:proofErr w:type="spellStart"/>
      <w:r>
        <w:rPr>
          <w:rFonts w:cs="Times New Roman"/>
          <w:szCs w:val="24"/>
        </w:rPr>
        <w:t>Ouoba</w:t>
      </w:r>
      <w:proofErr w:type="spellEnd"/>
      <w:r>
        <w:rPr>
          <w:rFonts w:cs="Times New Roman"/>
          <w:szCs w:val="24"/>
        </w:rPr>
        <w:t xml:space="preserve">, the author wrote on characteristics and dynamics of transhumance in </w:t>
      </w:r>
      <w:proofErr w:type="spellStart"/>
      <w:r>
        <w:rPr>
          <w:rFonts w:cs="Times New Roman"/>
          <w:szCs w:val="24"/>
        </w:rPr>
        <w:t>Nuoho</w:t>
      </w:r>
      <w:proofErr w:type="spellEnd"/>
      <w:r>
        <w:rPr>
          <w:rFonts w:cs="Times New Roman"/>
          <w:szCs w:val="24"/>
        </w:rPr>
        <w:t xml:space="preserve">, she found that pastoralists traditional clothing is often an essential element of cultural expression </w:t>
      </w:r>
      <w:r>
        <w:rPr>
          <w:rFonts w:cs="Times New Roman"/>
          <w:szCs w:val="24"/>
        </w:rPr>
        <w:fldChar w:fldCharType="begin" w:fldLock="1"/>
      </w:r>
      <w:r>
        <w:rPr>
          <w:rFonts w:cs="Times New Roman"/>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cs="Times New Roman"/>
          <w:szCs w:val="24"/>
        </w:rPr>
        <w:fldChar w:fldCharType="separate"/>
      </w:r>
      <w:r>
        <w:rPr>
          <w:rFonts w:cs="Times New Roman"/>
          <w:noProof/>
          <w:szCs w:val="24"/>
        </w:rPr>
        <w:t>(Ouoba-Ima, 2018)</w:t>
      </w:r>
      <w:r>
        <w:rPr>
          <w:rFonts w:cs="Times New Roman"/>
          <w:szCs w:val="24"/>
        </w:rPr>
        <w:fldChar w:fldCharType="end"/>
      </w:r>
      <w:r>
        <w:rPr>
          <w:rFonts w:cs="Times New Roman"/>
          <w:szCs w:val="24"/>
        </w:rPr>
        <w:t xml:space="preserve">. The major occupation of the pastoralists in the study area is the rearing of cattle. They engage in selling livestock, provisions, backyard farming, and other minor businesses. This shows their adaptability and resilience in achieving their livelihood needs. This finding is also in line with scholarly research on pastoralist livelihoods, which put emphasis on the vital role of livestock in sustaining pastoralists livelihoods </w:t>
      </w:r>
      <w:r>
        <w:rPr>
          <w:rFonts w:cs="Times New Roman"/>
          <w:bCs/>
          <w:iCs/>
          <w:szCs w:val="24"/>
        </w:rPr>
        <w:fldChar w:fldCharType="begin" w:fldLock="1"/>
      </w:r>
      <w:r>
        <w:rPr>
          <w:rFonts w:cs="Times New Roman"/>
          <w:bCs/>
          <w:iCs/>
          <w:szCs w:val="24"/>
        </w:rPr>
        <w:instrText>ADDIN CSL_CITATION {"citationItems":[{"id":"ITEM-1","itemData":{"abstract":"Despite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Africa","id":"ITEM-1","issue":"2","issued":{"date-parts":[["2017"]]},"page":"51-55","title":"SUSTAINABLE PASTORALISM AND RANGELANDS IN AFRICA","type":"article-journal","volume":"31"},"uris":["http://www.mendeley.com/documents/?uuid=7111be2c-d8fe-4652-9aad-a1008e384fd1"]},{"id":"ITEM-2","itemData":{"DOI":"10.1016/J.LCSI.2017.03.003","ISSN":"2210-6561","abstract":"Livestock herding practice is globally viewed as a male responsibility which males learn at a young age and hence, limits education access. The study probes the cultural influence of herding on male herders and perhaps its influence on their learning preferences and styles. The study further explores the resourcefulness of social relationships in enhancing further literacy learning among the herders. Drawing on the social capital concept, this study seeks to explore its instrumentality in influencing learning. The interviews; transect walks and photo voice were employed to collect data on a group of 30 purposively sampled adult male Basotho herders. Results show that; herding is a rich learning resource of indigenous knowledge (IK). The study suggests a holistic non-formal education (NFE) provision that embraces the herders (lifestyles, social networks as well as IK practices) and a need for NFE policy and practice to explore the relevance of social literacy in its programming.","author":[{"dropping-particle":"","family":"Pitikoe","given":"Selloane","non-dropping-particle":"","parse-names":false,"suffix":""}],"container-title":"Learning, Culture and Social Interaction","id":"ITEM-2","issued":{"date-parts":[["2017","6","1"]]},"page":"104-112","publisher":"Elsevier","title":"Basotho herders learn through culture and social interaction","type":"article-journal","volume":"13"},"uris":["http://www.mendeley.com/documents/?uuid=5db18828-74d7-3b89-a79e-2f82d004f532"]}],"mendeley":{"formattedCitation":"(FAO, 2017; Pitikoe, 2017)","plainTextFormattedCitation":"(FAO, 2017; Pitikoe, 2017)","previouslyFormattedCitation":"(FAO, 2017; Pitikoe, 2017)"},"properties":{"noteIndex":0},"schema":"https://github.com/citation-style-language/schema/raw/master/csl-citation.json"}</w:instrText>
      </w:r>
      <w:r>
        <w:rPr>
          <w:rFonts w:cs="Times New Roman"/>
          <w:bCs/>
          <w:iCs/>
          <w:szCs w:val="24"/>
        </w:rPr>
        <w:fldChar w:fldCharType="separate"/>
      </w:r>
      <w:r>
        <w:rPr>
          <w:rFonts w:cs="Times New Roman"/>
          <w:bCs/>
          <w:iCs/>
          <w:noProof/>
          <w:szCs w:val="24"/>
        </w:rPr>
        <w:t>(FAO, 2017; Pitikoe, 2017)</w:t>
      </w:r>
      <w:r>
        <w:rPr>
          <w:rFonts w:cs="Times New Roman"/>
          <w:szCs w:val="24"/>
        </w:rPr>
        <w:fldChar w:fldCharType="end"/>
      </w:r>
      <w:r>
        <w:rPr>
          <w:rFonts w:cs="Times New Roman"/>
          <w:szCs w:val="24"/>
        </w:rPr>
        <w:t>.</w:t>
      </w:r>
    </w:p>
    <w:p w:rsidR="00E53882" w:rsidRDefault="00E53882">
      <w:pPr>
        <w:spacing w:before="0" w:after="0" w:line="480" w:lineRule="auto"/>
        <w:rPr>
          <w:rFonts w:cs="Times New Roman"/>
          <w:b/>
          <w:vanish/>
          <w:szCs w:val="24"/>
        </w:rPr>
      </w:pPr>
    </w:p>
    <w:p w:rsidR="00E53882" w:rsidRDefault="00E53882">
      <w:pPr>
        <w:spacing w:before="0" w:after="0" w:line="480" w:lineRule="auto"/>
        <w:rPr>
          <w:rFonts w:cs="Times New Roman"/>
          <w:b/>
          <w:vanish/>
          <w:szCs w:val="24"/>
        </w:rPr>
      </w:pPr>
    </w:p>
    <w:p w:rsidR="00E53882" w:rsidRDefault="00E53882">
      <w:pPr>
        <w:spacing w:before="0" w:after="0" w:line="480" w:lineRule="auto"/>
        <w:rPr>
          <w:rFonts w:cs="Times New Roman"/>
          <w:b/>
          <w:szCs w:val="24"/>
        </w:rPr>
      </w:pPr>
    </w:p>
    <w:p w:rsidR="00E53882" w:rsidRDefault="00B16FF7">
      <w:pPr>
        <w:spacing w:before="0" w:after="0" w:line="480" w:lineRule="auto"/>
        <w:rPr>
          <w:rFonts w:cs="Times New Roman"/>
          <w:b/>
          <w:szCs w:val="24"/>
        </w:rPr>
      </w:pPr>
      <w:r>
        <w:rPr>
          <w:rFonts w:cs="Times New Roman"/>
          <w:b/>
          <w:szCs w:val="24"/>
        </w:rPr>
        <w:t>Marriage</w:t>
      </w:r>
    </w:p>
    <w:p w:rsidR="00E53882" w:rsidRDefault="00B16FF7">
      <w:pPr>
        <w:spacing w:before="0" w:after="0" w:line="480" w:lineRule="auto"/>
        <w:rPr>
          <w:rFonts w:cs="Times New Roman"/>
          <w:szCs w:val="24"/>
        </w:rPr>
      </w:pPr>
      <w:r>
        <w:rPr>
          <w:rFonts w:cs="Times New Roman"/>
          <w:szCs w:val="24"/>
        </w:rPr>
        <w:t xml:space="preserve">All pastoralists in the study area do not marry among themselves. For instance, </w:t>
      </w:r>
      <w:proofErr w:type="spellStart"/>
      <w:r>
        <w:rPr>
          <w:rFonts w:cs="Times New Roman"/>
          <w:szCs w:val="24"/>
        </w:rPr>
        <w:t>Fulbe</w:t>
      </w:r>
      <w:proofErr w:type="spellEnd"/>
      <w:r>
        <w:rPr>
          <w:rFonts w:cs="Times New Roman"/>
          <w:szCs w:val="24"/>
        </w:rPr>
        <w:t xml:space="preserve"> marry their fellow </w:t>
      </w:r>
      <w:proofErr w:type="spellStart"/>
      <w:r>
        <w:rPr>
          <w:rFonts w:cs="Times New Roman"/>
          <w:szCs w:val="24"/>
        </w:rPr>
        <w:t>Fulbe</w:t>
      </w:r>
      <w:proofErr w:type="spellEnd"/>
      <w:r>
        <w:rPr>
          <w:rFonts w:cs="Times New Roman"/>
          <w:szCs w:val="24"/>
        </w:rPr>
        <w:t xml:space="preserve"> members and do not marry </w:t>
      </w:r>
      <w:proofErr w:type="spellStart"/>
      <w:r>
        <w:rPr>
          <w:rFonts w:cs="Times New Roman"/>
          <w:szCs w:val="24"/>
        </w:rPr>
        <w:t>Jerigonji</w:t>
      </w:r>
      <w:proofErr w:type="spellEnd"/>
      <w:r>
        <w:rPr>
          <w:rFonts w:cs="Times New Roman"/>
          <w:szCs w:val="24"/>
        </w:rPr>
        <w:t xml:space="preserve"> (</w:t>
      </w:r>
      <w:proofErr w:type="spellStart"/>
      <w:r>
        <w:rPr>
          <w:rFonts w:cs="Times New Roman"/>
          <w:szCs w:val="24"/>
        </w:rPr>
        <w:t>Maasai</w:t>
      </w:r>
      <w:proofErr w:type="spellEnd"/>
      <w:r>
        <w:rPr>
          <w:rFonts w:cs="Times New Roman"/>
          <w:szCs w:val="24"/>
        </w:rPr>
        <w:t xml:space="preserve">). However, there is no taboo in the tradition of the pastoralists that prevents them from marrying each other, as revealed by the Key Informant: </w:t>
      </w:r>
    </w:p>
    <w:p w:rsidR="00E53882" w:rsidRDefault="00B16FF7">
      <w:pPr>
        <w:spacing w:before="0" w:after="0" w:line="480" w:lineRule="auto"/>
        <w:ind w:left="720"/>
        <w:rPr>
          <w:rFonts w:cs="Times New Roman"/>
          <w:szCs w:val="24"/>
        </w:rPr>
      </w:pPr>
      <w:r>
        <w:rPr>
          <w:rFonts w:cs="Times New Roman"/>
          <w:i/>
          <w:szCs w:val="24"/>
        </w:rPr>
        <w:t>“We do not marry from each other, but there is no taboo that prevents us from marrying each other,”</w:t>
      </w:r>
      <w:r>
        <w:rPr>
          <w:rFonts w:cs="Times New Roman"/>
          <w:szCs w:val="24"/>
        </w:rPr>
        <w:t xml:space="preserve"> says the 50-year-old pastoralist on June 24, 2023.</w:t>
      </w:r>
    </w:p>
    <w:p w:rsidR="00E53882" w:rsidRDefault="00B16FF7">
      <w:pPr>
        <w:spacing w:before="0" w:after="0" w:line="480" w:lineRule="auto"/>
        <w:rPr>
          <w:rFonts w:cs="Times New Roman"/>
          <w:szCs w:val="24"/>
        </w:rPr>
      </w:pPr>
      <w:r>
        <w:rPr>
          <w:rFonts w:cs="Times New Roman"/>
          <w:szCs w:val="24"/>
        </w:rPr>
        <w:t xml:space="preserve">Aside from not marrying among themselves, they also express reluctance to marry individuals from other tribes. </w:t>
      </w:r>
    </w:p>
    <w:p w:rsidR="00E53882" w:rsidRDefault="00B16FF7">
      <w:pPr>
        <w:spacing w:before="0" w:after="0" w:line="480" w:lineRule="auto"/>
        <w:ind w:left="720"/>
        <w:rPr>
          <w:rFonts w:cs="Times New Roman"/>
          <w:szCs w:val="24"/>
        </w:rPr>
      </w:pPr>
      <w:r>
        <w:rPr>
          <w:rFonts w:cs="Times New Roman"/>
          <w:i/>
          <w:szCs w:val="24"/>
        </w:rPr>
        <w:lastRenderedPageBreak/>
        <w:t>“Wherever we settle, we do not make conscious efforts to get married to people within the host community; we always look for our mates to marry,”</w:t>
      </w:r>
      <w:r>
        <w:rPr>
          <w:rFonts w:cs="Times New Roman"/>
          <w:szCs w:val="24"/>
        </w:rPr>
        <w:t xml:space="preserve"> said the 61-year-old pastoralist on December 31, 2022 (Key Informant Interview, 2023).</w:t>
      </w:r>
    </w:p>
    <w:p w:rsidR="00E53882" w:rsidRDefault="00B16FF7">
      <w:pPr>
        <w:spacing w:before="0" w:after="0" w:line="480" w:lineRule="auto"/>
        <w:rPr>
          <w:rFonts w:cs="Times New Roman"/>
          <w:szCs w:val="24"/>
        </w:rPr>
      </w:pPr>
      <w:r>
        <w:rPr>
          <w:rFonts w:cs="Times New Roman"/>
          <w:szCs w:val="24"/>
        </w:rPr>
        <w:t xml:space="preserve">The practice of </w:t>
      </w:r>
      <w:r>
        <w:rPr>
          <w:rFonts w:cs="Times New Roman"/>
          <w:vanish/>
          <w:szCs w:val="24"/>
        </w:rPr>
        <w:t>Top of Form</w:t>
      </w:r>
      <w:r>
        <w:rPr>
          <w:rFonts w:cs="Times New Roman"/>
          <w:szCs w:val="24"/>
        </w:rPr>
        <w:t xml:space="preserve">endogamy marriage may be attributed to factors such as cultural preservation, shared values, and a desire to maintain social cohesion within their respective ethnic groups. This finding aligns with the work of </w:t>
      </w:r>
      <w:r>
        <w:rPr>
          <w:rFonts w:cs="Times New Roman"/>
          <w:szCs w:val="24"/>
        </w:rPr>
        <w:fldChar w:fldCharType="begin" w:fldLock="1"/>
      </w:r>
      <w:r>
        <w:rPr>
          <w:rFonts w:cs="Times New Roman"/>
          <w:szCs w:val="24"/>
        </w:rPr>
        <w:instrText>ADDIN CSL_CITATION {"citationItems":[{"id":"ITEM-1","itemData":{"DOI":"10.1016/j.ssresearch.2003.11.001","author":[{"dropping-particle":"","family":"Sherkat","given":"Darren","non-dropping-particle":"","parse-names":false,"suffix":""}],"container-title":"Social Science Research","id":"ITEM-1","issued":{"date-parts":[["2004","12","1"]]},"page":"606-625","title":"Sherkat, D. (2004). Religious Intermarriage in the United States: Trends, Patterns, and Predictors. Social Science Research, 33, 606–625. https://doi.org/10.1016/j.ssresearch.2003.11.001Religious Intermarriage in the United States: Trends, Patterns, and P","type":"article-journal","volume":"33"},"uris":["http://www.mendeley.com/documents/?uuid=88f25cc3-8024-47d9-821f-2501be954667"]}],"mendeley":{"formattedCitation":"(Sherkat, 2004)","manualFormatting":"Sherkat, (2004)","plainTextFormattedCitation":"(Sherkat, 2004)","previouslyFormattedCitation":"(Sherkat, 2004)"},"properties":{"noteIndex":0},"schema":"https://github.com/citation-style-language/schema/raw/master/csl-citation.json"}</w:instrText>
      </w:r>
      <w:r>
        <w:rPr>
          <w:rFonts w:cs="Times New Roman"/>
          <w:szCs w:val="24"/>
        </w:rPr>
        <w:fldChar w:fldCharType="separate"/>
      </w:r>
      <w:r>
        <w:rPr>
          <w:rFonts w:cs="Times New Roman"/>
          <w:noProof/>
          <w:szCs w:val="24"/>
        </w:rPr>
        <w:t>Sherkat, (2004)</w:t>
      </w:r>
      <w:r>
        <w:rPr>
          <w:rFonts w:cs="Times New Roman"/>
          <w:szCs w:val="24"/>
        </w:rPr>
        <w:fldChar w:fldCharType="end"/>
      </w:r>
      <w:r>
        <w:rPr>
          <w:rFonts w:ascii="Segoe UI" w:hAnsi="Segoe UI" w:cs="Segoe UI"/>
          <w:color w:val="374151"/>
          <w:shd w:val="clear" w:color="auto" w:fill="F7F7F8"/>
        </w:rPr>
        <w:t xml:space="preserve"> </w:t>
      </w:r>
      <w:r>
        <w:rPr>
          <w:rFonts w:cs="Times New Roman"/>
          <w:szCs w:val="24"/>
        </w:rPr>
        <w:t>who wrote on Religious Intermarriage in the United States: Trends, Patterns, and Predictors. The author indicated that</w:t>
      </w:r>
      <w:r>
        <w:rPr>
          <w:rFonts w:cs="Times New Roman"/>
          <w:color w:val="374151"/>
          <w:szCs w:val="24"/>
          <w:shd w:val="clear" w:color="auto" w:fill="F7F7F8"/>
        </w:rPr>
        <w:t xml:space="preserve"> </w:t>
      </w:r>
      <w:r>
        <w:rPr>
          <w:rFonts w:cs="Times New Roman"/>
          <w:szCs w:val="24"/>
        </w:rPr>
        <w:t>high levels of ethnic endogamy might not necessarily result from specific ethnic preferences alone; instead, they could stem from preferences for other traits that tend to align with ethnicity. As an illustration, considering the significant influence of family involvement in the customs and observances of numerous religions, it's not unexpected to observe notably high rates of religious homogamy.</w:t>
      </w:r>
    </w:p>
    <w:p w:rsidR="00E53882" w:rsidRDefault="00E53882">
      <w:pPr>
        <w:spacing w:before="0" w:after="0" w:line="480" w:lineRule="auto"/>
        <w:rPr>
          <w:rFonts w:cs="Times New Roman"/>
          <w:b/>
          <w:szCs w:val="24"/>
          <w:lang w:val="en"/>
        </w:rPr>
      </w:pPr>
    </w:p>
    <w:p w:rsidR="00E53882" w:rsidRDefault="00B16FF7">
      <w:pPr>
        <w:spacing w:before="0" w:after="0" w:line="480" w:lineRule="auto"/>
        <w:rPr>
          <w:rFonts w:cs="Times New Roman"/>
          <w:b/>
          <w:szCs w:val="24"/>
          <w:lang w:val="en"/>
        </w:rPr>
      </w:pPr>
      <w:r>
        <w:rPr>
          <w:rFonts w:cs="Times New Roman"/>
          <w:b/>
          <w:szCs w:val="24"/>
          <w:lang w:val="en"/>
        </w:rPr>
        <w:t>Transfer of Knowledge</w:t>
      </w:r>
    </w:p>
    <w:p w:rsidR="00E53882" w:rsidRDefault="00B16FF7">
      <w:pPr>
        <w:spacing w:before="0" w:after="0" w:line="480" w:lineRule="auto"/>
        <w:rPr>
          <w:rFonts w:cs="Times New Roman"/>
          <w:szCs w:val="24"/>
        </w:rPr>
      </w:pPr>
      <w:r>
        <w:rPr>
          <w:rFonts w:cs="Times New Roman"/>
          <w:szCs w:val="24"/>
        </w:rPr>
        <w:t xml:space="preserve">Pastoralists possess knowledge and know-how specific to their profession, which is transmitted from generation to generation. From an early age, children learn to care for animals, tend to them, and identify beneficial herbs. </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Our grandfather took care of cattle until he gave birth to our father and taught him how to rear cattle. Our father, in turn, taught us how to care for cattle. We will also pass this knowledge to our children</w:t>
      </w:r>
      <w:r>
        <w:rPr>
          <w:rFonts w:cs="Times New Roman"/>
          <w:szCs w:val="24"/>
        </w:rPr>
        <w:t>” (</w:t>
      </w:r>
      <w:proofErr w:type="spellStart"/>
      <w:r>
        <w:rPr>
          <w:rFonts w:cs="Times New Roman"/>
          <w:szCs w:val="24"/>
        </w:rPr>
        <w:t>Fulbe</w:t>
      </w:r>
      <w:proofErr w:type="spellEnd"/>
      <w:r>
        <w:rPr>
          <w:rFonts w:cs="Times New Roman"/>
          <w:szCs w:val="24"/>
        </w:rPr>
        <w:t xml:space="preserve"> Pastoralists, 35-year-old male participant on June 25, 2023).</w:t>
      </w:r>
    </w:p>
    <w:p w:rsidR="00E53882" w:rsidRDefault="00B16FF7">
      <w:pPr>
        <w:spacing w:before="0" w:after="0" w:line="480" w:lineRule="auto"/>
        <w:rPr>
          <w:rFonts w:cs="Times New Roman"/>
          <w:i/>
          <w:szCs w:val="24"/>
        </w:rPr>
      </w:pPr>
      <w:r>
        <w:rPr>
          <w:rFonts w:cs="Times New Roman"/>
          <w:szCs w:val="24"/>
        </w:rPr>
        <w:lastRenderedPageBreak/>
        <w:t>However, the sustainability of this occupation is at stake. In recent times, pastoralists in the study area have begun allowing both their male and female children to learn tailoring, hairdressing, attend school, and engage in other business activities</w:t>
      </w:r>
      <w:r>
        <w:rPr>
          <w:rFonts w:cs="Times New Roman"/>
          <w:i/>
          <w:szCs w:val="24"/>
        </w:rPr>
        <w:t>.</w:t>
      </w:r>
    </w:p>
    <w:p w:rsidR="00E53882" w:rsidRDefault="00B16FF7">
      <w:pPr>
        <w:spacing w:line="480" w:lineRule="auto"/>
        <w:ind w:left="720"/>
        <w:rPr>
          <w:rFonts w:cs="Times New Roman"/>
          <w:szCs w:val="24"/>
        </w:rPr>
      </w:pPr>
      <w:r>
        <w:rPr>
          <w:rFonts w:cs="Times New Roman"/>
          <w:i/>
          <w:szCs w:val="24"/>
        </w:rPr>
        <w:t xml:space="preserve"> “I have two of my children learning tailoring here; some have also allowed their children to learn hairdressing and other hand skills businesses</w:t>
      </w:r>
      <w:r>
        <w:rPr>
          <w:rFonts w:cs="Times New Roman"/>
          <w:szCs w:val="24"/>
        </w:rPr>
        <w:t>,” says the 60-year-old pastoralist on June 24, 2023 (Key Informant Interview, 2023).</w:t>
      </w:r>
    </w:p>
    <w:p w:rsidR="000C40E7" w:rsidRPr="000C40E7" w:rsidRDefault="00B16FF7" w:rsidP="000C40E7">
      <w:pPr>
        <w:spacing w:line="480" w:lineRule="auto"/>
        <w:rPr>
          <w:rFonts w:cs="Times New Roman"/>
          <w:szCs w:val="24"/>
        </w:rPr>
      </w:pPr>
      <w:r>
        <w:rPr>
          <w:rFonts w:cs="Times New Roman"/>
          <w:szCs w:val="24"/>
        </w:rPr>
        <w:t xml:space="preserve">These findings show the importance of intergenerational learning and gaining a specific skill relevant to taking care of animals and finding the right fodder for them. The transfer of knowledge from father to son signifies the importance of pastoralism in their culture. The recent diversification of pastoralist children towards non-pastoralists skills may have negative implications on the sustainability of this profession. Emphasizing the need to preserve this tradition. Nonetheless, this study does not delve into the impact of this diversification on pastoralist future sustainability. Further research can be carryout to investigate the consequences of changing livelihood among pastoralist’s children on the continuity of their tradition. This aligns with the findings of other scholars who have studied pastoral communities. A study by </w:t>
      </w:r>
      <w:r>
        <w:rPr>
          <w:rFonts w:cs="Times New Roman"/>
          <w:szCs w:val="24"/>
        </w:rPr>
        <w:fldChar w:fldCharType="begin" w:fldLock="1"/>
      </w:r>
      <w:r>
        <w:rPr>
          <w:rFonts w:cs="Times New Roman"/>
          <w:szCs w:val="24"/>
        </w:rPr>
        <w:instrText>ADDIN CSL_CITATION {"citationItems":[{"id":"ITEM-1","itemData":{"DOI":"10.1016/J.LCSI.2017.03.003","ISSN":"2210-6561","abstract":"Livestock herding practice is globally viewed as a male responsibility which males learn at a young age and hence, limits education access. The study probes the cultural influence of herding on male herders and perhaps its influence on their learning preferences and styles. The study further explores the resourcefulness of social relationships in enhancing further literacy learning among the herders. Drawing on the social capital concept, this study seeks to explore its instrumentality in influencing learning. The interviews; transect walks and photo voice were employed to collect data on a group of 30 purposively sampled adult male Basotho herders. Results show that; herding is a rich learning resource of indigenous knowledge (IK). The study suggests a holistic non-formal education (NFE) provision that embraces the herders (lifestyles, social networks as well as IK practices) and a need for NFE policy and practice to explore the relevance of social literacy in its programming.","author":[{"dropping-particle":"","family":"Pitikoe","given":"Selloane","non-dropping-particle":"","parse-names":false,"suffix":""}],"container-title":"Learning, Culture and Social Interaction","id":"ITEM-1","issued":{"date-parts":[["2017","6","1"]]},"page":"104-112","publisher":"Elsevier","title":"Basotho herders learn through culture and social interaction","type":"article-journal","volume":"13"},"uris":["http://www.mendeley.com/documents/?uuid=5db18828-74d7-3b89-a79e-2f82d004f532"]}],"mendeley":{"formattedCitation":"(Pitikoe, 2017)","manualFormatting":"Pitikoe, (2017)","plainTextFormattedCitation":"(Pitikoe, 2017)","previouslyFormattedCitation":"(Pitikoe, 2017)"},"properties":{"noteIndex":0},"schema":"https://github.com/citation-style-language/schema/raw/master/csl-citation.json"}</w:instrText>
      </w:r>
      <w:r>
        <w:rPr>
          <w:rFonts w:cs="Times New Roman"/>
          <w:szCs w:val="24"/>
        </w:rPr>
        <w:fldChar w:fldCharType="separate"/>
      </w:r>
      <w:r>
        <w:rPr>
          <w:rFonts w:cs="Times New Roman"/>
          <w:noProof/>
          <w:szCs w:val="24"/>
        </w:rPr>
        <w:t>Pitikoe, (2017)</w:t>
      </w:r>
      <w:r>
        <w:rPr>
          <w:rFonts w:cs="Times New Roman"/>
          <w:szCs w:val="24"/>
        </w:rPr>
        <w:fldChar w:fldCharType="end"/>
      </w:r>
      <w:r>
        <w:rPr>
          <w:rFonts w:cs="Times New Roman"/>
          <w:szCs w:val="24"/>
        </w:rPr>
        <w:t xml:space="preserve"> on “Basotho herders learn through culture and social interaction” found that herding is a rich learning resource of indigenous knowledge. It is also in line with the work of </w:t>
      </w:r>
      <w:r>
        <w:rPr>
          <w:rFonts w:cs="Times New Roman"/>
          <w:szCs w:val="24"/>
        </w:rPr>
        <w:fldChar w:fldCharType="begin" w:fldLock="1"/>
      </w:r>
      <w:r>
        <w:rPr>
          <w:rFonts w:cs="Times New Roman"/>
          <w:szCs w:val="24"/>
        </w:rPr>
        <w:instrText>ADDIN CSL_CITATION {"citationItems":[{"id":"ITEM-1","itemData":{"DOI":"10.1007/978-3-030-67930-9_35-1","ISBN":"978-3-030-67930-9","author":[{"dropping-particle":"","family":"Tambaum","given":"Tiina","non-dropping-particle":"","parse-names":false,"suffix":""}],"id":"ITEM-1","issued":{"date-parts":[["2022","9","17"]]},"page":"1-24","title":"Intergenerational Learning in Action","type":"chapter"},"uris":["http://www.mendeley.com/documents/?uuid=a5faac26-ddb0-4dee-a3a1-3b0fb1ba14e3"]}],"mendeley":{"formattedCitation":"(Tambaum, 2022)","manualFormatting":"Tambaum, (2022)","plainTextFormattedCitation":"(Tambaum, 2022)","previouslyFormattedCitation":"(Tambaum, 2022)"},"properties":{"noteIndex":0},"schema":"https://github.com/citation-style-language/schema/raw/master/csl-citation.json"}</w:instrText>
      </w:r>
      <w:r>
        <w:rPr>
          <w:rFonts w:cs="Times New Roman"/>
          <w:szCs w:val="24"/>
        </w:rPr>
        <w:fldChar w:fldCharType="separate"/>
      </w:r>
      <w:r>
        <w:rPr>
          <w:rFonts w:cs="Times New Roman"/>
          <w:noProof/>
          <w:szCs w:val="24"/>
        </w:rPr>
        <w:t>Tambaum, (2022)</w:t>
      </w:r>
      <w:r>
        <w:rPr>
          <w:rFonts w:cs="Times New Roman"/>
          <w:szCs w:val="24"/>
        </w:rPr>
        <w:fldChar w:fldCharType="end"/>
      </w:r>
      <w:r>
        <w:rPr>
          <w:rFonts w:cs="Times New Roman"/>
          <w:szCs w:val="24"/>
        </w:rPr>
        <w:t>, she wrote on Intergenerational Learning in Action and emphasize the need for it. This indicates that the transmission of specialized knowledge and know-how is an integral part of the pastoralist way of life.</w:t>
      </w:r>
    </w:p>
    <w:p w:rsidR="00E53882" w:rsidRDefault="00B16FF7">
      <w:pPr>
        <w:pStyle w:val="Heading2"/>
        <w:spacing w:line="480" w:lineRule="auto"/>
      </w:pPr>
      <w:bookmarkStart w:id="88" w:name="_Toc164261713"/>
      <w:r>
        <w:lastRenderedPageBreak/>
        <w:t>4.2 Pastoralists Symbolic Belief on livestock’s</w:t>
      </w:r>
      <w:bookmarkEnd w:id="88"/>
    </w:p>
    <w:p w:rsidR="00E53882" w:rsidRDefault="00B16FF7">
      <w:pPr>
        <w:spacing w:line="480" w:lineRule="auto"/>
        <w:rPr>
          <w:rFonts w:cs="Times New Roman"/>
          <w:szCs w:val="24"/>
        </w:rPr>
      </w:pPr>
      <w:r>
        <w:rPr>
          <w:rFonts w:cs="Times New Roman"/>
          <w:szCs w:val="24"/>
        </w:rPr>
        <w:t xml:space="preserve">The Key Informant Interviews (KII) revealed that </w:t>
      </w:r>
      <w:proofErr w:type="spellStart"/>
      <w:r>
        <w:rPr>
          <w:rFonts w:cs="Times New Roman"/>
          <w:szCs w:val="24"/>
        </w:rPr>
        <w:t>Fulbe</w:t>
      </w:r>
      <w:proofErr w:type="spellEnd"/>
      <w:r>
        <w:rPr>
          <w:rFonts w:cs="Times New Roman"/>
          <w:szCs w:val="24"/>
        </w:rPr>
        <w:t xml:space="preserve"> pastoralists are the only group capable of interpreting profound meanings within cattle. They possess the ability to look at a cow and forestall future occurrences specific to that particular cow. However, not all </w:t>
      </w:r>
      <w:proofErr w:type="spellStart"/>
      <w:r>
        <w:rPr>
          <w:rFonts w:cs="Times New Roman"/>
          <w:szCs w:val="24"/>
        </w:rPr>
        <w:t>Fulbe</w:t>
      </w:r>
      <w:proofErr w:type="spellEnd"/>
      <w:r>
        <w:rPr>
          <w:rFonts w:cs="Times New Roman"/>
          <w:szCs w:val="24"/>
        </w:rPr>
        <w:t xml:space="preserve"> pastoralists share this skill. Despite significant similarities between these ethnic groups, their knowledge of cattle is what sets them apart. These insights were captured during our discussion:</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 xml:space="preserve">None of the tribes can understand cattle more than </w:t>
      </w:r>
      <w:proofErr w:type="spellStart"/>
      <w:r>
        <w:rPr>
          <w:rFonts w:cs="Times New Roman"/>
          <w:i/>
          <w:szCs w:val="24"/>
        </w:rPr>
        <w:t>Fulbe</w:t>
      </w:r>
      <w:proofErr w:type="spellEnd"/>
      <w:r>
        <w:rPr>
          <w:rFonts w:cs="Times New Roman"/>
          <w:i/>
          <w:szCs w:val="24"/>
        </w:rPr>
        <w:t xml:space="preserve"> pastoralists, even if they have thousands of them. We can enter your ranch and show you—this cattle's appearance indicates this, and if you don't isolate it, they will use it to perform your funeral, and it would happen if you do not listen. This particular cow, if you sell it, your entire cattle will finish, or if you don't sell it, your entire cattle will finish. This particular cow will go to waste, meaning it will die without any benefit, no matter how much you like that particular cow,</w:t>
      </w:r>
      <w:r>
        <w:rPr>
          <w:rFonts w:cs="Times New Roman"/>
          <w:szCs w:val="24"/>
        </w:rPr>
        <w:t xml:space="preserve">" says the 65-year-old pastoralist on December 31, 2023. </w:t>
      </w:r>
    </w:p>
    <w:p w:rsidR="00E53882" w:rsidRDefault="00B16FF7">
      <w:pPr>
        <w:spacing w:before="0" w:after="0" w:line="480" w:lineRule="auto"/>
        <w:rPr>
          <w:rFonts w:cs="Times New Roman"/>
          <w:szCs w:val="24"/>
        </w:rPr>
      </w:pPr>
      <w:r>
        <w:rPr>
          <w:rFonts w:cs="Times New Roman"/>
          <w:szCs w:val="24"/>
        </w:rPr>
        <w:t xml:space="preserve">This indicates the uniqueness of </w:t>
      </w:r>
      <w:proofErr w:type="spellStart"/>
      <w:r>
        <w:rPr>
          <w:rFonts w:cs="Times New Roman"/>
          <w:szCs w:val="24"/>
        </w:rPr>
        <w:t>fulbe</w:t>
      </w:r>
      <w:proofErr w:type="spellEnd"/>
      <w:r>
        <w:rPr>
          <w:rFonts w:cs="Times New Roman"/>
          <w:szCs w:val="24"/>
        </w:rPr>
        <w:t xml:space="preserve"> pastoralist skills in understanding their cattle. This can prevent unfavourable events from happening to the cattle owner, hence it is considered important.</w:t>
      </w:r>
    </w:p>
    <w:p w:rsidR="00E53882" w:rsidRDefault="00B16FF7">
      <w:pPr>
        <w:spacing w:before="0" w:after="0" w:line="480" w:lineRule="auto"/>
        <w:rPr>
          <w:rFonts w:cs="Times New Roman"/>
          <w:szCs w:val="24"/>
        </w:rPr>
      </w:pPr>
      <w:r>
        <w:rPr>
          <w:rFonts w:cs="Times New Roman"/>
          <w:szCs w:val="24"/>
        </w:rPr>
        <w:t>The KI also points out that every new season, when their cattle give birth, they call people with expert knowledge in cattle to come and predict the future of the newly born cattle. The 61-year-old pastoralist states the narration below:</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 xml:space="preserve">Even we have old men; during the rainy season when cattle give birth, we have old men that we usually bring to check the newly born cattle for us and then go back. </w:t>
      </w:r>
      <w:r>
        <w:rPr>
          <w:rFonts w:cs="Times New Roman"/>
          <w:i/>
          <w:szCs w:val="24"/>
        </w:rPr>
        <w:lastRenderedPageBreak/>
        <w:t>Sometimes, they can just look at a calf and bring it out and slaughter it, and sometimes they will tell you that when it stops breastfeeding, give it to someone. So, if someone just calls you to come, and you went, and he gave you a cow to go and look after, it's not for him</w:t>
      </w:r>
      <w:r>
        <w:rPr>
          <w:rFonts w:cs="Times New Roman"/>
          <w:szCs w:val="24"/>
        </w:rPr>
        <w:t xml:space="preserve">." </w:t>
      </w:r>
    </w:p>
    <w:p w:rsidR="00E53882" w:rsidRDefault="00B16FF7">
      <w:pPr>
        <w:spacing w:before="0" w:after="0" w:line="480" w:lineRule="auto"/>
        <w:rPr>
          <w:rFonts w:cs="Times New Roman"/>
          <w:szCs w:val="24"/>
        </w:rPr>
      </w:pPr>
      <w:r>
        <w:rPr>
          <w:rFonts w:cs="Times New Roman"/>
          <w:szCs w:val="24"/>
        </w:rPr>
        <w:t xml:space="preserve">This practice shows the importance they place on their cattle and the need to protect them. It also shows the respect that they have for their elders and their tradition, as they rely on the old people to guide them on issues related to their livelihood. This indicates the unique nature of </w:t>
      </w:r>
      <w:proofErr w:type="spellStart"/>
      <w:r>
        <w:rPr>
          <w:rFonts w:cs="Times New Roman"/>
          <w:szCs w:val="24"/>
        </w:rPr>
        <w:t>fulbe</w:t>
      </w:r>
      <w:proofErr w:type="spellEnd"/>
      <w:r>
        <w:rPr>
          <w:rFonts w:cs="Times New Roman"/>
          <w:szCs w:val="24"/>
        </w:rPr>
        <w:t xml:space="preserve"> culture and their deep relationship with their cattle.</w:t>
      </w:r>
    </w:p>
    <w:p w:rsidR="00E53882" w:rsidRDefault="00B16FF7">
      <w:pPr>
        <w:spacing w:before="0" w:after="0" w:line="480" w:lineRule="auto"/>
        <w:rPr>
          <w:rFonts w:cs="Times New Roman"/>
          <w:szCs w:val="24"/>
        </w:rPr>
      </w:pPr>
      <w:r>
        <w:rPr>
          <w:rFonts w:cs="Times New Roman"/>
          <w:szCs w:val="24"/>
        </w:rPr>
        <w:t xml:space="preserve">The KII further revealed that they do not give cows to people without ascribing meaning to the future of the person who will own that cow. Before a </w:t>
      </w:r>
      <w:proofErr w:type="spellStart"/>
      <w:r>
        <w:rPr>
          <w:rFonts w:cs="Times New Roman"/>
          <w:szCs w:val="24"/>
        </w:rPr>
        <w:t>Fulbe</w:t>
      </w:r>
      <w:proofErr w:type="spellEnd"/>
      <w:r>
        <w:rPr>
          <w:rFonts w:cs="Times New Roman"/>
          <w:szCs w:val="24"/>
        </w:rPr>
        <w:t xml:space="preserve"> man gives a cow to his son, he ensures that he interprets the future of the cow in connection to the child and sees if the cow will bring prosperity to the child's life or not. This is to prevent any future disaster that might befall the child as a result of the cow, as explained by the 65-year-old pastoralist on December 31, 2023:</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And there are some cows; if you are going to give it to your son and he does not have grey hair, and you give it to him, the child will get into huge trouble, the cow will not leave him. So, we check before we give a cow to our children</w:t>
      </w:r>
      <w:r>
        <w:rPr>
          <w:rFonts w:cs="Times New Roman"/>
          <w:szCs w:val="24"/>
        </w:rPr>
        <w:t xml:space="preserve">." </w:t>
      </w:r>
    </w:p>
    <w:p w:rsidR="00E53882" w:rsidRDefault="00B16FF7">
      <w:pPr>
        <w:spacing w:before="0" w:after="0" w:line="480" w:lineRule="auto"/>
        <w:rPr>
          <w:rFonts w:cs="Times New Roman"/>
          <w:szCs w:val="24"/>
        </w:rPr>
      </w:pPr>
      <w:r>
        <w:rPr>
          <w:rFonts w:cs="Times New Roman"/>
          <w:szCs w:val="24"/>
        </w:rPr>
        <w:t>This means that giving a cow to a child is not by chance, but it requires a careful thought and performance of ritual. It also means that the future of pastoralist is connected to the type of cow he owns, as explained by the 65-year-old pastoralist:</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 xml:space="preserve">There are some cattle that will not be beneficial for you in your ranch, but if it goes to someone else's ranch, it will profit that person. So, if you see a </w:t>
      </w:r>
      <w:proofErr w:type="spellStart"/>
      <w:r>
        <w:rPr>
          <w:rFonts w:cs="Times New Roman"/>
          <w:i/>
          <w:szCs w:val="24"/>
        </w:rPr>
        <w:t>Fulbe</w:t>
      </w:r>
      <w:proofErr w:type="spellEnd"/>
      <w:r>
        <w:rPr>
          <w:rFonts w:cs="Times New Roman"/>
          <w:i/>
          <w:szCs w:val="24"/>
        </w:rPr>
        <w:t xml:space="preserve"> man selling a very nice female cow in the market, it is not for nothing, it is not for him, and if he </w:t>
      </w:r>
      <w:r>
        <w:rPr>
          <w:rFonts w:cs="Times New Roman"/>
          <w:i/>
          <w:szCs w:val="24"/>
        </w:rPr>
        <w:lastRenderedPageBreak/>
        <w:t>doesn't release it, it will go to waste. He will send it and sell it to someone who will benefit from it</w:t>
      </w:r>
      <w:r>
        <w:rPr>
          <w:rFonts w:cs="Times New Roman"/>
          <w:szCs w:val="24"/>
        </w:rPr>
        <w:t xml:space="preserve">." </w:t>
      </w:r>
    </w:p>
    <w:p w:rsidR="00E53882" w:rsidRDefault="00B16FF7">
      <w:pPr>
        <w:spacing w:before="0" w:after="0" w:line="480" w:lineRule="auto"/>
        <w:rPr>
          <w:rFonts w:cs="Times New Roman"/>
          <w:szCs w:val="24"/>
        </w:rPr>
      </w:pPr>
      <w:r>
        <w:rPr>
          <w:rFonts w:cs="Times New Roman"/>
          <w:szCs w:val="24"/>
        </w:rPr>
        <w:t>In furtherance of the above explanation, the 75-year-old pastoralist says, "Among domestic animals, sheep, horse, and cow go with similar characteristics, but goat, chicken, and donkey have nothing like that." This means that this knowledge applies to specific types of animals and not all animals (Key Informant Interview, 2023).</w:t>
      </w:r>
    </w:p>
    <w:p w:rsidR="00E53882" w:rsidRDefault="00B16FF7">
      <w:pPr>
        <w:spacing w:before="0" w:after="0" w:line="480" w:lineRule="auto"/>
        <w:rPr>
          <w:rFonts w:cs="Times New Roman"/>
          <w:color w:val="FF0000"/>
          <w:szCs w:val="24"/>
        </w:rPr>
      </w:pPr>
      <w:r>
        <w:rPr>
          <w:rFonts w:cs="Times New Roman"/>
          <w:szCs w:val="24"/>
        </w:rPr>
        <w:t xml:space="preserve">This belief of </w:t>
      </w:r>
      <w:proofErr w:type="spellStart"/>
      <w:r>
        <w:rPr>
          <w:rFonts w:cs="Times New Roman"/>
          <w:szCs w:val="24"/>
        </w:rPr>
        <w:t>fulbe</w:t>
      </w:r>
      <w:proofErr w:type="spellEnd"/>
      <w:r>
        <w:rPr>
          <w:rFonts w:cs="Times New Roman"/>
          <w:szCs w:val="24"/>
        </w:rPr>
        <w:t xml:space="preserve"> pastoralist differentiate them from other ethnic groups involves in pastoralism in the study area. They have unique skills in understanding their cattle and have confidence in their talent to predict future events connected to a particular cow based on its appearances. This system of belief shows the connection between </w:t>
      </w:r>
      <w:proofErr w:type="spellStart"/>
      <w:r>
        <w:rPr>
          <w:rFonts w:cs="Times New Roman"/>
          <w:szCs w:val="24"/>
        </w:rPr>
        <w:t>fulbe</w:t>
      </w:r>
      <w:proofErr w:type="spellEnd"/>
      <w:r>
        <w:rPr>
          <w:rFonts w:cs="Times New Roman"/>
          <w:szCs w:val="24"/>
        </w:rPr>
        <w:t xml:space="preserve"> pastoralists and their cattle and its importance in their culture. The ability to predict future occurrences helps them to make decisions related to managing their cattle. However, this research does not delve into how external factors might influences in managing their cattle. Further studies could explore into the practical applications and cultural meaning of these beliefs in cattle herding. This </w:t>
      </w:r>
      <w:r>
        <w:rPr>
          <w:rFonts w:cs="Times New Roman"/>
          <w:vanish/>
          <w:szCs w:val="24"/>
        </w:rPr>
        <w:t>Top of Form</w:t>
      </w:r>
      <w:r>
        <w:rPr>
          <w:rFonts w:cs="Times New Roman"/>
          <w:szCs w:val="24"/>
        </w:rPr>
        <w:t xml:space="preserve">finding resonates with the study of </w:t>
      </w:r>
      <w:r>
        <w:rPr>
          <w:rFonts w:cs="Times New Roman"/>
          <w:szCs w:val="24"/>
        </w:rPr>
        <w:fldChar w:fldCharType="begin" w:fldLock="1"/>
      </w:r>
      <w:r>
        <w:rPr>
          <w:rFonts w:cs="Times New Roman"/>
          <w:szCs w:val="24"/>
        </w:rPr>
        <w:instrText>ADDIN CSL_CITATION {"citationItems":[{"id":"ITEM-1","itemData":{"author":[{"dropping-particle":"","family":"Palsson","given":"Gisli","non-dropping-particle":"","parse-names":false,"suffix":""}],"id":"ITEM-1","issued":{"date-parts":[["1990"]]},"page":"280","publisher":"The Scandinavian Institute of African Studies","title":"From Water To World-Making","type":"article"},"uris":["http://www.mendeley.com/documents/?uuid=4dd755b2-4d11-44d5-86bc-36e68d9165f8","http://www.mendeley.com/documents/?uuid=5c2e7b31-6fe7-4c83-acbf-1ccaa1243b83"]}],"mendeley":{"formattedCitation":"(Palsson, 1990)","manualFormatting":"Palsson, (1990)","plainTextFormattedCitation":"(Palsson, 1990)","previouslyFormattedCitation":"(Palsson, 1990)"},"properties":{"noteIndex":0},"schema":"https://github.com/citation-style-language/schema/raw/master/csl-citation.json"}</w:instrText>
      </w:r>
      <w:r>
        <w:rPr>
          <w:rFonts w:cs="Times New Roman"/>
          <w:szCs w:val="24"/>
        </w:rPr>
        <w:fldChar w:fldCharType="separate"/>
      </w:r>
      <w:r>
        <w:rPr>
          <w:rFonts w:cs="Times New Roman"/>
          <w:noProof/>
          <w:szCs w:val="24"/>
        </w:rPr>
        <w:t>Palsson, (1990)</w:t>
      </w:r>
      <w:r>
        <w:rPr>
          <w:rFonts w:cs="Times New Roman"/>
          <w:szCs w:val="24"/>
        </w:rPr>
        <w:fldChar w:fldCharType="end"/>
      </w:r>
      <w:r>
        <w:rPr>
          <w:rFonts w:cs="Times New Roman"/>
          <w:szCs w:val="24"/>
        </w:rPr>
        <w:t xml:space="preserve"> who studied human life in arid land. The author found that cattle held great symbolic and ritualistic value, and their interpretations of cattle </w:t>
      </w:r>
      <w:proofErr w:type="spellStart"/>
      <w:r>
        <w:rPr>
          <w:rFonts w:cs="Times New Roman"/>
          <w:szCs w:val="24"/>
        </w:rPr>
        <w:t>behavior</w:t>
      </w:r>
      <w:proofErr w:type="spellEnd"/>
      <w:r>
        <w:rPr>
          <w:rFonts w:cs="Times New Roman"/>
          <w:szCs w:val="24"/>
        </w:rPr>
        <w:t xml:space="preserve"> and events were deeply embedded in their cultural beliefs. It is also in line with the work of </w:t>
      </w:r>
      <w:r>
        <w:rPr>
          <w:rFonts w:cs="Times New Roman"/>
          <w:szCs w:val="24"/>
        </w:rPr>
        <w:fldChar w:fldCharType="begin" w:fldLock="1"/>
      </w:r>
      <w:r w:rsidR="00900D2E">
        <w:rPr>
          <w:rFonts w:cs="Times New Roman"/>
          <w:szCs w:val="24"/>
        </w:rPr>
        <w:instrText>ADDIN CSL_CITATION {"citationItems":[{"id":"ITEM-1","itemData":{"DOI":"https://doi.org/10.1016/j.livsci.2018.02.013","ISSN":"1871-1413","abstract":"Animal genetic resources (AnGR) are essential for food security and the livelihoods of many pastoralists. However, the AnGR diversity is currently being eroded, as well as the traditional ecological knowledge associated to the use of indigenous breeds and their environment. The objectives of this study were to: i) inventorise indigenous breeds of cattle and their performance in selected traits, ii) analyse pastoralists’ preferences for specific breeds and reasons for that, and iii) determine whether the knowledge about breeds and their traits was transmitted across generations and was consistent across agro-ecological zones. Data were collected through focus groups discussions, and individual interviews with 72 pastoralists. Interviewees belonged to three generations and three agro-ecological zones in the periphery of the W Biosphere Reserve in Benin. From the focus groups discussions we identified the most common breeds in the region (i.e. Keteeji, Jaliji, Bodeji, Tchiwali and Gudali) and the most relevant traits (i.e. milk production, meat production, endurance and tolerance to trypanosomiasis) to assess cattle breeds according to pastoralists. Individual interviewees scored the performance of cattle breeds in the four main traits based on a three-point scale. Finally, we determined the consistency of pastoralists’ knowledge across generations and agro-ecological zones. Keteeji was valued for its endurance and tolerance to trypanosomiasis, Bodeeji was highly valued for endurance and Gudali was perceived of high value for meat and milk production, but of low value for endurance. Keteeji was the preferred breed by the majority of the pastoralists (nearly 50%), especially for the adaptive trait withstanding hunger. Gudali was the least preferred breed (11%). 80% of pastoralists selected a preferred cattle breed based on adaptive traits, i.e. withstanding hunger, intelligence (beyond obedience to herder) or withstanding disease. Pastoralists’ knowledge about breed traits did not differ among generations, but some differences appeared among agro-ecological zones. This study suggests that pastoralists prefer adaptive traits of breeds over production traits to deal with the changing and unfavourable conditions of their environment.","author":[{"dropping-particle":"","family":"Tamou","given":"Charles","non-dropping-particle":"","parse-names":false,"suffix":""},{"dropping-particle":"","family":"Boer","given":"Imke J M","non-dropping-particle":"de","parse-names":false,"suffix":""},{"dropping-particle":"","family":"Ripoll-Bosch","given":"Raimon","non-dropping-particle":"","parse-names":false,"suffix":""},{"dropping-particle":"","family":"Oosting","given":"Simon J","non-dropping-particle":"","parse-names":false,"suffix":""}],"container-title":"Livestock Science","id":"ITEM-1","issued":{"date-parts":[["2018"]]},"page":"129-136","title":"Understanding roles and functions of cattle breeds for pastoralists in Benin","type":"article-journal","volume":"210"},"uris":["http://www.mendeley.com/documents/?uuid=71ef21ca-2656-4d1b-a408-92cfc798336d"]}],"mendeley":{"formattedCitation":"(Tamou et al., 2018)","plainTextFormattedCitation":"(Tamou et al., 2018)","previouslyFormattedCitation":"(Tamou et al., 2018)"},"properties":{"noteIndex":0},"schema":"https://github.com/citation-style-language/schema/raw/master/csl-citation.json"}</w:instrText>
      </w:r>
      <w:r>
        <w:rPr>
          <w:rFonts w:cs="Times New Roman"/>
          <w:szCs w:val="24"/>
        </w:rPr>
        <w:fldChar w:fldCharType="separate"/>
      </w:r>
      <w:r>
        <w:rPr>
          <w:rFonts w:cs="Times New Roman"/>
          <w:noProof/>
          <w:szCs w:val="24"/>
        </w:rPr>
        <w:t>(Tamou et al., 2018)</w:t>
      </w:r>
      <w:r>
        <w:rPr>
          <w:rFonts w:cs="Times New Roman"/>
          <w:szCs w:val="24"/>
        </w:rPr>
        <w:fldChar w:fldCharType="end"/>
      </w:r>
      <w:r>
        <w:rPr>
          <w:rFonts w:cs="Times New Roman"/>
          <w:szCs w:val="24"/>
        </w:rPr>
        <w:t xml:space="preserve">, the authors wrote on Understanding roles and functions of cattle breeds for pastoralists in Benin and indicated that the understanding of breed characteristics among pastoralists remained consistent across generations, although variations emerged when considering different agro-ecological zones. Last but not the least the findings is also in line with </w:t>
      </w:r>
      <w:r>
        <w:rPr>
          <w:rFonts w:cs="Times New Roman"/>
          <w:szCs w:val="24"/>
        </w:rPr>
        <w:fldChar w:fldCharType="begin" w:fldLock="1"/>
      </w:r>
      <w:r>
        <w:rPr>
          <w:rFonts w:cs="Times New Roman"/>
          <w:szCs w:val="24"/>
        </w:rPr>
        <w:instrText>ADDIN CSL_CITATION {"citationItems":[{"id":"ITEM-1","itemData":{"DOI":"10.3389/fsoc.2020.518797","ISSN":"22977775","abstract":"Intra-African migration in sub-Saharan Africa is increasingly characterized by migration further and further south of the equator. The study focuses on the relationship between pastoralist migration and climate change, followed by loss of control of epidemics, which can lead to losses of large numbers of livestock. While increasing changes in the natural environment have been widely cited in the empirical literature, less attention has been paid to the social context and sociological factors influencing modern-day climate-induced intra-African pastoralist migration. Using Blumer's structural symbolic interaction as an analytic framework, this study examines how social and cultural perceptions influence subjective interpretations that lead to decision points that trigger intra-African pastoralist migration. Using structural symbolic interaction as an analytic framework to study interrelationships between climate-induced stimulus, symbolic interpretation, and migration response, the study identifies that decisions to migrate to other ecosystems were mediated through symbolic signs with assigned meaning and significance communicated through language, signs, symbols, ritual, and religion, which makes up the overall pastoralist cosmology of migration. That these signs and meanings, which are given symbolic meaning, form the basis of African pastoralist sociology of migration. These are the key factors that explain why some pastoralist households decide to migrate to other ecological zones while others remain in traditional pastoralist lands. This study was guided by two hypotheses. The first is that intra-African pastoralist migration is socially defined based on the social and cultural perceptions and meanings attached to interactions with their increasingly changing natural and social circumstances (H1). The second (H2) is that this meaning is defined and modified through an interpretative process in response to changing social and natural circumstances. The sample examined in the study covered seven districts with a high proportion of pastoralists across four eco-climatic zones. A total of 544 pastoralist households were interviewed. In-depth qualitative interviews and observation studies were conducted in three case-study villages. The study concludes that decisions to migrate to other ecosystems are mediated through symbolic signs with assigned meanings and significances communicated through language, signs, symbols, rituals, and religion. Together, the…","author":[{"dropping-particle":"","family":"Awinia","given":"Christopher Simeon","non-dropping-particle":"","parse-names":false,"suffix":""}],"container-title":"Frontiers in Sociology","id":"ITEM-1","issue":"November","issued":{"date-parts":[["2020"]]},"page":"1-10","title":"The Sociology of Intra-African Pastoralist Migration: The Case of Tanzania","type":"article-journal","volume":"5"},"uris":["http://www.mendeley.com/documents/?uuid=a69c72c8-3320-4e99-9a33-4b350381b6b9"]}],"mendeley":{"formattedCitation":"(Awinia, 2020)","plainTextFormattedCitation":"(Awinia, 2020)","previouslyFormattedCitation":"(Awinia, 2020)"},"properties":{"noteIndex":0},"schema":"https://github.com/citation-style-language/schema/raw/master/csl-citation.json"}</w:instrText>
      </w:r>
      <w:r>
        <w:rPr>
          <w:rFonts w:cs="Times New Roman"/>
          <w:szCs w:val="24"/>
        </w:rPr>
        <w:fldChar w:fldCharType="separate"/>
      </w:r>
      <w:r>
        <w:rPr>
          <w:rFonts w:cs="Times New Roman"/>
          <w:noProof/>
          <w:szCs w:val="24"/>
        </w:rPr>
        <w:t>(Awinia, 2020)</w:t>
      </w:r>
      <w:r>
        <w:rPr>
          <w:rFonts w:cs="Times New Roman"/>
          <w:szCs w:val="24"/>
        </w:rPr>
        <w:fldChar w:fldCharType="end"/>
      </w:r>
      <w:r>
        <w:rPr>
          <w:rFonts w:cs="Times New Roman"/>
          <w:szCs w:val="24"/>
        </w:rPr>
        <w:t xml:space="preserve">, the author wrote on “Sociology of Intra-African Pastoralist Migration” and found that decisions to migrate to other ecosystems were mediated through </w:t>
      </w:r>
      <w:r>
        <w:rPr>
          <w:rFonts w:cs="Times New Roman"/>
          <w:szCs w:val="24"/>
        </w:rPr>
        <w:lastRenderedPageBreak/>
        <w:t>symbolic signs with assigned meaning and significance communicated through language, signs, symbols, ritual, and religion, which makes up the overall pastoralist cosmology of migration.</w:t>
      </w:r>
    </w:p>
    <w:p w:rsidR="00E53882" w:rsidRDefault="00E53882">
      <w:pPr>
        <w:pStyle w:val="Heading2"/>
        <w:spacing w:before="0" w:after="0" w:line="480" w:lineRule="auto"/>
      </w:pPr>
    </w:p>
    <w:p w:rsidR="00E53882" w:rsidRDefault="00B16FF7">
      <w:pPr>
        <w:pStyle w:val="Heading2"/>
        <w:spacing w:before="0" w:after="0" w:line="480" w:lineRule="auto"/>
      </w:pPr>
      <w:bookmarkStart w:id="89" w:name="_Toc164261714"/>
      <w:r>
        <w:t xml:space="preserve">4.3. Marriage among </w:t>
      </w:r>
      <w:proofErr w:type="spellStart"/>
      <w:r>
        <w:t>Fulbe</w:t>
      </w:r>
      <w:proofErr w:type="spellEnd"/>
      <w:r>
        <w:t xml:space="preserve"> pastoralists</w:t>
      </w:r>
      <w:bookmarkEnd w:id="89"/>
    </w:p>
    <w:p w:rsidR="00E53882" w:rsidRDefault="00B16FF7">
      <w:pPr>
        <w:spacing w:before="0" w:after="0" w:line="480" w:lineRule="auto"/>
        <w:rPr>
          <w:rFonts w:cs="Times New Roman"/>
          <w:szCs w:val="24"/>
        </w:rPr>
      </w:pPr>
      <w:r>
        <w:rPr>
          <w:rFonts w:cs="Times New Roman"/>
          <w:szCs w:val="24"/>
        </w:rPr>
        <w:t xml:space="preserve">The marital life of </w:t>
      </w:r>
      <w:proofErr w:type="spellStart"/>
      <w:r>
        <w:rPr>
          <w:rFonts w:cs="Times New Roman"/>
          <w:szCs w:val="24"/>
        </w:rPr>
        <w:t>Fulbe</w:t>
      </w:r>
      <w:proofErr w:type="spellEnd"/>
      <w:r>
        <w:rPr>
          <w:rFonts w:cs="Times New Roman"/>
          <w:szCs w:val="24"/>
        </w:rPr>
        <w:t xml:space="preserve"> pastoralists in the study area plays a significant role in shaping their character. Their marriage practices differ considerably from those of the host community. A </w:t>
      </w:r>
      <w:proofErr w:type="spellStart"/>
      <w:r>
        <w:rPr>
          <w:rFonts w:cs="Times New Roman"/>
          <w:szCs w:val="24"/>
        </w:rPr>
        <w:t>Fulbe</w:t>
      </w:r>
      <w:proofErr w:type="spellEnd"/>
      <w:r>
        <w:rPr>
          <w:rFonts w:cs="Times New Roman"/>
          <w:szCs w:val="24"/>
        </w:rPr>
        <w:t xml:space="preserve"> man can enter into marriage in three ways.</w:t>
      </w:r>
    </w:p>
    <w:p w:rsidR="00E53882" w:rsidRDefault="00B16FF7">
      <w:pPr>
        <w:spacing w:before="0" w:after="0" w:line="480" w:lineRule="auto"/>
        <w:rPr>
          <w:rFonts w:cs="Times New Roman"/>
          <w:szCs w:val="24"/>
        </w:rPr>
      </w:pPr>
      <w:r>
        <w:rPr>
          <w:rFonts w:cs="Times New Roman"/>
          <w:szCs w:val="24"/>
        </w:rPr>
        <w:t xml:space="preserve">The first involves seeing a woman he likes, informing her parents, and expressing his intention to marry their daughter. In this scenario, the daughter's consent is crucial. The Key Informant (KI) explains that </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We seeks our daughter's consent to determine her interest in the marriage</w:t>
      </w:r>
      <w:r>
        <w:rPr>
          <w:rFonts w:cs="Times New Roman"/>
          <w:szCs w:val="24"/>
        </w:rPr>
        <w:t xml:space="preserve">, </w:t>
      </w:r>
      <w:r>
        <w:rPr>
          <w:rFonts w:cs="Times New Roman"/>
          <w:i/>
          <w:szCs w:val="24"/>
        </w:rPr>
        <w:t>if she agrees and the man is a practicing Muslim, the father or guardian of the daughter will inform the family, and, upon gathering, they will seek the daughter's confirmation. If she agrees, the man's request is granted; otherwise, they cannot force her into marriage”</w:t>
      </w:r>
      <w:r>
        <w:rPr>
          <w:rFonts w:cs="Times New Roman"/>
          <w:szCs w:val="24"/>
        </w:rPr>
        <w:t xml:space="preserve">, as stated by the 61-year-old </w:t>
      </w:r>
      <w:proofErr w:type="spellStart"/>
      <w:r>
        <w:rPr>
          <w:rFonts w:cs="Times New Roman"/>
          <w:szCs w:val="24"/>
        </w:rPr>
        <w:t>Fulbe</w:t>
      </w:r>
      <w:proofErr w:type="spellEnd"/>
      <w:r>
        <w:rPr>
          <w:rFonts w:cs="Times New Roman"/>
          <w:szCs w:val="24"/>
        </w:rPr>
        <w:t xml:space="preserve"> pastoralist on December 31, 2022.</w:t>
      </w:r>
    </w:p>
    <w:p w:rsidR="00E53882" w:rsidRDefault="00B16FF7">
      <w:pPr>
        <w:spacing w:before="0" w:after="0" w:line="480" w:lineRule="auto"/>
        <w:rPr>
          <w:rFonts w:cs="Times New Roman"/>
          <w:szCs w:val="24"/>
        </w:rPr>
      </w:pPr>
      <w:r>
        <w:rPr>
          <w:rFonts w:cs="Times New Roman"/>
          <w:szCs w:val="24"/>
        </w:rPr>
        <w:t xml:space="preserve">The second method involves kidnapping the woman, whether married or not, if she expresses interest. The 35-year-old </w:t>
      </w:r>
      <w:proofErr w:type="spellStart"/>
      <w:r>
        <w:rPr>
          <w:rFonts w:cs="Times New Roman"/>
          <w:szCs w:val="24"/>
        </w:rPr>
        <w:t>Fulbe</w:t>
      </w:r>
      <w:proofErr w:type="spellEnd"/>
      <w:r>
        <w:rPr>
          <w:rFonts w:cs="Times New Roman"/>
          <w:szCs w:val="24"/>
        </w:rPr>
        <w:t xml:space="preserve"> pastoralist on June 24, 2023, elaborates</w:t>
      </w:r>
      <w:r>
        <w:rPr>
          <w:rFonts w:cs="Times New Roman"/>
          <w:i/>
          <w:szCs w:val="24"/>
        </w:rPr>
        <w:t xml:space="preserve"> </w:t>
      </w:r>
      <w:r>
        <w:rPr>
          <w:rFonts w:cs="Times New Roman"/>
          <w:szCs w:val="24"/>
        </w:rPr>
        <w:t xml:space="preserve">that </w:t>
      </w:r>
    </w:p>
    <w:p w:rsidR="00E53882" w:rsidRDefault="00B16FF7">
      <w:pPr>
        <w:spacing w:before="0" w:after="0" w:line="480" w:lineRule="auto"/>
        <w:ind w:left="864"/>
        <w:rPr>
          <w:rFonts w:cs="Times New Roman"/>
          <w:i/>
          <w:szCs w:val="24"/>
        </w:rPr>
      </w:pPr>
      <w:r>
        <w:rPr>
          <w:rFonts w:cs="Times New Roman"/>
          <w:szCs w:val="24"/>
        </w:rPr>
        <w:t>“</w:t>
      </w:r>
      <w:r>
        <w:rPr>
          <w:rFonts w:cs="Times New Roman"/>
          <w:i/>
          <w:szCs w:val="24"/>
        </w:rPr>
        <w:t>This demonstrates their bravery, especially when the woman is already married. If the husband is strong and confronts the man, he may retrieve his wife. However, if he chooses not to fight, the woman will remain in the man's house”.</w:t>
      </w:r>
    </w:p>
    <w:p w:rsidR="00E53882" w:rsidRDefault="00B16FF7">
      <w:pPr>
        <w:spacing w:before="0" w:after="0" w:line="480" w:lineRule="auto"/>
        <w:rPr>
          <w:rFonts w:cs="Times New Roman"/>
          <w:szCs w:val="24"/>
        </w:rPr>
      </w:pPr>
      <w:r>
        <w:rPr>
          <w:rFonts w:cs="Times New Roman"/>
          <w:szCs w:val="24"/>
        </w:rPr>
        <w:lastRenderedPageBreak/>
        <w:t xml:space="preserve">The third form is infant betrothal, where the aunt of a new born girl buys waist beads and a necklace, announcing the intention to marry her to her son. This may include purchasing sheep for a naming ceremony. In this case, when the girl matures, she is expected to marry her betrothed husband. The parents have less influence in this type, and sometimes the girl has no choice but to marry the man, as explained by the key informant. However, this form of marriage is less common among </w:t>
      </w:r>
      <w:proofErr w:type="spellStart"/>
      <w:r>
        <w:rPr>
          <w:rFonts w:cs="Times New Roman"/>
          <w:szCs w:val="24"/>
        </w:rPr>
        <w:t>Fulbe</w:t>
      </w:r>
      <w:proofErr w:type="spellEnd"/>
      <w:r>
        <w:rPr>
          <w:rFonts w:cs="Times New Roman"/>
          <w:szCs w:val="24"/>
        </w:rPr>
        <w:t xml:space="preserve"> people due to past disappointments. Most of these women grew up and refused to accept their betrothed husbands, leading to a reliance on the first and second methods of acquiring a wife.</w:t>
      </w:r>
    </w:p>
    <w:p w:rsidR="00E53882" w:rsidRDefault="00B16FF7">
      <w:pPr>
        <w:spacing w:before="0" w:after="0" w:line="480" w:lineRule="auto"/>
        <w:rPr>
          <w:rFonts w:cs="Times New Roman"/>
          <w:szCs w:val="24"/>
        </w:rPr>
      </w:pPr>
      <w:r>
        <w:rPr>
          <w:rFonts w:cs="Times New Roman"/>
          <w:szCs w:val="24"/>
        </w:rPr>
        <w:t xml:space="preserve">The Key Informant further emphasizes that </w:t>
      </w:r>
      <w:proofErr w:type="spellStart"/>
      <w:r>
        <w:rPr>
          <w:rFonts w:cs="Times New Roman"/>
          <w:szCs w:val="24"/>
        </w:rPr>
        <w:t>Fulbe</w:t>
      </w:r>
      <w:proofErr w:type="spellEnd"/>
      <w:r>
        <w:rPr>
          <w:rFonts w:cs="Times New Roman"/>
          <w:szCs w:val="24"/>
        </w:rPr>
        <w:t xml:space="preserve"> people do not demand money from their in-laws for marrying their daughters, distinguishing them from other tribes where such expenditures are customary. The 65-year-old </w:t>
      </w:r>
      <w:proofErr w:type="spellStart"/>
      <w:r>
        <w:rPr>
          <w:rFonts w:cs="Times New Roman"/>
          <w:szCs w:val="24"/>
        </w:rPr>
        <w:t>Fulbe</w:t>
      </w:r>
      <w:proofErr w:type="spellEnd"/>
      <w:r>
        <w:rPr>
          <w:rFonts w:cs="Times New Roman"/>
          <w:szCs w:val="24"/>
        </w:rPr>
        <w:t xml:space="preserve"> pastoralist on December 31, 2023, adds, </w:t>
      </w:r>
    </w:p>
    <w:p w:rsidR="00E53882" w:rsidRDefault="00B16FF7">
      <w:pPr>
        <w:spacing w:line="480" w:lineRule="auto"/>
        <w:ind w:left="864"/>
        <w:rPr>
          <w:rFonts w:cs="Times New Roman"/>
          <w:szCs w:val="24"/>
        </w:rPr>
      </w:pPr>
      <w:r>
        <w:rPr>
          <w:rFonts w:cs="Times New Roman"/>
          <w:i/>
          <w:szCs w:val="24"/>
        </w:rPr>
        <w:t>"We don't ask the man to bring this amount or that amount; we are not like that, apart from the bride price</w:t>
      </w:r>
      <w:r>
        <w:rPr>
          <w:rFonts w:cs="Times New Roman"/>
          <w:szCs w:val="24"/>
        </w:rPr>
        <w:t xml:space="preserve">." </w:t>
      </w:r>
    </w:p>
    <w:p w:rsidR="00E53882" w:rsidRDefault="00B16FF7">
      <w:pPr>
        <w:spacing w:line="480" w:lineRule="auto"/>
        <w:rPr>
          <w:rFonts w:cs="Times New Roman"/>
          <w:szCs w:val="24"/>
        </w:rPr>
      </w:pPr>
      <w:r>
        <w:rPr>
          <w:rFonts w:cs="Times New Roman"/>
          <w:szCs w:val="24"/>
        </w:rPr>
        <w:t xml:space="preserve">The discussions also reveal that </w:t>
      </w:r>
      <w:proofErr w:type="spellStart"/>
      <w:r>
        <w:rPr>
          <w:rFonts w:cs="Times New Roman"/>
          <w:szCs w:val="24"/>
        </w:rPr>
        <w:t>Fulbe</w:t>
      </w:r>
      <w:proofErr w:type="spellEnd"/>
      <w:r>
        <w:rPr>
          <w:rFonts w:cs="Times New Roman"/>
          <w:szCs w:val="24"/>
        </w:rPr>
        <w:t xml:space="preserve"> people marry their cousins from both patrilineal and matrilineal sides, promoting respect and support among families. A </w:t>
      </w:r>
      <w:proofErr w:type="spellStart"/>
      <w:r>
        <w:rPr>
          <w:rFonts w:cs="Times New Roman"/>
          <w:szCs w:val="24"/>
        </w:rPr>
        <w:t>Fulbe</w:t>
      </w:r>
      <w:proofErr w:type="spellEnd"/>
      <w:r>
        <w:rPr>
          <w:rFonts w:cs="Times New Roman"/>
          <w:szCs w:val="24"/>
        </w:rPr>
        <w:t xml:space="preserve"> person can marry anyone from any tribe of their choice. These practices indicate their unique cultural values in marriage. It also emphasizing mutual respect, autonomy, and familial support.</w:t>
      </w:r>
    </w:p>
    <w:p w:rsidR="00E53882" w:rsidRDefault="00B16FF7">
      <w:pPr>
        <w:spacing w:line="480" w:lineRule="auto"/>
        <w:rPr>
          <w:rFonts w:cs="Times New Roman"/>
          <w:szCs w:val="24"/>
        </w:rPr>
      </w:pPr>
      <w:r>
        <w:rPr>
          <w:rFonts w:cs="Times New Roman"/>
          <w:szCs w:val="24"/>
        </w:rPr>
        <w:t xml:space="preserve">There are restrictions on whom a </w:t>
      </w:r>
      <w:proofErr w:type="spellStart"/>
      <w:r>
        <w:rPr>
          <w:rFonts w:cs="Times New Roman"/>
          <w:szCs w:val="24"/>
        </w:rPr>
        <w:t>Fulbe</w:t>
      </w:r>
      <w:proofErr w:type="spellEnd"/>
      <w:r>
        <w:rPr>
          <w:rFonts w:cs="Times New Roman"/>
          <w:szCs w:val="24"/>
        </w:rPr>
        <w:t xml:space="preserve"> man cannot marry—</w:t>
      </w:r>
      <w:r>
        <w:rPr>
          <w:rFonts w:cs="Times New Roman"/>
          <w:i/>
          <w:szCs w:val="24"/>
        </w:rPr>
        <w:t>“I cannot marry my own daughter or elder or younger brother's daughter”,</w:t>
      </w:r>
      <w:r>
        <w:rPr>
          <w:rFonts w:cs="Times New Roman"/>
          <w:szCs w:val="24"/>
        </w:rPr>
        <w:t xml:space="preserve"> as articulated by the 55-year-old </w:t>
      </w:r>
      <w:proofErr w:type="spellStart"/>
      <w:r>
        <w:rPr>
          <w:rFonts w:cs="Times New Roman"/>
          <w:szCs w:val="24"/>
        </w:rPr>
        <w:t>Fulbe</w:t>
      </w:r>
      <w:proofErr w:type="spellEnd"/>
      <w:r>
        <w:rPr>
          <w:rFonts w:cs="Times New Roman"/>
          <w:szCs w:val="24"/>
        </w:rPr>
        <w:t xml:space="preserve"> pastoralist on June 25, 2023. Although there is no taboo preventing </w:t>
      </w:r>
      <w:proofErr w:type="spellStart"/>
      <w:r>
        <w:rPr>
          <w:rFonts w:cs="Times New Roman"/>
          <w:szCs w:val="24"/>
        </w:rPr>
        <w:t>Fulbe</w:t>
      </w:r>
      <w:proofErr w:type="spellEnd"/>
      <w:r>
        <w:rPr>
          <w:rFonts w:cs="Times New Roman"/>
          <w:szCs w:val="24"/>
        </w:rPr>
        <w:t xml:space="preserve"> individuals from marrying someone from another tribe, the key factor discouraging them is their sense of belonging. Wherever they settle, they do not actively seek marriage within the local community but prefer </w:t>
      </w:r>
      <w:r>
        <w:rPr>
          <w:rFonts w:cs="Times New Roman"/>
          <w:szCs w:val="24"/>
        </w:rPr>
        <w:lastRenderedPageBreak/>
        <w:t xml:space="preserve">marrying fellow </w:t>
      </w:r>
      <w:proofErr w:type="spellStart"/>
      <w:r>
        <w:rPr>
          <w:rFonts w:cs="Times New Roman"/>
          <w:szCs w:val="24"/>
        </w:rPr>
        <w:t>Fulbe</w:t>
      </w:r>
      <w:proofErr w:type="spellEnd"/>
      <w:r>
        <w:rPr>
          <w:rFonts w:cs="Times New Roman"/>
          <w:szCs w:val="24"/>
        </w:rPr>
        <w:t xml:space="preserve"> mates. The 71-year-old </w:t>
      </w:r>
      <w:proofErr w:type="spellStart"/>
      <w:r>
        <w:rPr>
          <w:rFonts w:cs="Times New Roman"/>
          <w:szCs w:val="24"/>
        </w:rPr>
        <w:t>Fulbe</w:t>
      </w:r>
      <w:proofErr w:type="spellEnd"/>
      <w:r>
        <w:rPr>
          <w:rFonts w:cs="Times New Roman"/>
          <w:szCs w:val="24"/>
        </w:rPr>
        <w:t xml:space="preserve"> pastoralist on June 22, 2023, emphasizes the importance of marrying within their community for building trust and avoiding being considered strangers. This reluctance to marry outside their tribe reflects their desire to maintain strong interpersonal relationships within their cultural and ethnic group (Key Informant Interview, 2023).</w:t>
      </w:r>
    </w:p>
    <w:p w:rsidR="00E53882" w:rsidRPr="00F3043B" w:rsidRDefault="00B16FF7" w:rsidP="00F3043B">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unique marriage practices of Fulani pastoralists, characterized by the importance of the daughter's consent and the adherence to certain religious and cultural requirements, distinguish them from the host community. The </w:t>
      </w:r>
      <w:proofErr w:type="spellStart"/>
      <w:r>
        <w:rPr>
          <w:rFonts w:ascii="Times New Roman" w:hAnsi="Times New Roman" w:cs="Times New Roman"/>
          <w:sz w:val="24"/>
          <w:szCs w:val="24"/>
        </w:rPr>
        <w:t>Fulbe</w:t>
      </w:r>
      <w:proofErr w:type="spellEnd"/>
      <w:r>
        <w:rPr>
          <w:rFonts w:ascii="Times New Roman" w:hAnsi="Times New Roman" w:cs="Times New Roman"/>
          <w:sz w:val="24"/>
          <w:szCs w:val="24"/>
        </w:rPr>
        <w:t xml:space="preserve"> marriage practices are unique, with a focus on the daughter's consent and a preference for marrying within their ethnic group. The emphasis on consent and the practice of marrying within their community highlight the importance of autonomy and community identity. These practices promote strong family ties and respect for individual choices while preserving cultural traditions. The study does not explore the potential impact of changing societal norms on these marriage practices. Future research could investigate how modernization and external influences may affect </w:t>
      </w:r>
      <w:proofErr w:type="spellStart"/>
      <w:r>
        <w:rPr>
          <w:rFonts w:ascii="Times New Roman" w:hAnsi="Times New Roman" w:cs="Times New Roman"/>
          <w:sz w:val="24"/>
          <w:szCs w:val="24"/>
        </w:rPr>
        <w:t>Fulbe</w:t>
      </w:r>
      <w:proofErr w:type="spellEnd"/>
      <w:r>
        <w:rPr>
          <w:rFonts w:ascii="Times New Roman" w:hAnsi="Times New Roman" w:cs="Times New Roman"/>
          <w:sz w:val="24"/>
          <w:szCs w:val="24"/>
        </w:rPr>
        <w:t xml:space="preserve"> marriage customs. This study resonate with the work of </w:t>
      </w:r>
      <w:r>
        <w:rPr>
          <w:rFonts w:ascii="Times New Roman" w:hAnsi="Times New Roman" w:cs="Times New Roman"/>
          <w:sz w:val="24"/>
          <w:szCs w:val="24"/>
        </w:rPr>
        <w:fldChar w:fldCharType="begin" w:fldLock="1"/>
      </w:r>
      <w:r>
        <w:rPr>
          <w:rFonts w:ascii="Times New Roman" w:hAnsi="Times New Roman" w:cs="Times New Roman"/>
          <w:sz w:val="24"/>
          <w:szCs w:val="24"/>
        </w:rPr>
        <w:instrText>ADDIN CSL_CITATION {"citationItems":[{"id":"ITEM-1","itemData":{"DOI":"10.1353/hub.2001.0051","author":[{"dropping-particle":"","family":"Hampshire","given":"Kate","non-dropping-particle":"","parse-names":false,"suffix":""},{"dropping-particle":"","family":"Smith","given":"Malcolm","non-dropping-particle":"","parse-names":false,"suffix":""}],"container-title":"Human biology","id":"ITEM-1","issued":{"date-parts":[["2001","9","1"]]},"page":"597-603","title":"Consanguineous Marriage among the Fulani","type":"article-journal","volume":"73"},"uris":["http://www.mendeley.com/documents/?uuid=45f94608-cef2-49e7-9666-c3fc4c28df5e"]}],"mendeley":{"formattedCitation":"(Hampshire &amp; Smith, 2001)","manualFormatting":"Hampshire &amp; Smith, (2001)","plainTextFormattedCitation":"(Hampshire &amp; Smith, 2001)","previouslyFormattedCitation":"(Hampshire &amp; Smith, 2001)"},"properties":{"noteIndex":0},"schema":"https://github.com/citation-style-language/schema/raw/master/csl-citation.json"}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noProof/>
          <w:sz w:val="24"/>
          <w:szCs w:val="24"/>
        </w:rPr>
        <w:t>Hampshire &amp; Smith, (2001)</w:t>
      </w:r>
      <w:r>
        <w:rPr>
          <w:rFonts w:ascii="Times New Roman" w:hAnsi="Times New Roman" w:cs="Times New Roman"/>
          <w:sz w:val="24"/>
          <w:szCs w:val="24"/>
        </w:rPr>
        <w:fldChar w:fldCharType="end"/>
      </w:r>
      <w:r>
        <w:rPr>
          <w:rFonts w:ascii="Times New Roman" w:hAnsi="Times New Roman" w:cs="Times New Roman"/>
          <w:sz w:val="24"/>
          <w:szCs w:val="24"/>
        </w:rPr>
        <w:t xml:space="preserve">, who wrote on Consanguineous Marriage among the Fulani. The authors indicated that the Fulani people follow a patrilineal and </w:t>
      </w:r>
      <w:proofErr w:type="spellStart"/>
      <w:r>
        <w:rPr>
          <w:rFonts w:ascii="Times New Roman" w:hAnsi="Times New Roman" w:cs="Times New Roman"/>
          <w:sz w:val="24"/>
          <w:szCs w:val="24"/>
        </w:rPr>
        <w:t>patrilocal</w:t>
      </w:r>
      <w:proofErr w:type="spellEnd"/>
      <w:r>
        <w:rPr>
          <w:rFonts w:ascii="Times New Roman" w:hAnsi="Times New Roman" w:cs="Times New Roman"/>
          <w:sz w:val="24"/>
          <w:szCs w:val="24"/>
        </w:rPr>
        <w:t xml:space="preserve"> social structure, and they engage in moderately polygamous marriages. Their first marriages are typically arranged, and they involve the payment of bride wealth, often in the form of cattle. It is common for them to marry close relatives, with a preference for first or second cousins as marriage partners.</w:t>
      </w:r>
    </w:p>
    <w:p w:rsidR="00E53882" w:rsidRDefault="00B16FF7">
      <w:pPr>
        <w:pStyle w:val="Heading2"/>
        <w:spacing w:line="480" w:lineRule="auto"/>
      </w:pPr>
      <w:bookmarkStart w:id="90" w:name="_Toc164261715"/>
      <w:r>
        <w:lastRenderedPageBreak/>
        <w:t xml:space="preserve">4.4. Brief History of </w:t>
      </w:r>
      <w:proofErr w:type="spellStart"/>
      <w:r>
        <w:t>Fulbe</w:t>
      </w:r>
      <w:bookmarkEnd w:id="90"/>
      <w:proofErr w:type="spellEnd"/>
      <w:r>
        <w:t xml:space="preserve"> </w:t>
      </w:r>
    </w:p>
    <w:p w:rsidR="00E53882" w:rsidRDefault="00B16FF7">
      <w:pPr>
        <w:spacing w:line="480" w:lineRule="auto"/>
        <w:rPr>
          <w:rFonts w:cs="Times New Roman"/>
          <w:szCs w:val="24"/>
        </w:rPr>
      </w:pPr>
      <w:r>
        <w:rPr>
          <w:rFonts w:cs="Times New Roman"/>
          <w:szCs w:val="24"/>
        </w:rPr>
        <w:t xml:space="preserve">The man who initiated the origin of the </w:t>
      </w:r>
      <w:proofErr w:type="spellStart"/>
      <w:r>
        <w:rPr>
          <w:rFonts w:cs="Times New Roman"/>
          <w:szCs w:val="24"/>
        </w:rPr>
        <w:t>Fulbe</w:t>
      </w:r>
      <w:proofErr w:type="spellEnd"/>
      <w:r>
        <w:rPr>
          <w:rFonts w:cs="Times New Roman"/>
          <w:szCs w:val="24"/>
        </w:rPr>
        <w:t xml:space="preserve"> people was called </w:t>
      </w:r>
      <w:proofErr w:type="spellStart"/>
      <w:r>
        <w:rPr>
          <w:rFonts w:cs="Times New Roman"/>
          <w:szCs w:val="24"/>
        </w:rPr>
        <w:t>Hudu</w:t>
      </w:r>
      <w:proofErr w:type="spellEnd"/>
      <w:r>
        <w:rPr>
          <w:rFonts w:cs="Times New Roman"/>
          <w:szCs w:val="24"/>
        </w:rPr>
        <w:t xml:space="preserve"> Bata. He was an Arab and migrated to Senegambia to propagate the Islamic religion. </w:t>
      </w:r>
      <w:proofErr w:type="spellStart"/>
      <w:r>
        <w:rPr>
          <w:rFonts w:cs="Times New Roman"/>
          <w:szCs w:val="24"/>
        </w:rPr>
        <w:t>Hudu</w:t>
      </w:r>
      <w:proofErr w:type="spellEnd"/>
      <w:r>
        <w:rPr>
          <w:rFonts w:cs="Times New Roman"/>
          <w:szCs w:val="24"/>
        </w:rPr>
        <w:t xml:space="preserve"> Bata was a cousin of the Holy Prophet Muhammad (PBUH). After teaching the people the religion and they became familiar with it, he decided to leave Senegambia and return to his place. The chief at that time told him that he brought light to their place and wanted to leave without leaving any trace. At that time, </w:t>
      </w:r>
      <w:proofErr w:type="spellStart"/>
      <w:r>
        <w:rPr>
          <w:rFonts w:cs="Times New Roman"/>
          <w:szCs w:val="24"/>
        </w:rPr>
        <w:t>Hudu</w:t>
      </w:r>
      <w:proofErr w:type="spellEnd"/>
      <w:r>
        <w:rPr>
          <w:rFonts w:cs="Times New Roman"/>
          <w:szCs w:val="24"/>
        </w:rPr>
        <w:t xml:space="preserve"> Bata was not married. The chief gave him his first daughter, and he gave birth to four (4) children: </w:t>
      </w:r>
      <w:proofErr w:type="spellStart"/>
      <w:r>
        <w:rPr>
          <w:rFonts w:cs="Times New Roman"/>
          <w:szCs w:val="24"/>
        </w:rPr>
        <w:t>Djallo</w:t>
      </w:r>
      <w:proofErr w:type="spellEnd"/>
      <w:r>
        <w:rPr>
          <w:rFonts w:cs="Times New Roman"/>
          <w:szCs w:val="24"/>
        </w:rPr>
        <w:t xml:space="preserve">, Ba, Barry, and Sow, and then went back to Mecca. However, the children were left behind in Senegambia. Currently, all the categories of Fulani in the study area, namely </w:t>
      </w:r>
      <w:proofErr w:type="spellStart"/>
      <w:r>
        <w:rPr>
          <w:rFonts w:cs="Times New Roman"/>
          <w:szCs w:val="24"/>
        </w:rPr>
        <w:t>Djallo</w:t>
      </w:r>
      <w:proofErr w:type="spellEnd"/>
      <w:r>
        <w:rPr>
          <w:rFonts w:cs="Times New Roman"/>
          <w:szCs w:val="24"/>
        </w:rPr>
        <w:t xml:space="preserve">, </w:t>
      </w:r>
      <w:proofErr w:type="spellStart"/>
      <w:r>
        <w:rPr>
          <w:rFonts w:cs="Times New Roman"/>
          <w:szCs w:val="24"/>
        </w:rPr>
        <w:t>Guiao</w:t>
      </w:r>
      <w:proofErr w:type="spellEnd"/>
      <w:r>
        <w:rPr>
          <w:rFonts w:cs="Times New Roman"/>
          <w:szCs w:val="24"/>
        </w:rPr>
        <w:t xml:space="preserve">, </w:t>
      </w:r>
      <w:proofErr w:type="spellStart"/>
      <w:r>
        <w:rPr>
          <w:rFonts w:cs="Times New Roman"/>
          <w:szCs w:val="24"/>
        </w:rPr>
        <w:t>Bande</w:t>
      </w:r>
      <w:proofErr w:type="spellEnd"/>
      <w:r>
        <w:rPr>
          <w:rFonts w:cs="Times New Roman"/>
          <w:szCs w:val="24"/>
        </w:rPr>
        <w:t xml:space="preserve">, Barry, Yaw, </w:t>
      </w:r>
      <w:proofErr w:type="spellStart"/>
      <w:r>
        <w:rPr>
          <w:rFonts w:cs="Times New Roman"/>
          <w:szCs w:val="24"/>
        </w:rPr>
        <w:t>Nibari</w:t>
      </w:r>
      <w:proofErr w:type="spellEnd"/>
      <w:r>
        <w:rPr>
          <w:rFonts w:cs="Times New Roman"/>
          <w:szCs w:val="24"/>
        </w:rPr>
        <w:t xml:space="preserve">, and </w:t>
      </w:r>
      <w:proofErr w:type="spellStart"/>
      <w:r>
        <w:rPr>
          <w:rFonts w:cs="Times New Roman"/>
          <w:szCs w:val="24"/>
        </w:rPr>
        <w:t>Sidibé</w:t>
      </w:r>
      <w:proofErr w:type="spellEnd"/>
      <w:r>
        <w:rPr>
          <w:rFonts w:cs="Times New Roman"/>
          <w:szCs w:val="24"/>
        </w:rPr>
        <w:t xml:space="preserve">, are all descendants of these four men that </w:t>
      </w:r>
      <w:proofErr w:type="spellStart"/>
      <w:r>
        <w:rPr>
          <w:rFonts w:cs="Times New Roman"/>
          <w:szCs w:val="24"/>
        </w:rPr>
        <w:t>Hudu</w:t>
      </w:r>
      <w:proofErr w:type="spellEnd"/>
      <w:r>
        <w:rPr>
          <w:rFonts w:cs="Times New Roman"/>
          <w:szCs w:val="24"/>
        </w:rPr>
        <w:t xml:space="preserve"> Bata gave birth to. </w:t>
      </w:r>
      <w:proofErr w:type="spellStart"/>
      <w:r>
        <w:rPr>
          <w:rFonts w:cs="Times New Roman"/>
          <w:szCs w:val="24"/>
        </w:rPr>
        <w:t>Djallo</w:t>
      </w:r>
      <w:proofErr w:type="spellEnd"/>
      <w:r>
        <w:rPr>
          <w:rFonts w:cs="Times New Roman"/>
          <w:szCs w:val="24"/>
        </w:rPr>
        <w:t xml:space="preserve"> and Yaw are cousins and play together, </w:t>
      </w:r>
      <w:proofErr w:type="spellStart"/>
      <w:r>
        <w:rPr>
          <w:rFonts w:cs="Times New Roman"/>
          <w:szCs w:val="24"/>
        </w:rPr>
        <w:t>Sidibé</w:t>
      </w:r>
      <w:proofErr w:type="spellEnd"/>
      <w:r>
        <w:rPr>
          <w:rFonts w:cs="Times New Roman"/>
          <w:szCs w:val="24"/>
        </w:rPr>
        <w:t xml:space="preserve"> and </w:t>
      </w:r>
      <w:proofErr w:type="spellStart"/>
      <w:r>
        <w:rPr>
          <w:rFonts w:cs="Times New Roman"/>
          <w:szCs w:val="24"/>
        </w:rPr>
        <w:t>Nibari</w:t>
      </w:r>
      <w:proofErr w:type="spellEnd"/>
      <w:r>
        <w:rPr>
          <w:rFonts w:cs="Times New Roman"/>
          <w:szCs w:val="24"/>
        </w:rPr>
        <w:t xml:space="preserve"> are also cousins, and </w:t>
      </w:r>
      <w:proofErr w:type="spellStart"/>
      <w:r>
        <w:rPr>
          <w:rFonts w:cs="Times New Roman"/>
          <w:szCs w:val="24"/>
        </w:rPr>
        <w:t>Buli</w:t>
      </w:r>
      <w:proofErr w:type="spellEnd"/>
      <w:r>
        <w:rPr>
          <w:rFonts w:cs="Times New Roman"/>
          <w:szCs w:val="24"/>
        </w:rPr>
        <w:t xml:space="preserve"> and Ba are also cousins, and the pattern continues. Today, the </w:t>
      </w:r>
      <w:proofErr w:type="spellStart"/>
      <w:r>
        <w:rPr>
          <w:rFonts w:cs="Times New Roman"/>
          <w:szCs w:val="24"/>
        </w:rPr>
        <w:t>Fulbe</w:t>
      </w:r>
      <w:proofErr w:type="spellEnd"/>
      <w:r>
        <w:rPr>
          <w:rFonts w:cs="Times New Roman"/>
          <w:szCs w:val="24"/>
        </w:rPr>
        <w:t xml:space="preserve"> constitute the largest pastoralist group, a diverse population spread across the savannah and Sahel. Some have settled in Senegal, while others have established communities in Mali, Niger, Nigeria, Guinea, Burkina Faso, and numerous other countries. Although they share a common ancestry, what distinguishes them is their way of life—a varied and distinct lifestyle. The way </w:t>
      </w:r>
      <w:proofErr w:type="spellStart"/>
      <w:r>
        <w:rPr>
          <w:rFonts w:cs="Times New Roman"/>
          <w:szCs w:val="24"/>
        </w:rPr>
        <w:t>Fulbe</w:t>
      </w:r>
      <w:proofErr w:type="spellEnd"/>
      <w:r>
        <w:rPr>
          <w:rFonts w:cs="Times New Roman"/>
          <w:szCs w:val="24"/>
        </w:rPr>
        <w:t xml:space="preserve"> individuals from Mali live differs from those in Togo, just as those from Senegal exhibit unique characteristics in their dressing, choice of sandals, and </w:t>
      </w:r>
      <w:proofErr w:type="spellStart"/>
      <w:r>
        <w:rPr>
          <w:rFonts w:cs="Times New Roman"/>
          <w:szCs w:val="24"/>
        </w:rPr>
        <w:t>behavior</w:t>
      </w:r>
      <w:proofErr w:type="spellEnd"/>
      <w:r>
        <w:rPr>
          <w:rFonts w:cs="Times New Roman"/>
          <w:szCs w:val="24"/>
        </w:rPr>
        <w:t xml:space="preserve"> when interacting with others. This sentiment was expressed during our discussions:</w:t>
      </w:r>
    </w:p>
    <w:p w:rsidR="00E53882" w:rsidRDefault="00B16FF7">
      <w:pPr>
        <w:spacing w:line="480" w:lineRule="auto"/>
        <w:ind w:left="1008"/>
        <w:rPr>
          <w:rFonts w:cs="Times New Roman"/>
          <w:szCs w:val="24"/>
        </w:rPr>
      </w:pPr>
      <w:r>
        <w:rPr>
          <w:rFonts w:cs="Times New Roman"/>
          <w:szCs w:val="24"/>
        </w:rPr>
        <w:t>"</w:t>
      </w:r>
      <w:r>
        <w:rPr>
          <w:rFonts w:cs="Times New Roman"/>
          <w:i/>
          <w:szCs w:val="24"/>
        </w:rPr>
        <w:t xml:space="preserve">What differentiates us is our character; everyone has their own character. If you see someone's dress, like their shirt, sandals, and everything, you will know that this person is from this town. The way he moves and the way he dresses will show </w:t>
      </w:r>
      <w:r>
        <w:rPr>
          <w:rFonts w:cs="Times New Roman"/>
          <w:i/>
          <w:szCs w:val="24"/>
        </w:rPr>
        <w:lastRenderedPageBreak/>
        <w:t>where he is coming from and the type of Fulani he is,"</w:t>
      </w:r>
      <w:r>
        <w:rPr>
          <w:rFonts w:cs="Times New Roman"/>
          <w:szCs w:val="24"/>
        </w:rPr>
        <w:t xml:space="preserve"> says the 61-year-old </w:t>
      </w:r>
      <w:proofErr w:type="spellStart"/>
      <w:r>
        <w:rPr>
          <w:rFonts w:cs="Times New Roman"/>
          <w:szCs w:val="24"/>
        </w:rPr>
        <w:t>Fulbe</w:t>
      </w:r>
      <w:proofErr w:type="spellEnd"/>
      <w:r>
        <w:rPr>
          <w:rFonts w:cs="Times New Roman"/>
          <w:szCs w:val="24"/>
        </w:rPr>
        <w:t xml:space="preserve"> pastoralist on December 31, 2022.</w:t>
      </w:r>
    </w:p>
    <w:p w:rsidR="00E53882" w:rsidRDefault="00B16FF7">
      <w:pPr>
        <w:spacing w:line="480" w:lineRule="auto"/>
        <w:rPr>
          <w:rFonts w:cs="Times New Roman"/>
          <w:szCs w:val="24"/>
        </w:rPr>
      </w:pPr>
      <w:r>
        <w:rPr>
          <w:rFonts w:cs="Times New Roman"/>
          <w:szCs w:val="24"/>
        </w:rPr>
        <w:t xml:space="preserve">This illustrates that despite sharing a common ancestry, the </w:t>
      </w:r>
      <w:proofErr w:type="spellStart"/>
      <w:r>
        <w:rPr>
          <w:rFonts w:cs="Times New Roman"/>
          <w:szCs w:val="24"/>
        </w:rPr>
        <w:t>Fulbe</w:t>
      </w:r>
      <w:proofErr w:type="spellEnd"/>
      <w:r>
        <w:rPr>
          <w:rFonts w:cs="Times New Roman"/>
          <w:szCs w:val="24"/>
        </w:rPr>
        <w:t xml:space="preserve"> people lead diverse lives influenced by their geographic location and cultural practices. Their lifestyle, clothing, and </w:t>
      </w:r>
      <w:proofErr w:type="spellStart"/>
      <w:r>
        <w:rPr>
          <w:rFonts w:cs="Times New Roman"/>
          <w:szCs w:val="24"/>
        </w:rPr>
        <w:t>behavior</w:t>
      </w:r>
      <w:proofErr w:type="spellEnd"/>
      <w:r>
        <w:rPr>
          <w:rFonts w:cs="Times New Roman"/>
          <w:szCs w:val="24"/>
        </w:rPr>
        <w:t xml:space="preserve"> serve as indicators of their origin, emphasizing the diversity among different </w:t>
      </w:r>
      <w:proofErr w:type="spellStart"/>
      <w:r>
        <w:rPr>
          <w:rFonts w:cs="Times New Roman"/>
          <w:szCs w:val="24"/>
        </w:rPr>
        <w:t>Fulbe</w:t>
      </w:r>
      <w:proofErr w:type="spellEnd"/>
      <w:r>
        <w:rPr>
          <w:rFonts w:cs="Times New Roman"/>
          <w:szCs w:val="24"/>
        </w:rPr>
        <w:t xml:space="preserve"> groups.</w:t>
      </w:r>
    </w:p>
    <w:p w:rsidR="00E53882" w:rsidRDefault="00B16FF7">
      <w:pPr>
        <w:spacing w:line="480" w:lineRule="auto"/>
        <w:rPr>
          <w:rFonts w:cs="Times New Roman"/>
          <w:szCs w:val="24"/>
        </w:rPr>
      </w:pPr>
      <w:r>
        <w:rPr>
          <w:rFonts w:cs="Times New Roman"/>
          <w:szCs w:val="24"/>
        </w:rPr>
        <w:t>Further clarification reveals that they identify each other through dress codes, tribal marks, and the way they carry themselves. They also distinguish each other based on their habits. The informant emphasized this about their character:</w:t>
      </w:r>
    </w:p>
    <w:p w:rsidR="00E53882" w:rsidRDefault="00B16FF7">
      <w:pPr>
        <w:spacing w:line="480" w:lineRule="auto"/>
        <w:ind w:left="864"/>
        <w:rPr>
          <w:rFonts w:cs="Times New Roman"/>
          <w:szCs w:val="24"/>
        </w:rPr>
      </w:pPr>
      <w:r>
        <w:rPr>
          <w:rFonts w:cs="Times New Roman"/>
          <w:szCs w:val="24"/>
        </w:rPr>
        <w:t>"</w:t>
      </w:r>
      <w:r>
        <w:rPr>
          <w:rFonts w:cs="Times New Roman"/>
          <w:i/>
          <w:szCs w:val="24"/>
        </w:rPr>
        <w:t xml:space="preserve">We know everyone and the way he does things. Some have distinctive tribal marks, and when you see them, you will know that they are from a specific town. We recognize </w:t>
      </w:r>
      <w:proofErr w:type="spellStart"/>
      <w:r>
        <w:rPr>
          <w:rFonts w:cs="Times New Roman"/>
          <w:i/>
          <w:szCs w:val="24"/>
        </w:rPr>
        <w:t>Fulbe</w:t>
      </w:r>
      <w:proofErr w:type="spellEnd"/>
      <w:r>
        <w:rPr>
          <w:rFonts w:cs="Times New Roman"/>
          <w:i/>
          <w:szCs w:val="24"/>
        </w:rPr>
        <w:t xml:space="preserve"> from Nigeria, Togo, Benin, Niger, Burkina Faso and Mali. Some may not have a good character that allows them to live harmoniously with others. When you spend time with such a person, you will quickly understand who he is. Even if he stays in your house, before dawn, you will know his preferences. What you accept, he may not, or what you eat, he may not like. Even when they bring food (T.Z) for you to eat, at that point, you will discern the person's origin by the way he eats. Even when you offer them a sitting place, you will recognize the person's tribe. They won't sit in the middle; they will sit at the edge with one buttock on the floor. If it's not their home, they won't sit in the middle until they've stayed there for a while, then they gradually move to the middle</w:t>
      </w:r>
      <w:r>
        <w:rPr>
          <w:rFonts w:cs="Times New Roman"/>
          <w:szCs w:val="24"/>
        </w:rPr>
        <w:t>."</w:t>
      </w:r>
    </w:p>
    <w:p w:rsidR="00E53882" w:rsidRDefault="00B16FF7">
      <w:pPr>
        <w:spacing w:line="480" w:lineRule="auto"/>
        <w:rPr>
          <w:rFonts w:cs="Times New Roman"/>
          <w:szCs w:val="24"/>
        </w:rPr>
      </w:pPr>
      <w:r>
        <w:rPr>
          <w:rFonts w:cs="Times New Roman"/>
          <w:szCs w:val="24"/>
        </w:rPr>
        <w:lastRenderedPageBreak/>
        <w:t xml:space="preserve">This implies that the </w:t>
      </w:r>
      <w:proofErr w:type="spellStart"/>
      <w:r>
        <w:rPr>
          <w:rFonts w:cs="Times New Roman"/>
          <w:szCs w:val="24"/>
        </w:rPr>
        <w:t>Fulbe</w:t>
      </w:r>
      <w:proofErr w:type="spellEnd"/>
      <w:r>
        <w:rPr>
          <w:rFonts w:cs="Times New Roman"/>
          <w:szCs w:val="24"/>
        </w:rPr>
        <w:t xml:space="preserve"> people possess a strong sense of community and cultural identity. They have a profound understanding of each other's way of life and can recognize and appreciate their differences. The </w:t>
      </w:r>
      <w:proofErr w:type="spellStart"/>
      <w:r>
        <w:rPr>
          <w:rFonts w:cs="Times New Roman"/>
          <w:szCs w:val="24"/>
        </w:rPr>
        <w:t>Fulbe</w:t>
      </w:r>
      <w:proofErr w:type="spellEnd"/>
      <w:r>
        <w:rPr>
          <w:rFonts w:cs="Times New Roman"/>
          <w:szCs w:val="24"/>
        </w:rPr>
        <w:t xml:space="preserve"> people also exhibit a robust attachment to their traditions and customs. This insight sheds light on the rich cultural heritage and identity of the </w:t>
      </w:r>
      <w:proofErr w:type="spellStart"/>
      <w:r>
        <w:rPr>
          <w:rFonts w:cs="Times New Roman"/>
          <w:szCs w:val="24"/>
        </w:rPr>
        <w:t>Fulbe</w:t>
      </w:r>
      <w:proofErr w:type="spellEnd"/>
      <w:r>
        <w:rPr>
          <w:rFonts w:cs="Times New Roman"/>
          <w:szCs w:val="24"/>
        </w:rPr>
        <w:t xml:space="preserve"> people, highlighting their unique characteristics, cultural practices, and values, which have contributed to their resilience and survival as a distinct group over time.</w:t>
      </w:r>
    </w:p>
    <w:p w:rsidR="00E53882" w:rsidRDefault="00B16FF7">
      <w:pPr>
        <w:spacing w:line="480" w:lineRule="auto"/>
        <w:rPr>
          <w:rFonts w:cs="Times New Roman"/>
          <w:szCs w:val="24"/>
        </w:rPr>
      </w:pPr>
      <w:r>
        <w:rPr>
          <w:rFonts w:eastAsia="Calibri" w:cs="Times New Roman"/>
          <w:szCs w:val="24"/>
        </w:rPr>
        <w:t xml:space="preserve">The historical background of the Fulani people in the study area, tracing back to </w:t>
      </w:r>
      <w:proofErr w:type="spellStart"/>
      <w:r>
        <w:rPr>
          <w:rFonts w:eastAsia="Calibri" w:cs="Times New Roman"/>
          <w:szCs w:val="24"/>
        </w:rPr>
        <w:t>Hudu</w:t>
      </w:r>
      <w:proofErr w:type="spellEnd"/>
      <w:r>
        <w:rPr>
          <w:rFonts w:eastAsia="Calibri" w:cs="Times New Roman"/>
          <w:szCs w:val="24"/>
        </w:rPr>
        <w:t xml:space="preserve"> Bata, an Arabian who migrated to Senegambia, reflects the rich ancestral lineage and migration patterns of the Fulani pastoralists. This historical account sheds light on the Fulani people's ancestry and relationship to Islamic traditions in the study area. The Fulani groups in the study area share a common ancestry, highlighting the significance of ancestry and family ties in their culture. How this historical context affects contemporary Fulani culture and identity was not explored in the study. Future studies might focus on how the Fulani people's historical origins continue to influence their cultural practices and sense of self. This findings is in line with the studies of </w:t>
      </w:r>
      <w:r>
        <w:rPr>
          <w:rFonts w:eastAsia="Calibri" w:cs="Times New Roman"/>
          <w:szCs w:val="24"/>
        </w:rPr>
        <w:fldChar w:fldCharType="begin" w:fldLock="1"/>
      </w:r>
      <w:r>
        <w:rPr>
          <w:rFonts w:eastAsia="Calibri" w:cs="Times New Roman"/>
          <w:szCs w:val="24"/>
        </w:rPr>
        <w:instrText>ADDIN CSL_CITATION {"citationItems":[{"id":"ITEM-1","itemData":{"DOI":"10.1186/s12864-019-6296-7","ISSN":"1471-2164","abstract":"Human population history in the Holocene was profoundly impacted by changes in lifestyle following the invention and adoption of food-production practices. These changes triggered significant increases in population sizes and expansions over large distances. Here we investigate the population history of the Fulani, a pastoral population extending throughout the African Sahel/Savannah belt.","author":[{"dropping-particle":"","family":"Vicente","given":"Mário","non-dropping-particle":"","parse-names":false,"suffix":""},{"dropping-particle":"","family":"Priehodová","given":"Edita","non-dropping-particle":"","parse-names":false,"suffix":""},{"dropping-particle":"","family":"Diallo","given":"Issa","non-dropping-particle":"","parse-names":false,"suffix":""},{"dropping-particle":"","family":"Podgorná","given":"Eliška","non-dropping-particle":"","parse-names":false,"suffix":""},{"dropping-particle":"","family":"Poloni","given":"Estella S","non-dropping-particle":"","parse-names":false,"suffix":""},{"dropping-particle":"","family":"Černý","given":"Viktor","non-dropping-particle":"","parse-names":false,"suffix":""},{"dropping-particle":"","family":"Schlebusch","given":"Carina M","non-dropping-particle":"","parse-names":false,"suffix":""}],"container-title":"BMC Genomics","id":"ITEM-1","issue":"1","issued":{"date-parts":[["2019"]]},"page":"915","title":"Population history and genetic adaptation of the Fulani nomads: inferences from genome-wide data and the lactase persistence trait","type":"article-journal","volume":"20"},"uris":["http://www.mendeley.com/documents/?uuid=b66df791-c68e-48a6-9d77-9018bad090a1"]}],"mendeley":{"formattedCitation":"(Vicente et al., 2019)","manualFormatting":"Vicente et al., (2019)","plainTextFormattedCitation":"(Vicente et al., 2019)","previouslyFormattedCitation":"(Vicente et al., 2019)"},"properties":{"noteIndex":0},"schema":"https://github.com/citation-style-language/schema/raw/master/csl-citation.json"}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Vicente et al., (2019)</w:t>
      </w:r>
      <w:r>
        <w:rPr>
          <w:rFonts w:eastAsia="Calibri" w:cs="Times New Roman"/>
          <w:szCs w:val="24"/>
        </w:rPr>
        <w:fldChar w:fldCharType="end"/>
      </w:r>
      <w:r>
        <w:rPr>
          <w:rFonts w:eastAsia="Calibri" w:cs="Times New Roman"/>
          <w:szCs w:val="24"/>
        </w:rPr>
        <w:t>. The authors wrote on “Population history and genetic adaptation of the Fulani nomads: inferences from genome-wide data and the lactase persistence trait” and found that the forebears of the Fulani community underwent genetic mixing between a West African lineage and a group carrying genetic influences from both European and North African backgrounds.</w:t>
      </w:r>
    </w:p>
    <w:p w:rsidR="00E53882" w:rsidRDefault="00B16FF7">
      <w:pPr>
        <w:pStyle w:val="Heading2"/>
        <w:spacing w:line="480" w:lineRule="auto"/>
      </w:pPr>
      <w:bookmarkStart w:id="91" w:name="_Toc164261716"/>
      <w:r>
        <w:t>4.4.1 Historical Background of Pastoralist Mobility</w:t>
      </w:r>
      <w:bookmarkEnd w:id="91"/>
      <w:r>
        <w:t xml:space="preserve"> </w:t>
      </w:r>
    </w:p>
    <w:p w:rsidR="00E53882" w:rsidRDefault="00B16FF7">
      <w:pPr>
        <w:spacing w:after="0" w:line="480" w:lineRule="auto"/>
        <w:rPr>
          <w:rFonts w:cs="Times New Roman"/>
          <w:szCs w:val="24"/>
        </w:rPr>
      </w:pPr>
      <w:r>
        <w:rPr>
          <w:rFonts w:cs="Times New Roman"/>
          <w:szCs w:val="24"/>
        </w:rPr>
        <w:t xml:space="preserve">The pastoralist started migrating to the study area way back in the 1980s. According to the informants, they were facing a significant challenge with regards to finding food and water </w:t>
      </w:r>
      <w:r>
        <w:rPr>
          <w:rFonts w:cs="Times New Roman"/>
          <w:szCs w:val="24"/>
        </w:rPr>
        <w:lastRenderedPageBreak/>
        <w:t>for their animals in Burkina Faso. There was no water, and no food, and the entire space was gradually taken over by sand as a result of desertification. Sometimes, they have to wait for a period of nine months, before it started raining at Burkina Faso. In addition to this, finding a place to keep their animals was difficult, because the little available place was taken over by farmers. So, they made a decision to move to places where they could find food for their animals. Ghana was chosen as their preferred destination by their parents. By then most of them used to come on a seasonal basis with their parents and go back when it started raining at Burkina Faso. Finally, they decided to come and settle in Ghana with their cattle. Some lost their cattle to the harsh weather conditions, so they migrated to Ghana without any cattle. Others came here with cattle, but later they lost all of them and had to find some people’s cattle and be taken care of. They came to northern region because at that time, people in the northern region were agro-based pastoralists. They were farming and equally raised cattle. They assigned some of their children to be taken care of their cattle. But when they arrived, they started giving their cattle to them gradually. At that time, pasture resources were abundant and the rainfall was adequate. At that time, when the first rain comes, farmers will not farm. They used to call it “</w:t>
      </w:r>
      <w:proofErr w:type="spellStart"/>
      <w:r>
        <w:rPr>
          <w:rFonts w:cs="Times New Roman"/>
          <w:szCs w:val="24"/>
        </w:rPr>
        <w:t>Mopuha</w:t>
      </w:r>
      <w:proofErr w:type="spellEnd"/>
      <w:r>
        <w:rPr>
          <w:rFonts w:cs="Times New Roman"/>
          <w:szCs w:val="24"/>
        </w:rPr>
        <w:t xml:space="preserve"> </w:t>
      </w:r>
      <w:proofErr w:type="spellStart"/>
      <w:r>
        <w:rPr>
          <w:rFonts w:cs="Times New Roman"/>
          <w:szCs w:val="24"/>
        </w:rPr>
        <w:t>Saa</w:t>
      </w:r>
      <w:proofErr w:type="spellEnd"/>
      <w:r>
        <w:rPr>
          <w:rFonts w:cs="Times New Roman"/>
          <w:szCs w:val="24"/>
        </w:rPr>
        <w:t xml:space="preserve">” meaning grass germination rain. Which were specifically designed for cattle. So, at that time, no farmer would farm, they would allow the cattle to graze and become fat. Even with the second rain, some will not farm. They will still allow the animals to graze. Even when they start farming, they will reserve some places for the cattle to be grazing. They further narrate that their relationship with the people in the study area, especially farmers’ way back, was cordial. They further described that the bitterness of their relationship started when the </w:t>
      </w:r>
      <w:proofErr w:type="spellStart"/>
      <w:r>
        <w:rPr>
          <w:rFonts w:cs="Times New Roman"/>
          <w:szCs w:val="24"/>
        </w:rPr>
        <w:t>Jerigonji</w:t>
      </w:r>
      <w:proofErr w:type="spellEnd"/>
      <w:r>
        <w:rPr>
          <w:rFonts w:cs="Times New Roman"/>
          <w:szCs w:val="24"/>
        </w:rPr>
        <w:t xml:space="preserve"> people started coming to the study area. This was also confirmed by a </w:t>
      </w:r>
      <w:proofErr w:type="spellStart"/>
      <w:r>
        <w:rPr>
          <w:rFonts w:cs="Times New Roman"/>
          <w:szCs w:val="24"/>
        </w:rPr>
        <w:t>Dagomba</w:t>
      </w:r>
      <w:proofErr w:type="spellEnd"/>
      <w:r>
        <w:rPr>
          <w:rFonts w:cs="Times New Roman"/>
          <w:szCs w:val="24"/>
        </w:rPr>
        <w:t xml:space="preserve"> old pastoralist, who narrates that they first saw pastoralists in the </w:t>
      </w:r>
      <w:r>
        <w:rPr>
          <w:rFonts w:cs="Times New Roman"/>
          <w:szCs w:val="24"/>
        </w:rPr>
        <w:lastRenderedPageBreak/>
        <w:t xml:space="preserve">study area during the drought that occurred in the 1980s, when they migrated to a community in </w:t>
      </w:r>
      <w:proofErr w:type="spellStart"/>
      <w:r>
        <w:rPr>
          <w:rFonts w:cs="Times New Roman"/>
          <w:szCs w:val="24"/>
        </w:rPr>
        <w:t>Nanumba</w:t>
      </w:r>
      <w:proofErr w:type="spellEnd"/>
      <w:r>
        <w:rPr>
          <w:rFonts w:cs="Times New Roman"/>
          <w:szCs w:val="24"/>
        </w:rPr>
        <w:t xml:space="preserve"> North called </w:t>
      </w:r>
      <w:proofErr w:type="spellStart"/>
      <w:r>
        <w:rPr>
          <w:rFonts w:cs="Times New Roman"/>
          <w:szCs w:val="24"/>
        </w:rPr>
        <w:t>Bagjoo</w:t>
      </w:r>
      <w:proofErr w:type="spellEnd"/>
      <w:r>
        <w:rPr>
          <w:rFonts w:cs="Times New Roman"/>
          <w:szCs w:val="24"/>
        </w:rPr>
        <w:t>, which was where they saw pastoralists and later moved to the study area. He further described that they were good people and they used to have a peaceful relationship with them. But the current pastoralists moving to the study area are bad people, as he described them.</w:t>
      </w:r>
    </w:p>
    <w:p w:rsidR="00E53882" w:rsidRDefault="00B16FF7">
      <w:pPr>
        <w:spacing w:line="480" w:lineRule="auto"/>
        <w:rPr>
          <w:rFonts w:cs="Times New Roman"/>
          <w:bCs/>
          <w:szCs w:val="24"/>
        </w:rPr>
      </w:pPr>
      <w:r>
        <w:rPr>
          <w:rFonts w:cs="Times New Roman"/>
          <w:bCs/>
          <w:szCs w:val="24"/>
        </w:rPr>
        <w:t xml:space="preserve">The narrative presented above offers a clear understanding of the driving forces behind pastoralists' movement to the study area. The difficulties they encountered in their home country highlight the environmental factors that affected their choice. </w:t>
      </w:r>
    </w:p>
    <w:p w:rsidR="00E53882" w:rsidRDefault="00B16FF7">
      <w:pPr>
        <w:pStyle w:val="Heading2"/>
        <w:spacing w:line="480" w:lineRule="auto"/>
      </w:pPr>
      <w:bookmarkStart w:id="92" w:name="_Toc164261717"/>
      <w:r>
        <w:t xml:space="preserve">4.5. The Chieftaincy of </w:t>
      </w:r>
      <w:proofErr w:type="spellStart"/>
      <w:r>
        <w:t>Fulbe</w:t>
      </w:r>
      <w:proofErr w:type="spellEnd"/>
      <w:r>
        <w:t xml:space="preserve"> Pastoralists</w:t>
      </w:r>
      <w:bookmarkEnd w:id="92"/>
    </w:p>
    <w:p w:rsidR="00E53882" w:rsidRDefault="00B16FF7">
      <w:pPr>
        <w:spacing w:line="480" w:lineRule="auto"/>
        <w:rPr>
          <w:rFonts w:cs="Times New Roman"/>
          <w:szCs w:val="24"/>
        </w:rPr>
      </w:pPr>
      <w:r>
        <w:rPr>
          <w:rFonts w:cs="Times New Roman"/>
          <w:szCs w:val="24"/>
        </w:rPr>
        <w:t xml:space="preserve">The chieftaincy of </w:t>
      </w:r>
      <w:proofErr w:type="spellStart"/>
      <w:r>
        <w:rPr>
          <w:rFonts w:cs="Times New Roman"/>
          <w:szCs w:val="24"/>
        </w:rPr>
        <w:t>Fulbe</w:t>
      </w:r>
      <w:proofErr w:type="spellEnd"/>
      <w:r>
        <w:rPr>
          <w:rFonts w:cs="Times New Roman"/>
          <w:szCs w:val="24"/>
        </w:rPr>
        <w:t xml:space="preserve"> pastoralist is not far from the other tribes. The way they </w:t>
      </w:r>
      <w:proofErr w:type="spellStart"/>
      <w:r>
        <w:rPr>
          <w:rFonts w:cs="Times New Roman"/>
          <w:szCs w:val="24"/>
        </w:rPr>
        <w:t>enskinned</w:t>
      </w:r>
      <w:proofErr w:type="spellEnd"/>
      <w:r>
        <w:rPr>
          <w:rFonts w:cs="Times New Roman"/>
          <w:szCs w:val="24"/>
        </w:rPr>
        <w:t xml:space="preserve"> their chiefs or passed on the chieftaincy tittle is what differentiate them from other tribes. Investigation revealed that, in the </w:t>
      </w:r>
      <w:proofErr w:type="spellStart"/>
      <w:r>
        <w:rPr>
          <w:rFonts w:cs="Times New Roman"/>
          <w:szCs w:val="24"/>
        </w:rPr>
        <w:t>Fulbe</w:t>
      </w:r>
      <w:proofErr w:type="spellEnd"/>
      <w:r>
        <w:rPr>
          <w:rFonts w:cs="Times New Roman"/>
          <w:szCs w:val="24"/>
        </w:rPr>
        <w:t xml:space="preserve"> Kingdom, they have specific group of people who are responsible for claiming chieftaincy titles. Because of that, there is no competition in the chieftaincy tittle. This was explaining that, nobody outside these group of people can contest the kingship. They elaborated further that, there is a process of passing on chief tittle from one descendant to another. </w:t>
      </w:r>
    </w:p>
    <w:p w:rsidR="00E53882" w:rsidRDefault="00B16FF7">
      <w:pPr>
        <w:spacing w:line="480" w:lineRule="auto"/>
        <w:ind w:left="720"/>
        <w:rPr>
          <w:rFonts w:cs="Times New Roman"/>
          <w:szCs w:val="24"/>
        </w:rPr>
      </w:pPr>
      <w:r>
        <w:rPr>
          <w:rFonts w:cs="Times New Roman"/>
          <w:i/>
          <w:szCs w:val="24"/>
        </w:rPr>
        <w:t>“When a chief passed away, and they performed the funeral, the first male child of the chief succeeds him. This is the tradition we have been following for centuries and no one has the power to change it</w:t>
      </w:r>
      <w:r>
        <w:rPr>
          <w:rFonts w:cs="Times New Roman"/>
          <w:szCs w:val="24"/>
        </w:rPr>
        <w:t xml:space="preserve">” as explained by 61 years old </w:t>
      </w:r>
      <w:proofErr w:type="spellStart"/>
      <w:r>
        <w:rPr>
          <w:rFonts w:cs="Times New Roman"/>
          <w:szCs w:val="24"/>
        </w:rPr>
        <w:t>fulbe</w:t>
      </w:r>
      <w:proofErr w:type="spellEnd"/>
      <w:r>
        <w:rPr>
          <w:rFonts w:cs="Times New Roman"/>
          <w:szCs w:val="24"/>
        </w:rPr>
        <w:t xml:space="preserve"> pastoralist on 31</w:t>
      </w:r>
      <w:r>
        <w:rPr>
          <w:rFonts w:cs="Times New Roman"/>
          <w:szCs w:val="24"/>
          <w:vertAlign w:val="superscript"/>
        </w:rPr>
        <w:t>st</w:t>
      </w:r>
      <w:r>
        <w:rPr>
          <w:rFonts w:cs="Times New Roman"/>
          <w:szCs w:val="24"/>
        </w:rPr>
        <w:t xml:space="preserve"> December, 2022. </w:t>
      </w:r>
    </w:p>
    <w:p w:rsidR="00E53882" w:rsidRDefault="00B16FF7">
      <w:pPr>
        <w:spacing w:line="480" w:lineRule="auto"/>
        <w:rPr>
          <w:rFonts w:cs="Times New Roman"/>
          <w:szCs w:val="24"/>
        </w:rPr>
      </w:pPr>
      <w:r>
        <w:rPr>
          <w:rFonts w:cs="Times New Roman"/>
          <w:szCs w:val="24"/>
        </w:rPr>
        <w:t xml:space="preserve">Furthermore, it was explained that, </w:t>
      </w:r>
    </w:p>
    <w:p w:rsidR="00E53882" w:rsidRDefault="00B16FF7">
      <w:pPr>
        <w:spacing w:line="480" w:lineRule="auto"/>
        <w:ind w:left="864"/>
        <w:rPr>
          <w:rFonts w:cs="Times New Roman"/>
          <w:szCs w:val="24"/>
        </w:rPr>
      </w:pPr>
      <w:r>
        <w:rPr>
          <w:rFonts w:cs="Times New Roman"/>
          <w:szCs w:val="24"/>
        </w:rPr>
        <w:lastRenderedPageBreak/>
        <w:t>“</w:t>
      </w:r>
      <w:r>
        <w:rPr>
          <w:rFonts w:cs="Times New Roman"/>
          <w:i/>
          <w:szCs w:val="24"/>
        </w:rPr>
        <w:t>None of the uncles of the first son of the deceased will contest him. They will all support him to rule. When he also passed away, none of his brothers will contest his son. His son too will be allowing to rule”</w:t>
      </w:r>
      <w:r>
        <w:rPr>
          <w:rFonts w:cs="Times New Roman"/>
          <w:szCs w:val="24"/>
        </w:rPr>
        <w:t xml:space="preserve">. </w:t>
      </w:r>
    </w:p>
    <w:p w:rsidR="00E53882" w:rsidRDefault="00B16FF7">
      <w:pPr>
        <w:spacing w:line="480" w:lineRule="auto"/>
        <w:rPr>
          <w:rFonts w:cs="Times New Roman"/>
          <w:szCs w:val="24"/>
        </w:rPr>
      </w:pPr>
      <w:r>
        <w:rPr>
          <w:rFonts w:cs="Times New Roman"/>
          <w:szCs w:val="24"/>
        </w:rPr>
        <w:t xml:space="preserve">The discussion further revealed that, no other tribe can claim chieftaincy tittle of </w:t>
      </w:r>
      <w:proofErr w:type="spellStart"/>
      <w:r>
        <w:rPr>
          <w:rFonts w:cs="Times New Roman"/>
          <w:szCs w:val="24"/>
        </w:rPr>
        <w:t>Fulbe</w:t>
      </w:r>
      <w:proofErr w:type="spellEnd"/>
      <w:r>
        <w:rPr>
          <w:rFonts w:cs="Times New Roman"/>
          <w:szCs w:val="24"/>
        </w:rPr>
        <w:t xml:space="preserve"> people neither can a person outside the gate can claim the title. </w:t>
      </w:r>
    </w:p>
    <w:p w:rsidR="00E53882" w:rsidRDefault="00B16FF7">
      <w:pPr>
        <w:spacing w:line="480" w:lineRule="auto"/>
        <w:rPr>
          <w:rFonts w:cs="Times New Roman"/>
          <w:szCs w:val="24"/>
        </w:rPr>
      </w:pPr>
      <w:r>
        <w:rPr>
          <w:rFonts w:cs="Times New Roman"/>
          <w:szCs w:val="24"/>
        </w:rPr>
        <w:t xml:space="preserve">This is different from how they select their chief in the study area. The selection of chief in the study area is not based on linage, but rather based on the influence of the person. They select someone who has money, power as well as good communicator. Also, it is not a life time leadership, meaning that when you are selected as a leader or pastoralist chief in the study area, they can decide to dethrone you anytime they realized that you are not doing what they want. They are facing numerous challenges in the study area. So, they need someone who can fight for them as explained by the key informant. So, when they realized that, this condition is not fulfilling, they can change someone they think he is more capable of handling their affairs. </w:t>
      </w:r>
    </w:p>
    <w:p w:rsidR="00E53882" w:rsidRDefault="00B16FF7">
      <w:pPr>
        <w:spacing w:line="480" w:lineRule="auto"/>
        <w:ind w:left="864"/>
        <w:rPr>
          <w:rFonts w:cs="Times New Roman"/>
          <w:szCs w:val="24"/>
        </w:rPr>
      </w:pPr>
      <w:r>
        <w:rPr>
          <w:rFonts w:cs="Times New Roman"/>
          <w:i/>
          <w:szCs w:val="24"/>
        </w:rPr>
        <w:t xml:space="preserve">“The chief of </w:t>
      </w:r>
      <w:proofErr w:type="spellStart"/>
      <w:r>
        <w:rPr>
          <w:rFonts w:cs="Times New Roman"/>
          <w:i/>
          <w:szCs w:val="24"/>
        </w:rPr>
        <w:t>Gusheigu</w:t>
      </w:r>
      <w:proofErr w:type="spellEnd"/>
      <w:r>
        <w:rPr>
          <w:rFonts w:cs="Times New Roman"/>
          <w:i/>
          <w:szCs w:val="24"/>
        </w:rPr>
        <w:t xml:space="preserve"> selects a leader for us, and the selection is not based on lineage, but we are looking at someone who has influence and knows how to talk. Someone who can fight for us when we are in trouble</w:t>
      </w:r>
      <w:r>
        <w:rPr>
          <w:rFonts w:cs="Times New Roman"/>
          <w:szCs w:val="24"/>
        </w:rPr>
        <w:t>” says the 40 years old pastoralists.</w:t>
      </w:r>
    </w:p>
    <w:p w:rsidR="00E53882" w:rsidRDefault="00B16FF7">
      <w:pPr>
        <w:spacing w:line="480" w:lineRule="auto"/>
        <w:rPr>
          <w:rFonts w:cs="Times New Roman"/>
          <w:szCs w:val="24"/>
        </w:rPr>
      </w:pPr>
      <w:r>
        <w:rPr>
          <w:rFonts w:cs="Times New Roman"/>
          <w:szCs w:val="24"/>
        </w:rPr>
        <w:t xml:space="preserve">This show the uniqueness of </w:t>
      </w:r>
      <w:proofErr w:type="spellStart"/>
      <w:r>
        <w:rPr>
          <w:rFonts w:cs="Times New Roman"/>
          <w:szCs w:val="24"/>
        </w:rPr>
        <w:t>fulbe</w:t>
      </w:r>
      <w:proofErr w:type="spellEnd"/>
      <w:r>
        <w:rPr>
          <w:rFonts w:cs="Times New Roman"/>
          <w:szCs w:val="24"/>
        </w:rPr>
        <w:t xml:space="preserve"> chieftaincy system from that of others. The practices shows the value of family ties and lineage in their system. It also shows the role that a specific group of people within their society play and the respect they gave their tradition. However, this </w:t>
      </w:r>
      <w:r>
        <w:rPr>
          <w:rFonts w:cs="Times New Roman"/>
          <w:szCs w:val="24"/>
        </w:rPr>
        <w:lastRenderedPageBreak/>
        <w:t xml:space="preserve">study does not delve in details into the roles of these chieftains in the current pastoralist communities. Future study could explore their roles and responsibilities in contemporary pastoralist communities and their impact on governance and decision-making processes. This findings was not in line with </w:t>
      </w:r>
      <w:r>
        <w:rPr>
          <w:rFonts w:cs="Times New Roman"/>
          <w:szCs w:val="24"/>
        </w:rPr>
        <w:fldChar w:fldCharType="begin" w:fldLock="1"/>
      </w:r>
      <w:r>
        <w:rPr>
          <w:rFonts w:cs="Times New Roman"/>
          <w:szCs w:val="24"/>
        </w:rPr>
        <w:instrText>ADDIN CSL_CITATION {"citationItems":[{"id":"ITEM-1","itemData":{"DOI":"10.4314/rrias.v21i1.22932","author":[{"dropping-particle":"","family":"Tonah","given":"Steve","non-dropping-particle":"","parse-names":false,"suffix":""}],"container-title":"Research Review of the Institute of African Studies","id":"ITEM-1","issued":{"date-parts":[["2005","12","14"]]},"title":"Chieftaincy succession disputes and the challenge to traditional authority in Mamprugu - northern Ghana","type":"article-journal","volume":"21"},"uris":["http://www.mendeley.com/documents/?uuid=a28b4ed8-70ff-4c78-a037-9e3f7249bf13"]}],"mendeley":{"formattedCitation":"(Tonah, 2005)","manualFormatting":"Tonah, (2005)","plainTextFormattedCitation":"(Tonah, 2005)","previouslyFormattedCitation":"(Tonah, 2005)"},"properties":{"noteIndex":0},"schema":"https://github.com/citation-style-language/schema/raw/master/csl-citation.json"}</w:instrText>
      </w:r>
      <w:r>
        <w:rPr>
          <w:rFonts w:cs="Times New Roman"/>
          <w:szCs w:val="24"/>
        </w:rPr>
        <w:fldChar w:fldCharType="separate"/>
      </w:r>
      <w:r>
        <w:rPr>
          <w:rFonts w:cs="Times New Roman"/>
          <w:noProof/>
          <w:szCs w:val="24"/>
        </w:rPr>
        <w:t>Tonah, (2005)</w:t>
      </w:r>
      <w:r>
        <w:rPr>
          <w:rFonts w:cs="Times New Roman"/>
          <w:szCs w:val="24"/>
        </w:rPr>
        <w:fldChar w:fldCharType="end"/>
      </w:r>
      <w:r>
        <w:rPr>
          <w:rFonts w:cs="Times New Roman"/>
          <w:szCs w:val="24"/>
        </w:rPr>
        <w:t>, the author found that, chieftaincy succession has brought a lot of conflict to many parts of Ghana.</w:t>
      </w:r>
    </w:p>
    <w:p w:rsidR="00E53882" w:rsidRPr="00F3043B" w:rsidRDefault="00B16FF7">
      <w:pPr>
        <w:spacing w:line="480" w:lineRule="auto"/>
        <w:rPr>
          <w:rFonts w:cs="Times New Roman"/>
          <w:szCs w:val="24"/>
        </w:rPr>
      </w:pPr>
      <w:r>
        <w:rPr>
          <w:rFonts w:cs="Times New Roman"/>
          <w:szCs w:val="24"/>
        </w:rPr>
        <w:t xml:space="preserve">In conclusion, this study </w:t>
      </w:r>
      <w:r w:rsidR="000C40E7">
        <w:rPr>
          <w:rFonts w:cs="Times New Roman"/>
          <w:szCs w:val="24"/>
        </w:rPr>
        <w:t>explores</w:t>
      </w:r>
      <w:r>
        <w:rPr>
          <w:rFonts w:cs="Times New Roman"/>
          <w:szCs w:val="24"/>
        </w:rPr>
        <w:t xml:space="preserve"> diverse ethnic groups involve in pastoralism in the study area, with </w:t>
      </w:r>
      <w:proofErr w:type="spellStart"/>
      <w:r>
        <w:rPr>
          <w:rFonts w:cs="Times New Roman"/>
          <w:szCs w:val="24"/>
        </w:rPr>
        <w:t>fulbe</w:t>
      </w:r>
      <w:proofErr w:type="spellEnd"/>
      <w:r>
        <w:rPr>
          <w:rFonts w:cs="Times New Roman"/>
          <w:szCs w:val="24"/>
        </w:rPr>
        <w:t xml:space="preserve"> been the majority among these groups. Despite the presence of different ethnic groups, they adopted the Fulfulde as their main language showing a strong linguistic influence. The distinctive mood of dressing, together with the preference for endogamous marriages, makes people in the study area to think that all of them are </w:t>
      </w:r>
      <w:proofErr w:type="spellStart"/>
      <w:r>
        <w:rPr>
          <w:rFonts w:cs="Times New Roman"/>
          <w:szCs w:val="24"/>
        </w:rPr>
        <w:t>fulbe</w:t>
      </w:r>
      <w:proofErr w:type="spellEnd"/>
      <w:r>
        <w:rPr>
          <w:rFonts w:cs="Times New Roman"/>
          <w:szCs w:val="24"/>
        </w:rPr>
        <w:t xml:space="preserve"> people.  The findings related to transfer of knowledge, pastoralists symbolic beliefs about their animals, marriage practices, historical background and their chieftaincy system in the study area are in line with existing research conducted by scholars in Africa. These findings add to a bigger understanding of the cultural, social, and historical aspects of pastoralism, and give emphasis to their unique traditions, knowledge systems, and governance structures that shape their way of life. In the context of climate change and pastoralist mobility, this component will provide a unique interpretation of how pastoralist’s cultural practices and social systems can enhance their adaptive capacity in the context of environmental changes. It will also provide a space for further research into specific interactions between climate variables and pastoralist practices. In the next chapter, I will discuss their perception, experiences and adaptation strategies to climate change.</w:t>
      </w:r>
    </w:p>
    <w:p w:rsidR="00E53882" w:rsidRDefault="00B16FF7">
      <w:pPr>
        <w:pStyle w:val="Heading1"/>
        <w:spacing w:line="480" w:lineRule="auto"/>
      </w:pPr>
      <w:bookmarkStart w:id="93" w:name="_Toc164261718"/>
      <w:r>
        <w:lastRenderedPageBreak/>
        <w:t>CHAPTER FIVE</w:t>
      </w:r>
      <w:bookmarkEnd w:id="93"/>
    </w:p>
    <w:p w:rsidR="00E53882" w:rsidRDefault="00B16FF7" w:rsidP="00204C37">
      <w:pPr>
        <w:pStyle w:val="Heading1"/>
        <w:spacing w:before="0" w:line="480" w:lineRule="auto"/>
      </w:pPr>
      <w:bookmarkStart w:id="94" w:name="_Toc164261719"/>
      <w:r>
        <w:t>PERCEPTIONS, EXPERIENCES, AND ADAPTATION TO CLIMATE CHANGE</w:t>
      </w:r>
      <w:bookmarkEnd w:id="94"/>
    </w:p>
    <w:p w:rsidR="00E53882" w:rsidRDefault="00B16FF7">
      <w:pPr>
        <w:pStyle w:val="Heading2"/>
        <w:spacing w:before="0" w:line="480" w:lineRule="auto"/>
      </w:pPr>
      <w:bookmarkStart w:id="95" w:name="_Toc164261720"/>
      <w:r>
        <w:t>5.0 Introduction</w:t>
      </w:r>
      <w:bookmarkEnd w:id="95"/>
    </w:p>
    <w:p w:rsidR="00E53882" w:rsidRDefault="00B16FF7">
      <w:pPr>
        <w:spacing w:before="0" w:after="0" w:line="480" w:lineRule="auto"/>
        <w:rPr>
          <w:rFonts w:cs="Times New Roman"/>
          <w:szCs w:val="24"/>
        </w:rPr>
      </w:pPr>
      <w:r>
        <w:rPr>
          <w:rFonts w:cs="Times New Roman"/>
          <w:szCs w:val="24"/>
        </w:rPr>
        <w:t>This chapter explore the perceptions, experiences and adaptation of pastoralists in the study area. The aim is to understand their awareness, understanding, and interpretations of climate change and its implications on their livelihoods. This is to help us uncover their local knowledge, experiences, and perspectives on climate change. This data will also contribute to a wide-range of understanding of the human dimensions of climate change and its implications for pastoralist. It will also help policy makers to make informed decision regarding climate change in the study area.</w:t>
      </w:r>
    </w:p>
    <w:p w:rsidR="00E53882" w:rsidRDefault="00E53882">
      <w:pPr>
        <w:pStyle w:val="Heading2"/>
        <w:spacing w:before="0" w:line="480" w:lineRule="auto"/>
      </w:pPr>
    </w:p>
    <w:p w:rsidR="00E53882" w:rsidRDefault="00B16FF7">
      <w:pPr>
        <w:pStyle w:val="Heading2"/>
        <w:spacing w:before="0" w:line="480" w:lineRule="auto"/>
      </w:pPr>
      <w:bookmarkStart w:id="96" w:name="_Toc164261721"/>
      <w:r>
        <w:t>5.1 Pastoralists Understanding of Climate Change</w:t>
      </w:r>
      <w:bookmarkEnd w:id="96"/>
    </w:p>
    <w:p w:rsidR="00E53882" w:rsidRDefault="00B16FF7">
      <w:pPr>
        <w:spacing w:before="0" w:after="0" w:line="480" w:lineRule="auto"/>
        <w:rPr>
          <w:rFonts w:cs="Times New Roman"/>
          <w:szCs w:val="24"/>
        </w:rPr>
      </w:pPr>
      <w:r>
        <w:rPr>
          <w:rFonts w:cs="Times New Roman"/>
          <w:szCs w:val="24"/>
        </w:rPr>
        <w:t>According to pastoralists in the study area, they understand climate change as changes in weather conditions over an extended period caused by both natural factors and human activities. It also involves an increase in wind speed, temperature rise, and changes in rainfall patterns occurring gradually, impacting the lives of animals and humans due to activities such as tree cutting and bush burning. The consensus that led to these is summarized below:</w:t>
      </w:r>
    </w:p>
    <w:p w:rsidR="00E53882" w:rsidRDefault="00B16FF7">
      <w:pPr>
        <w:spacing w:before="0" w:line="480" w:lineRule="auto"/>
        <w:ind w:left="864"/>
        <w:rPr>
          <w:rFonts w:cs="Times New Roman"/>
          <w:szCs w:val="24"/>
        </w:rPr>
      </w:pPr>
      <w:r>
        <w:rPr>
          <w:rFonts w:cs="Times New Roman"/>
          <w:szCs w:val="24"/>
        </w:rPr>
        <w:t>"</w:t>
      </w:r>
      <w:r>
        <w:rPr>
          <w:rFonts w:cs="Times New Roman"/>
          <w:i/>
          <w:szCs w:val="24"/>
        </w:rPr>
        <w:t>When we talk about climate change (</w:t>
      </w:r>
      <w:proofErr w:type="spellStart"/>
      <w:r>
        <w:rPr>
          <w:rFonts w:cs="Times New Roman"/>
          <w:i/>
          <w:szCs w:val="24"/>
        </w:rPr>
        <w:t>Tingbani</w:t>
      </w:r>
      <w:proofErr w:type="spellEnd"/>
      <w:r>
        <w:rPr>
          <w:rFonts w:cs="Times New Roman"/>
          <w:i/>
          <w:szCs w:val="24"/>
        </w:rPr>
        <w:t xml:space="preserve"> </w:t>
      </w:r>
      <w:proofErr w:type="spellStart"/>
      <w:r>
        <w:rPr>
          <w:rFonts w:cs="Times New Roman"/>
          <w:i/>
          <w:szCs w:val="24"/>
        </w:rPr>
        <w:t>Tagbu</w:t>
      </w:r>
      <w:proofErr w:type="spellEnd"/>
      <w:r>
        <w:rPr>
          <w:rFonts w:cs="Times New Roman"/>
          <w:i/>
          <w:szCs w:val="24"/>
        </w:rPr>
        <w:t>), it means that the weather conditions are changing, as we are currently experiencing. However, these changes take a long time to occur; they do not happen suddenly. These changes are caused by both nature (God) and some activities of us, the human beings</w:t>
      </w:r>
      <w:r>
        <w:rPr>
          <w:rFonts w:cs="Times New Roman"/>
          <w:szCs w:val="24"/>
        </w:rPr>
        <w:t>," explained a 55-year-old male participant in a focus group discussion (Focus Group, 2023).</w:t>
      </w:r>
    </w:p>
    <w:p w:rsidR="00E53882" w:rsidRDefault="00B16FF7">
      <w:pPr>
        <w:spacing w:before="0" w:after="0" w:line="480" w:lineRule="auto"/>
        <w:rPr>
          <w:rFonts w:cs="Times New Roman"/>
          <w:szCs w:val="24"/>
        </w:rPr>
      </w:pPr>
      <w:r>
        <w:rPr>
          <w:rFonts w:cs="Times New Roman"/>
          <w:szCs w:val="24"/>
        </w:rPr>
        <w:lastRenderedPageBreak/>
        <w:t xml:space="preserve">Another respondent expressed, </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 xml:space="preserve">What we observe is on the Niger side, where there are no trees. When the wind blows, it seems as if one is in a fast-moving vehicle due to the lack of trees. However, when you travel from Niger to Burkina, from </w:t>
      </w:r>
      <w:proofErr w:type="spellStart"/>
      <w:r>
        <w:rPr>
          <w:rFonts w:cs="Times New Roman"/>
          <w:i/>
          <w:szCs w:val="24"/>
        </w:rPr>
        <w:t>Fadan</w:t>
      </w:r>
      <w:proofErr w:type="spellEnd"/>
      <w:r>
        <w:rPr>
          <w:rFonts w:cs="Times New Roman"/>
          <w:i/>
          <w:szCs w:val="24"/>
        </w:rPr>
        <w:t xml:space="preserve"> </w:t>
      </w:r>
      <w:proofErr w:type="spellStart"/>
      <w:r>
        <w:rPr>
          <w:rFonts w:cs="Times New Roman"/>
          <w:i/>
          <w:szCs w:val="24"/>
        </w:rPr>
        <w:t>Grumah</w:t>
      </w:r>
      <w:proofErr w:type="spellEnd"/>
      <w:r>
        <w:rPr>
          <w:rFonts w:cs="Times New Roman"/>
          <w:i/>
          <w:szCs w:val="24"/>
        </w:rPr>
        <w:t xml:space="preserve"> to Ouagadougou, you will notice that it is better, and heavy wind is not as prevalent. From my perspective, it is the trees; thus, all the changes are caused by the absence of trees</w:t>
      </w:r>
      <w:r>
        <w:rPr>
          <w:rFonts w:cs="Times New Roman"/>
          <w:szCs w:val="24"/>
        </w:rPr>
        <w:t>," shared a 61-year-old male participant in the Focus Group Discussion.</w:t>
      </w:r>
    </w:p>
    <w:p w:rsidR="00E53882" w:rsidRDefault="00B16FF7">
      <w:pPr>
        <w:spacing w:before="0" w:after="0" w:line="480" w:lineRule="auto"/>
        <w:rPr>
          <w:rFonts w:cs="Times New Roman"/>
          <w:szCs w:val="24"/>
        </w:rPr>
      </w:pPr>
      <w:r>
        <w:rPr>
          <w:rFonts w:cs="Times New Roman"/>
          <w:szCs w:val="24"/>
        </w:rPr>
        <w:t>They further conveyed,</w:t>
      </w:r>
    </w:p>
    <w:p w:rsidR="00E53882" w:rsidRDefault="00B16FF7">
      <w:pPr>
        <w:spacing w:before="0" w:after="0" w:line="480" w:lineRule="auto"/>
        <w:ind w:left="720"/>
        <w:rPr>
          <w:rFonts w:cs="Times New Roman"/>
          <w:szCs w:val="24"/>
        </w:rPr>
      </w:pPr>
      <w:r>
        <w:rPr>
          <w:rFonts w:cs="Times New Roman"/>
          <w:szCs w:val="24"/>
        </w:rPr>
        <w:t xml:space="preserve"> "</w:t>
      </w:r>
      <w:r>
        <w:rPr>
          <w:rFonts w:cs="Times New Roman"/>
          <w:i/>
          <w:szCs w:val="24"/>
        </w:rPr>
        <w:t>Our elders have informed us that the times are changing, and everything will evolve with it,</w:t>
      </w:r>
      <w:r>
        <w:rPr>
          <w:rFonts w:cs="Times New Roman"/>
          <w:szCs w:val="24"/>
        </w:rPr>
        <w:t>" according to a 35-year-old male pastoralist in the Focus Group Discussion.</w:t>
      </w:r>
    </w:p>
    <w:p w:rsidR="00E53882" w:rsidRDefault="00B16FF7">
      <w:pPr>
        <w:spacing w:before="0" w:line="480" w:lineRule="auto"/>
        <w:rPr>
          <w:rFonts w:cs="Times New Roman"/>
          <w:vanish/>
          <w:szCs w:val="24"/>
        </w:rPr>
      </w:pPr>
      <w:r>
        <w:rPr>
          <w:rFonts w:cs="Times New Roman"/>
          <w:vanish/>
          <w:szCs w:val="24"/>
        </w:rPr>
        <w:t>Top of Form</w:t>
      </w:r>
    </w:p>
    <w:p w:rsidR="00E53882" w:rsidRDefault="00B16FF7">
      <w:pPr>
        <w:spacing w:before="0" w:line="480" w:lineRule="auto"/>
        <w:rPr>
          <w:rFonts w:cs="Times New Roman"/>
          <w:vanish/>
          <w:szCs w:val="24"/>
        </w:rPr>
      </w:pPr>
      <w:r>
        <w:rPr>
          <w:rFonts w:cs="Times New Roman"/>
          <w:vanish/>
          <w:szCs w:val="24"/>
        </w:rPr>
        <w:t>Top of Form</w:t>
      </w:r>
    </w:p>
    <w:p w:rsidR="00E53882" w:rsidRDefault="00B16FF7">
      <w:pPr>
        <w:spacing w:before="0" w:after="0" w:line="480" w:lineRule="auto"/>
        <w:rPr>
          <w:rFonts w:cs="Times New Roman"/>
          <w:szCs w:val="24"/>
        </w:rPr>
      </w:pPr>
      <w:r>
        <w:rPr>
          <w:rFonts w:cs="Times New Roman"/>
          <w:szCs w:val="24"/>
        </w:rPr>
        <w:t>Investigation revealed that, although climate change is simple rise in temperature, increased in wind speed and changes in weather pattern, not all changes in weather patterns affects animals, some changes actually give them good health as indicated by 61 years old pastoralist during our discussion. This means the effects of climate change on cattle is not always bad, sometimes it has positive impact on the animals. This positive implication include increase in animal size, increased in animals feed etc.</w:t>
      </w:r>
    </w:p>
    <w:p w:rsidR="00E53882" w:rsidRDefault="00B16FF7">
      <w:pPr>
        <w:spacing w:before="0" w:line="480" w:lineRule="auto"/>
        <w:rPr>
          <w:rFonts w:cs="Times New Roman"/>
          <w:szCs w:val="24"/>
        </w:rPr>
      </w:pPr>
      <w:r>
        <w:rPr>
          <w:rFonts w:cs="Times New Roman"/>
          <w:szCs w:val="24"/>
        </w:rPr>
        <w:t xml:space="preserve">Furthermore, another important component of the description of climate change is the identification of its impacts. Two differing options were identified, first, climate change impact began when insufficient rainfall coupled with high temperature and wind started having negative consequences on animals. These unlikeable effects include dying, respiratory problem, reduce cattle weight, reduce fertility, and reduce food intake. </w:t>
      </w:r>
    </w:p>
    <w:p w:rsidR="00E53882" w:rsidRDefault="00B16FF7">
      <w:pPr>
        <w:spacing w:before="0" w:after="0" w:line="480" w:lineRule="auto"/>
        <w:rPr>
          <w:rFonts w:cs="Times New Roman"/>
          <w:szCs w:val="24"/>
        </w:rPr>
      </w:pPr>
      <w:r>
        <w:rPr>
          <w:rFonts w:cs="Times New Roman"/>
          <w:szCs w:val="24"/>
        </w:rPr>
        <w:t xml:space="preserve">The second opinion held that regular deforestation and bush burning taking place for a very long time at a particular place. </w:t>
      </w:r>
    </w:p>
    <w:p w:rsidR="00E53882" w:rsidRDefault="00B16FF7">
      <w:pPr>
        <w:spacing w:before="0" w:after="0" w:line="480" w:lineRule="auto"/>
        <w:ind w:left="720"/>
        <w:rPr>
          <w:rFonts w:cs="Times New Roman"/>
          <w:szCs w:val="24"/>
        </w:rPr>
      </w:pPr>
      <w:r>
        <w:rPr>
          <w:rFonts w:cs="Times New Roman"/>
          <w:szCs w:val="24"/>
        </w:rPr>
        <w:lastRenderedPageBreak/>
        <w:t>"</w:t>
      </w:r>
      <w:r>
        <w:rPr>
          <w:rFonts w:cs="Times New Roman"/>
          <w:i/>
          <w:szCs w:val="24"/>
        </w:rPr>
        <w:t>There are some trees that serve as good stewards of God, and when you cut down those trees, you will feel the negative impact. These trees contribute to rainfall, mitigate the speed of the wind, and alleviate heat. When these trees are cut down, what else is going to prevent these phenomena from occurring</w:t>
      </w:r>
      <w:r>
        <w:rPr>
          <w:rFonts w:cs="Times New Roman"/>
          <w:szCs w:val="24"/>
        </w:rPr>
        <w:t xml:space="preserve">?" explained a 67-year-old pastoralist (focus group, 2023). </w:t>
      </w:r>
    </w:p>
    <w:p w:rsidR="00E53882" w:rsidRDefault="00B16FF7">
      <w:pPr>
        <w:spacing w:before="0" w:after="0" w:line="480" w:lineRule="auto"/>
        <w:rPr>
          <w:rFonts w:cs="Times New Roman"/>
          <w:szCs w:val="24"/>
        </w:rPr>
      </w:pPr>
      <w:r>
        <w:rPr>
          <w:rFonts w:cs="Times New Roman"/>
          <w:szCs w:val="24"/>
        </w:rPr>
        <w:t>He further elaborated,</w:t>
      </w:r>
    </w:p>
    <w:p w:rsidR="00E53882" w:rsidRDefault="00B16FF7">
      <w:pPr>
        <w:spacing w:before="0" w:after="0" w:line="480" w:lineRule="auto"/>
        <w:ind w:left="720"/>
        <w:rPr>
          <w:rFonts w:cs="Times New Roman"/>
          <w:szCs w:val="24"/>
        </w:rPr>
      </w:pPr>
      <w:r>
        <w:rPr>
          <w:rFonts w:cs="Times New Roman"/>
          <w:szCs w:val="24"/>
        </w:rPr>
        <w:t xml:space="preserve"> "</w:t>
      </w:r>
      <w:r>
        <w:rPr>
          <w:rFonts w:cs="Times New Roman"/>
          <w:i/>
          <w:szCs w:val="24"/>
        </w:rPr>
        <w:t>When we initially settled here, substantial trees like '</w:t>
      </w:r>
      <w:proofErr w:type="spellStart"/>
      <w:r>
        <w:rPr>
          <w:rFonts w:cs="Times New Roman"/>
          <w:i/>
          <w:szCs w:val="24"/>
        </w:rPr>
        <w:t>Kpala</w:t>
      </w:r>
      <w:proofErr w:type="spellEnd"/>
      <w:r>
        <w:rPr>
          <w:rFonts w:cs="Times New Roman"/>
          <w:i/>
          <w:szCs w:val="24"/>
        </w:rPr>
        <w:t>' and '</w:t>
      </w:r>
      <w:proofErr w:type="spellStart"/>
      <w:r>
        <w:rPr>
          <w:rFonts w:cs="Times New Roman"/>
          <w:i/>
          <w:szCs w:val="24"/>
        </w:rPr>
        <w:t>Kugsi</w:t>
      </w:r>
      <w:proofErr w:type="spellEnd"/>
      <w:r>
        <w:rPr>
          <w:rFonts w:cs="Times New Roman"/>
          <w:i/>
          <w:szCs w:val="24"/>
        </w:rPr>
        <w:t>' were abundant, but now, they have been cleared for farming. With the continued absence of these trees, climate change impact may manifest</w:t>
      </w:r>
      <w:r>
        <w:rPr>
          <w:rFonts w:cs="Times New Roman"/>
          <w:szCs w:val="24"/>
        </w:rPr>
        <w:t xml:space="preserve">" (Focus group, 2023) </w:t>
      </w:r>
    </w:p>
    <w:p w:rsidR="00E53882" w:rsidRDefault="00B16FF7">
      <w:pPr>
        <w:spacing w:before="0" w:line="480" w:lineRule="auto"/>
        <w:rPr>
          <w:rFonts w:cs="Times New Roman"/>
          <w:szCs w:val="24"/>
        </w:rPr>
      </w:pPr>
      <w:r>
        <w:rPr>
          <w:rFonts w:cs="Times New Roman"/>
          <w:szCs w:val="24"/>
        </w:rPr>
        <w:t xml:space="preserve">This finding stresses the role of human activities in driving climate change. The first opinion emphasizes the immediate impacts of changing weather conditions on animals, including their health, weight, and reproductive abilities. The second view focuses on the long-term consequences of deforestation and bush burning, especially cutting down of trees that provide environmental benefits such as rainfall regulation, wind reduction, and heat mitigation. </w:t>
      </w:r>
    </w:p>
    <w:p w:rsidR="00E53882" w:rsidRDefault="00B16FF7">
      <w:pPr>
        <w:spacing w:before="0" w:after="0" w:line="480" w:lineRule="auto"/>
        <w:rPr>
          <w:rFonts w:cs="Times New Roman"/>
          <w:szCs w:val="24"/>
        </w:rPr>
      </w:pPr>
      <w:r>
        <w:rPr>
          <w:rFonts w:cs="Times New Roman"/>
          <w:vanish/>
          <w:szCs w:val="24"/>
        </w:rPr>
        <w:t>Top of Form</w:t>
      </w:r>
      <w:r>
        <w:rPr>
          <w:rFonts w:cs="Times New Roman"/>
          <w:szCs w:val="24"/>
        </w:rPr>
        <w:t xml:space="preserve">The pastoralists offer a unique and complex explanation of climate change in the study area. Based on their understanding climate change consist of changing in weather patterns occurring over long period of time. They attribute these changes to both human activities and nature process. Their attribution of climate change to bush burning and deforestation collaborate with understanding that certain human activities contributes to greenhouse gas emission and changes the ecosystem. The frequent deforestation in the study area reduces the capacity of the trees to absorb carbon dioxide. Carbon dioxide is main greenhouse gas that contribute to global warming. Furthermore, bush burning also releases carbon dioxide and other pollutants in to the atmosphere and further worsening the greenhouse effects. The views expressed by </w:t>
      </w:r>
      <w:r>
        <w:rPr>
          <w:rFonts w:cs="Times New Roman"/>
          <w:szCs w:val="24"/>
        </w:rPr>
        <w:lastRenderedPageBreak/>
        <w:t>the pastoralists is in line with the broader understanding that certain human actions can significantly influence the climate system</w:t>
      </w:r>
      <w:r>
        <w:t xml:space="preserve"> </w:t>
      </w:r>
      <w:r>
        <w:rPr>
          <w:rFonts w:cs="Times New Roman"/>
          <w:szCs w:val="24"/>
        </w:rPr>
        <w:fldChar w:fldCharType="begin" w:fldLock="1"/>
      </w:r>
      <w:r w:rsidR="00900D2E">
        <w:rPr>
          <w:rFonts w:cs="Times New Roman"/>
          <w:szCs w:val="24"/>
        </w:rPr>
        <w:instrText>ADDIN CSL_CITATION {"citationItems":[{"id":"ITEM-1","itemData":{"ISBN":"9789291691432","ISSN":"00220248","author":[{"dropping-particle":"","family":"IPCC","given":"","non-dropping-particle":"","parse-names":false,"suffix":""}],"container-title":"Journal of Crystal Growth","id":"ITEM-1","issued":{"date-parts":[["2014"]]},"title":"Climate Change 2014 Synthesis Report","type":"book","volume":"Fifth Asse"},"uris":["http://www.mendeley.com/documents/?uuid=81fa4ecb-17e4-4ddf-87a9-d00b7f5d9a6e"]},{"id":"ITEM-2","itemData":{"abstract":"Recognizing the implications of climate change for its national development and in response to international commitments, the Government of Ghana has taken various actions to support climate change adaptation planning, with a number of climate change-related policies and strategies already in place. Under the leadership of the Environmental Protection Agency (EPA), and with support from the United States In-Country Support Program (managed by the International Institute for Sustainable Development [IISD], host to the NAP Global Network Secretariat), the Government of Ghana has prepared this National Adaptation Plan Framework to guide and advance its National Adaptation Plan (NAP) to address medium- and long-term adaptation needs in a coherent and coordinated manner. The purpose of this document is to provide an overall framework to guide the country in developing, coordinating and implementing its NAP process. This framework serves to describe the benefits of the NAP process in the context of Ghana, and to ensure that the NAP does not unnecessarily add to the proliferation of national planning processes and related documents. Specifically, the objectives of this NAP Framework are to: • Clarify the country’s approach to its NAP process. This will include an articulation of the country’s vision of climate change adaptation, its adaptation objectives and principles, the roles played by stakeholders within the national government, and priority adaptation actions to be undertaken. It will also provide a reference point for bringing together various adaptation planning efforts from different sectors, sub-national structures and scales of decision making. • Align the NAP process with existing policies, strategies, programs and adaptation research. • Serve as a basis for stakeholder engagement. The methodology for this framework consisted of a thorough desk-based review of existing climate change data, information and relevant national policies, laws and strategies; extensive stakeholder consultations with both public and private institutions; and a national stakeholder workshop. Although this framework represents the first stage in Ghana’s NAP process, there have been several important efforts to date by the Government of Ghana on climate change adaptation. These include the development of the National Adaptation Strategy (2012), the National Climate Change Policy (2013), the Nationally Determined Contributions (NDCs) (2015) and the National Climate Change Mas…","author":[{"dropping-particle":"","family":"Antwi-Agyei","given":"P.","non-dropping-particle":"","parse-names":false,"suffix":""}],"id":"ITEM-2","issue":"October","issued":{"date-parts":[["2018"]]},"page":"36","title":"Ghana’s national adaptation plan","type":"article-journal"},"uris":["http://www.mendeley.com/documents/?uuid=64ca5f6b-80b5-4751-b3a5-4fba76a26b22"]},{"id":"ITEM-3","itemData":{"abstract":"The paper presents an assessment of climatic trends and patterns, and impacts on food crop productivity in the Bawku West District. The study adopted both statistical and descriptive approaches to achieve the formulated objectives. Rainfall and temperature data were obtained from the Ghana Meteorological Agency, Navrongo-Ghana, and the World Bank Climate Change Knowledge Portal. The main instruments used to gather information from the respondents were questionnaire, structured interview guide and field observation. Data were analysed using SPSS version 20 and presented in tables and figures. The study revealed that there were yearly irregularities in the amount and intensity of rainfall with increasing number of dry spells, implying the area is currently contending more with climate variability. It also revealed that climate variability has had negative implications on food crop production in the district such as unpredictability of onset of rains, crop failure and low yield. The current coping/adaptive mechanisms employed by farmers to climate variability in the district include irrigation, fertilizer application, growing improved crops, getting jobs outside agriculture, support from government and NGOs, and migration of the youth. It is therefore recommended that stakeholders provide subsidised farm inputs and ensure sound environmental management to cater for the consequences of climate variability on their livelihoods.","author":[{"dropping-particle":"","family":"Adu-Boahen","given":"K","non-dropping-particle":"","parse-names":false,"suffix":""},{"dropping-particle":"","family":"Dadson","given":"I","non-dropping-particle":"","parse-names":false,"suffix":""},{"dropping-particle":"","family":"Halidu","given":"Mohamadu Akugre","non-dropping-particle":"","parse-names":false,"suffix":""}],"id":"ITEM-3","issue":"1","issued":{"date-parts":[["2019"]]},"page":"103-123","title":"Climatic Variability and Food Crop Production in the Bawku West District of the Upper East Region of Ghana","type":"article-journal","volume":"11"},"uris":["http://www.mendeley.com/documents/?uuid=340af769-82b2-4079-8c08-5d8c37d40401"]},{"id":"ITEM-4","itemData":{"abstract":"Projected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Bank","given":"","non-dropping-particle":"","parse-names":false,"suffix":""}],"id":"ITEM-4","issued":{"date-parts":[["2021"]]},"page":"32","title":"Climate risk country profile - Ghana","type":"article-journal"},"uris":["http://www.mendeley.com/documents/?uuid=4959faab-240a-4a2a-ac47-a661ccd5c855"]}],"mendeley":{"formattedCitation":"(Adu-Boahen et al., 2019; Antwi-Agyei, 2018; IPCC, 2014; World Bank, 2021)","plainTextFormattedCitation":"(Adu-Boahen et al., 2019; Antwi-Agyei, 2018; IPCC, 2014; World Bank, 2021)","previouslyFormattedCitation":"(Adu-Boahen et al., 2019; Antwi-Agyei, 2018; IPCC, 2014; World Bank, 2021)"},"properties":{"noteIndex":0},"schema":"https://github.com/citation-style-language/schema/raw/master/csl-citation.json"}</w:instrText>
      </w:r>
      <w:r>
        <w:rPr>
          <w:rFonts w:cs="Times New Roman"/>
          <w:szCs w:val="24"/>
        </w:rPr>
        <w:fldChar w:fldCharType="separate"/>
      </w:r>
      <w:r>
        <w:rPr>
          <w:rFonts w:cs="Times New Roman"/>
          <w:noProof/>
          <w:szCs w:val="24"/>
        </w:rPr>
        <w:t>(Adu-Boahen et al., 2019; Antwi-Agyei, 2018; IPCC, 2014; World Bank, 2021)</w:t>
      </w:r>
      <w:r>
        <w:rPr>
          <w:rFonts w:cs="Times New Roman"/>
          <w:szCs w:val="24"/>
        </w:rPr>
        <w:fldChar w:fldCharType="end"/>
      </w:r>
      <w:r>
        <w:rPr>
          <w:rFonts w:cs="Times New Roman"/>
          <w:szCs w:val="24"/>
        </w:rPr>
        <w:t>.</w:t>
      </w:r>
      <w:r>
        <w:rPr>
          <w:rFonts w:cs="Times New Roman"/>
          <w:vanish/>
          <w:szCs w:val="24"/>
        </w:rPr>
        <w:t>Top of Form</w:t>
      </w:r>
    </w:p>
    <w:p w:rsidR="00E53882" w:rsidRDefault="00E53882">
      <w:pPr>
        <w:pStyle w:val="Heading2"/>
        <w:spacing w:before="0" w:after="0" w:line="480" w:lineRule="auto"/>
      </w:pPr>
    </w:p>
    <w:p w:rsidR="00E53882" w:rsidRDefault="00B16FF7">
      <w:pPr>
        <w:pStyle w:val="Heading2"/>
        <w:spacing w:before="0" w:after="0" w:line="480" w:lineRule="auto"/>
      </w:pPr>
      <w:bookmarkStart w:id="97" w:name="_Toc164261722"/>
      <w:r>
        <w:t>5.2 Perception of Pastoralists on Climate Change</w:t>
      </w:r>
      <w:r>
        <w:rPr>
          <w:vanish/>
        </w:rPr>
        <w:t>Top of Form</w:t>
      </w:r>
      <w:r>
        <w:t xml:space="preserve"> over the last 20 year</w:t>
      </w:r>
      <w:bookmarkEnd w:id="97"/>
    </w:p>
    <w:p w:rsidR="00E53882" w:rsidRDefault="00B16FF7">
      <w:pPr>
        <w:spacing w:line="480" w:lineRule="auto"/>
        <w:rPr>
          <w:rFonts w:cs="Times New Roman"/>
          <w:b/>
          <w:szCs w:val="24"/>
        </w:rPr>
      </w:pPr>
      <w:r>
        <w:rPr>
          <w:rFonts w:cs="Times New Roman"/>
          <w:szCs w:val="24"/>
        </w:rPr>
        <w:t xml:space="preserve">The general perception of respondents on climate parameters and its corresponding effects on the environment and cattle in the study area were also captured in </w:t>
      </w:r>
      <w:r>
        <w:rPr>
          <w:rFonts w:cs="Times New Roman"/>
          <w:b/>
          <w:szCs w:val="24"/>
        </w:rPr>
        <w:t>Table 5.1 below</w:t>
      </w:r>
    </w:p>
    <w:p w:rsidR="00F3043B" w:rsidRDefault="00F3043B">
      <w:pPr>
        <w:pStyle w:val="tableyuuu"/>
      </w:pPr>
      <w:bookmarkStart w:id="98" w:name="_Toc156217545"/>
      <w:r>
        <w:t>Table 5.1</w:t>
      </w:r>
    </w:p>
    <w:p w:rsidR="00E53882" w:rsidRPr="00F3043B" w:rsidRDefault="00B16FF7">
      <w:pPr>
        <w:pStyle w:val="tableyuuu"/>
        <w:rPr>
          <w:b w:val="0"/>
          <w:i/>
        </w:rPr>
      </w:pPr>
      <w:r w:rsidRPr="00F3043B">
        <w:rPr>
          <w:b w:val="0"/>
          <w:i/>
        </w:rPr>
        <w:t>Perceptions of pastoralists on Climate Change over the past 20 Years</w:t>
      </w:r>
      <w:bookmarkEnd w:id="98"/>
    </w:p>
    <w:tbl>
      <w:tblPr>
        <w:tblStyle w:val="TableGrid"/>
        <w:tblW w:w="9000" w:type="dxa"/>
        <w:tblInd w:w="-5" w:type="dxa"/>
        <w:tblLook w:val="04A0" w:firstRow="1" w:lastRow="0" w:firstColumn="1" w:lastColumn="0" w:noHBand="0" w:noVBand="1"/>
      </w:tblPr>
      <w:tblGrid>
        <w:gridCol w:w="1620"/>
        <w:gridCol w:w="1260"/>
        <w:gridCol w:w="3150"/>
        <w:gridCol w:w="2970"/>
      </w:tblGrid>
      <w:tr w:rsidR="00E53882">
        <w:tc>
          <w:tcPr>
            <w:tcW w:w="1620" w:type="dxa"/>
          </w:tcPr>
          <w:p w:rsidR="00E53882" w:rsidRDefault="00B16FF7">
            <w:pPr>
              <w:spacing w:line="480" w:lineRule="auto"/>
              <w:rPr>
                <w:rFonts w:cs="Times New Roman"/>
                <w:b/>
                <w:szCs w:val="24"/>
                <w:lang w:val="en-US"/>
              </w:rPr>
            </w:pPr>
            <w:r>
              <w:rPr>
                <w:rFonts w:cs="Times New Roman"/>
                <w:b/>
                <w:szCs w:val="24"/>
                <w:lang w:val="en-US"/>
              </w:rPr>
              <w:t>Perception</w:t>
            </w:r>
          </w:p>
        </w:tc>
        <w:tc>
          <w:tcPr>
            <w:tcW w:w="1260" w:type="dxa"/>
          </w:tcPr>
          <w:p w:rsidR="00E53882" w:rsidRDefault="00B16FF7">
            <w:pPr>
              <w:spacing w:line="480" w:lineRule="auto"/>
              <w:jc w:val="center"/>
              <w:rPr>
                <w:rFonts w:cs="Times New Roman"/>
                <w:b/>
                <w:szCs w:val="24"/>
                <w:lang w:val="en-US"/>
              </w:rPr>
            </w:pPr>
            <w:r>
              <w:rPr>
                <w:rFonts w:cs="Times New Roman"/>
                <w:b/>
                <w:szCs w:val="24"/>
                <w:lang w:val="en-US"/>
              </w:rPr>
              <w:t>Changes</w:t>
            </w:r>
          </w:p>
        </w:tc>
        <w:tc>
          <w:tcPr>
            <w:tcW w:w="3150" w:type="dxa"/>
          </w:tcPr>
          <w:p w:rsidR="00E53882" w:rsidRDefault="00B16FF7">
            <w:pPr>
              <w:spacing w:line="480" w:lineRule="auto"/>
              <w:jc w:val="left"/>
              <w:rPr>
                <w:rFonts w:cs="Times New Roman"/>
                <w:b/>
                <w:szCs w:val="24"/>
                <w:lang w:val="en-US"/>
              </w:rPr>
            </w:pPr>
            <w:r>
              <w:rPr>
                <w:rFonts w:cs="Times New Roman"/>
                <w:b/>
                <w:szCs w:val="24"/>
                <w:lang w:val="en-US"/>
              </w:rPr>
              <w:t>Effects on the Environment</w:t>
            </w:r>
          </w:p>
        </w:tc>
        <w:tc>
          <w:tcPr>
            <w:tcW w:w="2970" w:type="dxa"/>
          </w:tcPr>
          <w:p w:rsidR="00E53882" w:rsidRDefault="00B16FF7">
            <w:pPr>
              <w:spacing w:line="480" w:lineRule="auto"/>
              <w:jc w:val="left"/>
              <w:rPr>
                <w:rFonts w:cs="Times New Roman"/>
                <w:b/>
                <w:szCs w:val="24"/>
                <w:lang w:val="en-US"/>
              </w:rPr>
            </w:pPr>
            <w:r>
              <w:rPr>
                <w:rFonts w:cs="Times New Roman"/>
                <w:b/>
                <w:szCs w:val="24"/>
                <w:lang w:val="en-US"/>
              </w:rPr>
              <w:t>Effects on the Cattle</w:t>
            </w:r>
          </w:p>
        </w:tc>
      </w:tr>
      <w:tr w:rsidR="00E53882">
        <w:trPr>
          <w:trHeight w:val="1493"/>
        </w:trPr>
        <w:tc>
          <w:tcPr>
            <w:tcW w:w="1620" w:type="dxa"/>
          </w:tcPr>
          <w:p w:rsidR="00E53882" w:rsidRDefault="00B16FF7">
            <w:pPr>
              <w:spacing w:line="480" w:lineRule="auto"/>
              <w:rPr>
                <w:rFonts w:cs="Times New Roman"/>
                <w:b/>
                <w:szCs w:val="24"/>
                <w:lang w:val="en-US"/>
              </w:rPr>
            </w:pPr>
            <w:r>
              <w:rPr>
                <w:rFonts w:cs="Times New Roman"/>
                <w:b/>
                <w:szCs w:val="24"/>
                <w:lang w:val="en-US"/>
              </w:rPr>
              <w:t>Temperature</w:t>
            </w:r>
          </w:p>
        </w:tc>
        <w:tc>
          <w:tcPr>
            <w:tcW w:w="1260" w:type="dxa"/>
          </w:tcPr>
          <w:p w:rsidR="00E53882" w:rsidRDefault="00B16FF7">
            <w:pPr>
              <w:spacing w:line="480" w:lineRule="auto"/>
              <w:rPr>
                <w:rFonts w:cs="Times New Roman"/>
                <w:szCs w:val="24"/>
                <w:lang w:val="en-US"/>
              </w:rPr>
            </w:pPr>
            <w:r>
              <w:rPr>
                <w:rFonts w:cs="Times New Roman"/>
                <w:szCs w:val="24"/>
                <w:lang w:val="en-US"/>
              </w:rPr>
              <w:t xml:space="preserve">Rising </w:t>
            </w:r>
          </w:p>
        </w:tc>
        <w:tc>
          <w:tcPr>
            <w:tcW w:w="3150" w:type="dxa"/>
          </w:tcPr>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Excessive heat</w:t>
            </w:r>
          </w:p>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Drying up of water bodies</w:t>
            </w:r>
          </w:p>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Decrease natural resources</w:t>
            </w:r>
          </w:p>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Wilting and decrease crop yield due to high temperature</w:t>
            </w:r>
          </w:p>
        </w:tc>
        <w:tc>
          <w:tcPr>
            <w:tcW w:w="2970" w:type="dxa"/>
          </w:tcPr>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Increase cattle diseases</w:t>
            </w:r>
          </w:p>
          <w:p w:rsidR="00E53882" w:rsidRDefault="00B16FF7">
            <w:pPr>
              <w:pStyle w:val="ListParagraph"/>
              <w:numPr>
                <w:ilvl w:val="0"/>
                <w:numId w:val="5"/>
              </w:numPr>
              <w:spacing w:line="480" w:lineRule="auto"/>
              <w:jc w:val="left"/>
              <w:rPr>
                <w:rFonts w:cs="Times New Roman"/>
                <w:szCs w:val="24"/>
                <w:lang w:val="en-US"/>
              </w:rPr>
            </w:pPr>
            <w:r>
              <w:rPr>
                <w:rFonts w:cs="Times New Roman"/>
                <w:szCs w:val="24"/>
                <w:lang w:val="en-US"/>
              </w:rPr>
              <w:t>Increase the death of cattle</w:t>
            </w:r>
          </w:p>
          <w:p w:rsidR="00E53882" w:rsidRDefault="00B16FF7">
            <w:pPr>
              <w:numPr>
                <w:ilvl w:val="0"/>
                <w:numId w:val="5"/>
              </w:numPr>
              <w:spacing w:line="480" w:lineRule="auto"/>
              <w:contextualSpacing/>
              <w:jc w:val="left"/>
              <w:rPr>
                <w:rFonts w:cs="Times New Roman"/>
                <w:szCs w:val="24"/>
                <w:lang w:val="en-US"/>
              </w:rPr>
            </w:pPr>
            <w:r>
              <w:rPr>
                <w:rFonts w:cs="Times New Roman"/>
                <w:szCs w:val="24"/>
                <w:lang w:val="en-US"/>
              </w:rPr>
              <w:t>Reduce weight gain by cattle</w:t>
            </w:r>
          </w:p>
          <w:p w:rsidR="00E53882" w:rsidRDefault="00B16FF7">
            <w:pPr>
              <w:numPr>
                <w:ilvl w:val="0"/>
                <w:numId w:val="5"/>
              </w:numPr>
              <w:spacing w:line="480" w:lineRule="auto"/>
              <w:contextualSpacing/>
              <w:jc w:val="left"/>
              <w:rPr>
                <w:rFonts w:cs="Times New Roman"/>
                <w:szCs w:val="24"/>
                <w:lang w:val="en-US"/>
              </w:rPr>
            </w:pPr>
            <w:r>
              <w:rPr>
                <w:rFonts w:cs="Times New Roman"/>
                <w:szCs w:val="24"/>
                <w:lang w:val="en-US"/>
              </w:rPr>
              <w:t>Causes dehydration in cattle</w:t>
            </w:r>
          </w:p>
        </w:tc>
      </w:tr>
      <w:tr w:rsidR="00E53882">
        <w:trPr>
          <w:trHeight w:val="1070"/>
        </w:trPr>
        <w:tc>
          <w:tcPr>
            <w:tcW w:w="1620" w:type="dxa"/>
          </w:tcPr>
          <w:p w:rsidR="00E53882" w:rsidRDefault="00B16FF7">
            <w:pPr>
              <w:spacing w:line="480" w:lineRule="auto"/>
              <w:rPr>
                <w:rFonts w:cs="Times New Roman"/>
                <w:b/>
                <w:szCs w:val="24"/>
                <w:lang w:val="en-US"/>
              </w:rPr>
            </w:pPr>
            <w:r>
              <w:rPr>
                <w:rFonts w:cs="Times New Roman"/>
                <w:b/>
                <w:szCs w:val="24"/>
                <w:lang w:val="en-US"/>
              </w:rPr>
              <w:lastRenderedPageBreak/>
              <w:t>Rainfall</w:t>
            </w:r>
          </w:p>
        </w:tc>
        <w:tc>
          <w:tcPr>
            <w:tcW w:w="1260" w:type="dxa"/>
          </w:tcPr>
          <w:p w:rsidR="00E53882" w:rsidRDefault="00B16FF7">
            <w:pPr>
              <w:spacing w:line="480" w:lineRule="auto"/>
              <w:rPr>
                <w:rFonts w:cs="Times New Roman"/>
                <w:szCs w:val="24"/>
                <w:lang w:val="en-US"/>
              </w:rPr>
            </w:pPr>
            <w:r>
              <w:rPr>
                <w:rFonts w:cs="Times New Roman"/>
                <w:szCs w:val="24"/>
                <w:lang w:val="en-US"/>
              </w:rPr>
              <w:t>Unreliable rainfall</w:t>
            </w:r>
          </w:p>
        </w:tc>
        <w:tc>
          <w:tcPr>
            <w:tcW w:w="3150" w:type="dxa"/>
          </w:tcPr>
          <w:p w:rsidR="00E53882" w:rsidRDefault="00B16FF7">
            <w:pPr>
              <w:pStyle w:val="ListParagraph"/>
              <w:numPr>
                <w:ilvl w:val="0"/>
                <w:numId w:val="6"/>
              </w:numPr>
              <w:spacing w:line="480" w:lineRule="auto"/>
              <w:jc w:val="left"/>
              <w:rPr>
                <w:rFonts w:cs="Times New Roman"/>
                <w:szCs w:val="24"/>
                <w:lang w:val="en-US"/>
              </w:rPr>
            </w:pPr>
            <w:r>
              <w:rPr>
                <w:rFonts w:cs="Times New Roman"/>
                <w:szCs w:val="24"/>
                <w:lang w:val="en-US"/>
              </w:rPr>
              <w:t>Heavy rainfall taking away grass seeds and damaging pasture and crops</w:t>
            </w:r>
          </w:p>
          <w:p w:rsidR="00E53882" w:rsidRDefault="00B16FF7">
            <w:pPr>
              <w:pStyle w:val="ListParagraph"/>
              <w:numPr>
                <w:ilvl w:val="0"/>
                <w:numId w:val="6"/>
              </w:numPr>
              <w:spacing w:line="480" w:lineRule="auto"/>
              <w:jc w:val="left"/>
              <w:rPr>
                <w:rFonts w:cs="Times New Roman"/>
                <w:szCs w:val="24"/>
                <w:lang w:val="en-US"/>
              </w:rPr>
            </w:pPr>
            <w:r>
              <w:rPr>
                <w:rFonts w:cs="Times New Roman"/>
                <w:szCs w:val="24"/>
                <w:lang w:val="en-US"/>
              </w:rPr>
              <w:t xml:space="preserve">Increase soil erosion </w:t>
            </w:r>
          </w:p>
          <w:p w:rsidR="00E53882" w:rsidRDefault="00B16FF7">
            <w:pPr>
              <w:pStyle w:val="ListParagraph"/>
              <w:numPr>
                <w:ilvl w:val="0"/>
                <w:numId w:val="6"/>
              </w:numPr>
              <w:spacing w:line="480" w:lineRule="auto"/>
              <w:jc w:val="left"/>
              <w:rPr>
                <w:rFonts w:cs="Times New Roman"/>
                <w:szCs w:val="24"/>
                <w:lang w:val="en-US"/>
              </w:rPr>
            </w:pPr>
            <w:r>
              <w:rPr>
                <w:rFonts w:cs="Times New Roman"/>
                <w:szCs w:val="24"/>
                <w:lang w:val="en-US"/>
              </w:rPr>
              <w:t>Decrease soil fertility</w:t>
            </w:r>
          </w:p>
          <w:p w:rsidR="00E53882" w:rsidRDefault="00B16FF7">
            <w:pPr>
              <w:pStyle w:val="ListParagraph"/>
              <w:numPr>
                <w:ilvl w:val="0"/>
                <w:numId w:val="6"/>
              </w:numPr>
              <w:spacing w:line="480" w:lineRule="auto"/>
              <w:jc w:val="left"/>
              <w:rPr>
                <w:rFonts w:cs="Times New Roman"/>
                <w:szCs w:val="24"/>
                <w:lang w:val="en-US"/>
              </w:rPr>
            </w:pPr>
            <w:r>
              <w:rPr>
                <w:rFonts w:cs="Times New Roman"/>
                <w:szCs w:val="24"/>
                <w:lang w:val="en-US"/>
              </w:rPr>
              <w:t xml:space="preserve">Decrease the span of rainy season </w:t>
            </w:r>
          </w:p>
        </w:tc>
        <w:tc>
          <w:tcPr>
            <w:tcW w:w="2970" w:type="dxa"/>
          </w:tcPr>
          <w:p w:rsidR="00E53882" w:rsidRDefault="00B16FF7">
            <w:pPr>
              <w:numPr>
                <w:ilvl w:val="0"/>
                <w:numId w:val="6"/>
              </w:numPr>
              <w:spacing w:line="480" w:lineRule="auto"/>
              <w:contextualSpacing/>
              <w:jc w:val="left"/>
              <w:rPr>
                <w:rFonts w:cs="Times New Roman"/>
                <w:szCs w:val="24"/>
                <w:lang w:val="en-US"/>
              </w:rPr>
            </w:pPr>
            <w:r>
              <w:rPr>
                <w:rFonts w:cs="Times New Roman"/>
                <w:szCs w:val="24"/>
                <w:lang w:val="en-US"/>
              </w:rPr>
              <w:t>Reduce availability of pasture and water for cattle</w:t>
            </w:r>
          </w:p>
          <w:p w:rsidR="00E53882" w:rsidRDefault="00B16FF7">
            <w:pPr>
              <w:numPr>
                <w:ilvl w:val="0"/>
                <w:numId w:val="6"/>
              </w:numPr>
              <w:spacing w:line="480" w:lineRule="auto"/>
              <w:contextualSpacing/>
              <w:jc w:val="left"/>
              <w:rPr>
                <w:rFonts w:cs="Times New Roman"/>
                <w:szCs w:val="24"/>
                <w:lang w:val="en-US"/>
              </w:rPr>
            </w:pPr>
            <w:r>
              <w:rPr>
                <w:rFonts w:cs="Times New Roman"/>
                <w:szCs w:val="24"/>
                <w:lang w:val="en-US"/>
              </w:rPr>
              <w:t>Increase risks of cattle lungs disease</w:t>
            </w:r>
          </w:p>
          <w:p w:rsidR="00E53882" w:rsidRDefault="00B16FF7">
            <w:pPr>
              <w:numPr>
                <w:ilvl w:val="0"/>
                <w:numId w:val="6"/>
              </w:numPr>
              <w:spacing w:line="480" w:lineRule="auto"/>
              <w:contextualSpacing/>
              <w:jc w:val="left"/>
              <w:rPr>
                <w:rFonts w:cs="Times New Roman"/>
                <w:szCs w:val="24"/>
                <w:lang w:val="en-US"/>
              </w:rPr>
            </w:pPr>
            <w:r>
              <w:rPr>
                <w:rFonts w:cs="Times New Roman"/>
                <w:szCs w:val="24"/>
                <w:lang w:val="en-US"/>
              </w:rPr>
              <w:t>Reduce size of cattle</w:t>
            </w:r>
          </w:p>
        </w:tc>
      </w:tr>
      <w:tr w:rsidR="00E53882">
        <w:trPr>
          <w:trHeight w:val="1340"/>
        </w:trPr>
        <w:tc>
          <w:tcPr>
            <w:tcW w:w="1620" w:type="dxa"/>
          </w:tcPr>
          <w:p w:rsidR="00E53882" w:rsidRDefault="00B16FF7">
            <w:pPr>
              <w:spacing w:line="480" w:lineRule="auto"/>
              <w:rPr>
                <w:rFonts w:cs="Times New Roman"/>
                <w:b/>
                <w:szCs w:val="24"/>
                <w:lang w:val="en-US"/>
              </w:rPr>
            </w:pPr>
            <w:r>
              <w:rPr>
                <w:rFonts w:cs="Times New Roman"/>
                <w:b/>
                <w:szCs w:val="24"/>
                <w:lang w:val="en-US"/>
              </w:rPr>
              <w:t xml:space="preserve">Wind </w:t>
            </w:r>
          </w:p>
        </w:tc>
        <w:tc>
          <w:tcPr>
            <w:tcW w:w="1260" w:type="dxa"/>
          </w:tcPr>
          <w:p w:rsidR="00E53882" w:rsidRDefault="00B16FF7">
            <w:pPr>
              <w:spacing w:line="480" w:lineRule="auto"/>
              <w:rPr>
                <w:rFonts w:cs="Times New Roman"/>
                <w:szCs w:val="24"/>
                <w:lang w:val="en-US"/>
              </w:rPr>
            </w:pPr>
            <w:r>
              <w:rPr>
                <w:rFonts w:cs="Times New Roman"/>
                <w:szCs w:val="24"/>
                <w:lang w:val="en-US"/>
              </w:rPr>
              <w:t>Rising</w:t>
            </w:r>
          </w:p>
        </w:tc>
        <w:tc>
          <w:tcPr>
            <w:tcW w:w="3150" w:type="dxa"/>
          </w:tcPr>
          <w:p w:rsidR="00E53882" w:rsidRDefault="00B16FF7">
            <w:pPr>
              <w:pStyle w:val="ListParagraph"/>
              <w:numPr>
                <w:ilvl w:val="0"/>
                <w:numId w:val="7"/>
              </w:numPr>
              <w:spacing w:line="480" w:lineRule="auto"/>
              <w:jc w:val="left"/>
              <w:rPr>
                <w:rFonts w:cs="Times New Roman"/>
                <w:szCs w:val="24"/>
                <w:lang w:val="en-US"/>
              </w:rPr>
            </w:pPr>
            <w:r>
              <w:rPr>
                <w:rFonts w:cs="Times New Roman"/>
                <w:szCs w:val="24"/>
                <w:lang w:val="en-US"/>
              </w:rPr>
              <w:t>Increase deforestation</w:t>
            </w:r>
          </w:p>
          <w:p w:rsidR="00E53882" w:rsidRDefault="00B16FF7">
            <w:pPr>
              <w:pStyle w:val="ListParagraph"/>
              <w:numPr>
                <w:ilvl w:val="0"/>
                <w:numId w:val="7"/>
              </w:numPr>
              <w:spacing w:line="480" w:lineRule="auto"/>
              <w:jc w:val="left"/>
              <w:rPr>
                <w:rFonts w:cs="Times New Roman"/>
                <w:szCs w:val="24"/>
                <w:lang w:val="en-US"/>
              </w:rPr>
            </w:pPr>
            <w:r>
              <w:rPr>
                <w:rFonts w:cs="Times New Roman"/>
                <w:szCs w:val="24"/>
                <w:lang w:val="en-US"/>
              </w:rPr>
              <w:t>Increase soil erosion</w:t>
            </w:r>
          </w:p>
          <w:p w:rsidR="00E53882" w:rsidRDefault="00B16FF7">
            <w:pPr>
              <w:pStyle w:val="ListParagraph"/>
              <w:numPr>
                <w:ilvl w:val="0"/>
                <w:numId w:val="7"/>
              </w:numPr>
              <w:spacing w:line="480" w:lineRule="auto"/>
              <w:jc w:val="left"/>
              <w:rPr>
                <w:rFonts w:cs="Times New Roman"/>
                <w:szCs w:val="24"/>
                <w:lang w:val="en-US"/>
              </w:rPr>
            </w:pPr>
            <w:r>
              <w:rPr>
                <w:rFonts w:cs="Times New Roman"/>
                <w:szCs w:val="24"/>
                <w:lang w:val="en-US"/>
              </w:rPr>
              <w:t>Increase air pollution</w:t>
            </w:r>
          </w:p>
        </w:tc>
        <w:tc>
          <w:tcPr>
            <w:tcW w:w="2970" w:type="dxa"/>
          </w:tcPr>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Increase cattle respiratory problem</w:t>
            </w:r>
          </w:p>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Physical injuries in cattle</w:t>
            </w:r>
          </w:p>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Weight loss due to stress</w:t>
            </w:r>
          </w:p>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 xml:space="preserve">Dehydration </w:t>
            </w:r>
          </w:p>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 xml:space="preserve">Reduce feeding </w:t>
            </w:r>
          </w:p>
          <w:p w:rsidR="00E53882" w:rsidRDefault="00B16FF7">
            <w:pPr>
              <w:numPr>
                <w:ilvl w:val="0"/>
                <w:numId w:val="7"/>
              </w:numPr>
              <w:spacing w:line="480" w:lineRule="auto"/>
              <w:contextualSpacing/>
              <w:jc w:val="left"/>
              <w:rPr>
                <w:rFonts w:cs="Times New Roman"/>
                <w:szCs w:val="24"/>
                <w:lang w:val="en-US"/>
              </w:rPr>
            </w:pPr>
            <w:r>
              <w:rPr>
                <w:rFonts w:cs="Times New Roman"/>
                <w:szCs w:val="24"/>
                <w:lang w:val="en-US"/>
              </w:rPr>
              <w:t>Death</w:t>
            </w:r>
          </w:p>
        </w:tc>
      </w:tr>
    </w:tbl>
    <w:p w:rsidR="00E53882" w:rsidRDefault="00F3043B">
      <w:pPr>
        <w:tabs>
          <w:tab w:val="left" w:pos="7260"/>
        </w:tabs>
        <w:spacing w:line="480" w:lineRule="auto"/>
        <w:rPr>
          <w:rFonts w:cs="Times New Roman"/>
          <w:b/>
          <w:szCs w:val="24"/>
        </w:rPr>
      </w:pPr>
      <w:r>
        <w:rPr>
          <w:rFonts w:cs="Times New Roman"/>
          <w:b/>
          <w:szCs w:val="24"/>
        </w:rPr>
        <w:t>Source: Field Work</w:t>
      </w:r>
      <w:r w:rsidR="006B6417">
        <w:rPr>
          <w:rFonts w:cs="Times New Roman"/>
          <w:b/>
          <w:szCs w:val="24"/>
        </w:rPr>
        <w:t xml:space="preserve"> (2023)</w:t>
      </w:r>
    </w:p>
    <w:p w:rsidR="00E53882" w:rsidRDefault="00B16FF7">
      <w:pPr>
        <w:tabs>
          <w:tab w:val="left" w:pos="7260"/>
        </w:tabs>
        <w:spacing w:before="0" w:after="0" w:line="480" w:lineRule="auto"/>
        <w:rPr>
          <w:rFonts w:cs="Times New Roman"/>
          <w:b/>
          <w:szCs w:val="24"/>
        </w:rPr>
      </w:pPr>
      <w:r>
        <w:rPr>
          <w:rFonts w:cs="Times New Roman"/>
          <w:szCs w:val="24"/>
        </w:rPr>
        <w:t xml:space="preserve">From the table above, pastoralists are of the view that temperature keep rising for the past 20 years. They are also of the view that, rainfall patterns keep changing. For the past 20 years, they have been experiencing unreliable rainfall. The amount of rainfall has also reduced </w:t>
      </w:r>
      <w:r>
        <w:rPr>
          <w:rFonts w:cs="Times New Roman"/>
          <w:szCs w:val="24"/>
        </w:rPr>
        <w:lastRenderedPageBreak/>
        <w:t>significantly. Their views on wind was that, because of the increasing nature of deforestation, they have been experiencing high wind. Which has a lot of effects on their movement.</w:t>
      </w:r>
    </w:p>
    <w:p w:rsidR="00E53882" w:rsidRDefault="00B16FF7">
      <w:pPr>
        <w:tabs>
          <w:tab w:val="left" w:pos="7260"/>
        </w:tabs>
        <w:spacing w:before="0" w:after="0" w:line="480" w:lineRule="auto"/>
        <w:ind w:left="864"/>
        <w:rPr>
          <w:rFonts w:cs="Times New Roman"/>
          <w:i/>
          <w:szCs w:val="24"/>
        </w:rPr>
      </w:pPr>
      <w:r>
        <w:rPr>
          <w:rFonts w:cs="Times New Roman"/>
          <w:i/>
          <w:szCs w:val="24"/>
        </w:rPr>
        <w:t xml:space="preserve"> “When you are in the bush with your animals and the wind starts, you do not know what to do anymore. It feels as if it is going to harm you. In those moments, you are struggling to protect yourself and not just the animals,” says the 35 years old pastoralist on 24</w:t>
      </w:r>
      <w:r>
        <w:rPr>
          <w:rFonts w:cs="Times New Roman"/>
          <w:i/>
          <w:szCs w:val="24"/>
          <w:vertAlign w:val="superscript"/>
        </w:rPr>
        <w:t>th</w:t>
      </w:r>
      <w:r>
        <w:rPr>
          <w:rFonts w:cs="Times New Roman"/>
          <w:i/>
          <w:szCs w:val="24"/>
        </w:rPr>
        <w:t xml:space="preserve"> June, 2023. </w:t>
      </w:r>
    </w:p>
    <w:p w:rsidR="00E53882" w:rsidRDefault="00B16FF7">
      <w:pPr>
        <w:tabs>
          <w:tab w:val="left" w:pos="7260"/>
        </w:tabs>
        <w:spacing w:before="0" w:after="0" w:line="480" w:lineRule="auto"/>
        <w:rPr>
          <w:rFonts w:cs="Times New Roman"/>
          <w:i/>
          <w:iCs/>
          <w:szCs w:val="24"/>
        </w:rPr>
      </w:pPr>
      <w:r>
        <w:rPr>
          <w:rFonts w:cs="Times New Roman"/>
          <w:szCs w:val="24"/>
        </w:rPr>
        <w:t xml:space="preserve">This means that there have been an increased in the wind. </w:t>
      </w:r>
      <w:r>
        <w:rPr>
          <w:rFonts w:cs="Times New Roman"/>
          <w:iCs/>
          <w:szCs w:val="24"/>
        </w:rPr>
        <w:t>Another participant also shared his views that</w:t>
      </w:r>
      <w:r>
        <w:rPr>
          <w:rFonts w:cs="Times New Roman"/>
          <w:i/>
          <w:iCs/>
          <w:szCs w:val="24"/>
        </w:rPr>
        <w:t xml:space="preserve"> </w:t>
      </w:r>
    </w:p>
    <w:p w:rsidR="00E53882" w:rsidRDefault="00B16FF7">
      <w:pPr>
        <w:tabs>
          <w:tab w:val="left" w:pos="7260"/>
        </w:tabs>
        <w:spacing w:before="0" w:after="0" w:line="480" w:lineRule="auto"/>
        <w:ind w:left="864"/>
        <w:rPr>
          <w:rFonts w:cs="Times New Roman"/>
          <w:i/>
          <w:iCs/>
          <w:szCs w:val="24"/>
        </w:rPr>
      </w:pPr>
      <w:r>
        <w:rPr>
          <w:rFonts w:cs="Times New Roman"/>
          <w:i/>
          <w:iCs/>
          <w:szCs w:val="24"/>
        </w:rPr>
        <w:t xml:space="preserve">“When we first came to Ghana, there were thick forests everywhere, and back then, the rain started early. However, it is no longer the same,"” says the 50 years old pastoralists. </w:t>
      </w:r>
    </w:p>
    <w:p w:rsidR="00E53882" w:rsidRDefault="00B16FF7">
      <w:pPr>
        <w:tabs>
          <w:tab w:val="left" w:pos="7260"/>
        </w:tabs>
        <w:spacing w:before="0" w:after="0" w:line="480" w:lineRule="auto"/>
        <w:rPr>
          <w:rFonts w:cs="Times New Roman"/>
          <w:i/>
          <w:iCs/>
          <w:szCs w:val="24"/>
        </w:rPr>
      </w:pPr>
      <w:r>
        <w:rPr>
          <w:rFonts w:cs="Times New Roman"/>
          <w:iCs/>
          <w:szCs w:val="24"/>
        </w:rPr>
        <w:t>Furthermore, 48 years old pastoralist also stated that</w:t>
      </w:r>
      <w:r>
        <w:rPr>
          <w:rFonts w:cs="Times New Roman"/>
          <w:i/>
          <w:iCs/>
          <w:szCs w:val="24"/>
        </w:rPr>
        <w:t xml:space="preserve">, </w:t>
      </w:r>
    </w:p>
    <w:p w:rsidR="00E53882" w:rsidRDefault="00B16FF7">
      <w:pPr>
        <w:tabs>
          <w:tab w:val="left" w:pos="7260"/>
        </w:tabs>
        <w:spacing w:before="0" w:after="0" w:line="480" w:lineRule="auto"/>
        <w:ind w:left="864"/>
        <w:rPr>
          <w:rFonts w:cs="Times New Roman"/>
          <w:iCs/>
          <w:szCs w:val="24"/>
        </w:rPr>
      </w:pPr>
      <w:r>
        <w:rPr>
          <w:rFonts w:cs="Times New Roman"/>
          <w:i/>
          <w:iCs/>
          <w:szCs w:val="24"/>
        </w:rPr>
        <w:t>“When we first came here, the maximum wait for rainfall was only two months, and there was sufficient grass. Now, we have to wait for about five to six months, and even then, after the first rain, it can stop for more than a month before resuming”,</w:t>
      </w:r>
      <w:r>
        <w:rPr>
          <w:rFonts w:cs="Times New Roman"/>
          <w:iCs/>
          <w:szCs w:val="24"/>
        </w:rPr>
        <w:t xml:space="preserve"> </w:t>
      </w:r>
    </w:p>
    <w:p w:rsidR="00E53882" w:rsidRDefault="00B16FF7">
      <w:pPr>
        <w:tabs>
          <w:tab w:val="left" w:pos="7260"/>
        </w:tabs>
        <w:spacing w:before="0" w:after="0" w:line="480" w:lineRule="auto"/>
        <w:rPr>
          <w:rFonts w:cs="Times New Roman"/>
          <w:iCs/>
          <w:szCs w:val="24"/>
        </w:rPr>
      </w:pPr>
      <w:r>
        <w:rPr>
          <w:rFonts w:cs="Times New Roman"/>
          <w:iCs/>
          <w:szCs w:val="24"/>
        </w:rPr>
        <w:t xml:space="preserve">This means that, in the past, they used to experience early and reliable rainfall but now it has change. </w:t>
      </w:r>
    </w:p>
    <w:p w:rsidR="00E53882" w:rsidRDefault="00B16FF7">
      <w:pPr>
        <w:tabs>
          <w:tab w:val="left" w:pos="7260"/>
        </w:tabs>
        <w:spacing w:before="0" w:after="0" w:line="480" w:lineRule="auto"/>
        <w:rPr>
          <w:rFonts w:cs="Times New Roman"/>
          <w:iCs/>
          <w:szCs w:val="24"/>
        </w:rPr>
      </w:pPr>
      <w:r>
        <w:rPr>
          <w:rFonts w:cs="Times New Roman"/>
          <w:iCs/>
          <w:szCs w:val="24"/>
        </w:rPr>
        <w:t xml:space="preserve">He further explained that, </w:t>
      </w:r>
    </w:p>
    <w:p w:rsidR="00E53882" w:rsidRDefault="00B16FF7">
      <w:pPr>
        <w:tabs>
          <w:tab w:val="left" w:pos="7260"/>
        </w:tabs>
        <w:spacing w:before="0" w:after="0" w:line="480" w:lineRule="auto"/>
        <w:ind w:left="720"/>
        <w:rPr>
          <w:rFonts w:cs="Times New Roman"/>
          <w:iCs/>
          <w:szCs w:val="24"/>
        </w:rPr>
      </w:pPr>
      <w:r>
        <w:rPr>
          <w:rFonts w:cs="Times New Roman"/>
          <w:i/>
          <w:iCs/>
          <w:szCs w:val="24"/>
        </w:rPr>
        <w:t xml:space="preserve">“The initial three months were usually better due to the </w:t>
      </w:r>
      <w:proofErr w:type="spellStart"/>
      <w:r>
        <w:rPr>
          <w:rFonts w:cs="Times New Roman"/>
          <w:i/>
          <w:iCs/>
          <w:szCs w:val="24"/>
        </w:rPr>
        <w:t>harmattan</w:t>
      </w:r>
      <w:proofErr w:type="spellEnd"/>
      <w:r>
        <w:rPr>
          <w:rFonts w:cs="Times New Roman"/>
          <w:i/>
          <w:iCs/>
          <w:szCs w:val="24"/>
        </w:rPr>
        <w:t>, but the subsequent three months, especially for strangers, became challenging due to the intense heat</w:t>
      </w:r>
      <w:r>
        <w:rPr>
          <w:rFonts w:cs="Times New Roman"/>
          <w:iCs/>
          <w:szCs w:val="24"/>
        </w:rPr>
        <w:t>.</w:t>
      </w:r>
    </w:p>
    <w:p w:rsidR="00E53882" w:rsidRDefault="00B16FF7">
      <w:pPr>
        <w:tabs>
          <w:tab w:val="left" w:pos="7260"/>
        </w:tabs>
        <w:spacing w:before="0" w:after="0" w:line="480" w:lineRule="auto"/>
        <w:rPr>
          <w:rFonts w:cs="Times New Roman"/>
          <w:iCs/>
          <w:szCs w:val="24"/>
        </w:rPr>
      </w:pPr>
      <w:r>
        <w:rPr>
          <w:rFonts w:cs="Times New Roman"/>
          <w:iCs/>
          <w:szCs w:val="24"/>
        </w:rPr>
        <w:t xml:space="preserve">Therefore, we cannot compare the past weather condition to present, there is significant difference between them. Other participants were also of the view that, </w:t>
      </w:r>
    </w:p>
    <w:p w:rsidR="00E53882" w:rsidRDefault="00B16FF7">
      <w:pPr>
        <w:tabs>
          <w:tab w:val="left" w:pos="7260"/>
        </w:tabs>
        <w:spacing w:before="0" w:after="0" w:line="480" w:lineRule="auto"/>
        <w:ind w:left="864"/>
        <w:rPr>
          <w:rFonts w:cs="Times New Roman"/>
          <w:i/>
          <w:iCs/>
          <w:szCs w:val="24"/>
        </w:rPr>
      </w:pPr>
      <w:r>
        <w:rPr>
          <w:rFonts w:cs="Times New Roman"/>
          <w:iCs/>
          <w:szCs w:val="24"/>
        </w:rPr>
        <w:lastRenderedPageBreak/>
        <w:t>“</w:t>
      </w:r>
      <w:r>
        <w:rPr>
          <w:rFonts w:cs="Times New Roman"/>
          <w:i/>
          <w:iCs/>
          <w:szCs w:val="24"/>
        </w:rPr>
        <w:t xml:space="preserve">The heat we were experiencing in the past, was far better than the heat we are experiencing now and the quantity of rainfall at that time was enough. There are some rivers that were not drying, but now it gets dry before dry season”. </w:t>
      </w:r>
    </w:p>
    <w:p w:rsidR="00E53882" w:rsidRDefault="00B16FF7">
      <w:pPr>
        <w:tabs>
          <w:tab w:val="left" w:pos="7260"/>
        </w:tabs>
        <w:spacing w:before="0" w:after="0" w:line="480" w:lineRule="auto"/>
        <w:rPr>
          <w:rFonts w:cs="Times New Roman"/>
          <w:iCs/>
          <w:szCs w:val="24"/>
        </w:rPr>
      </w:pPr>
      <w:r>
        <w:rPr>
          <w:rFonts w:cs="Times New Roman"/>
          <w:iCs/>
          <w:szCs w:val="24"/>
        </w:rPr>
        <w:t xml:space="preserve">The 42 years old pastoralists was also of the view that, </w:t>
      </w:r>
    </w:p>
    <w:p w:rsidR="00E53882" w:rsidRDefault="00B16FF7">
      <w:pPr>
        <w:tabs>
          <w:tab w:val="left" w:pos="7260"/>
        </w:tabs>
        <w:spacing w:before="0" w:after="0" w:line="480" w:lineRule="auto"/>
        <w:ind w:left="720"/>
        <w:rPr>
          <w:rFonts w:cs="Times New Roman"/>
          <w:iCs/>
          <w:szCs w:val="24"/>
        </w:rPr>
      </w:pPr>
      <w:r>
        <w:rPr>
          <w:rFonts w:cs="Times New Roman"/>
          <w:i/>
          <w:iCs/>
          <w:szCs w:val="24"/>
        </w:rPr>
        <w:t>“The way tick forest was there, is no longer like that. There were big tress in this forest but now they have cleared all”.</w:t>
      </w:r>
      <w:r>
        <w:rPr>
          <w:rFonts w:cs="Times New Roman"/>
          <w:iCs/>
          <w:szCs w:val="24"/>
        </w:rPr>
        <w:t xml:space="preserve"> </w:t>
      </w:r>
    </w:p>
    <w:p w:rsidR="00E53882" w:rsidRDefault="00B16FF7">
      <w:pPr>
        <w:tabs>
          <w:tab w:val="left" w:pos="7260"/>
        </w:tabs>
        <w:spacing w:before="0" w:after="0" w:line="480" w:lineRule="auto"/>
        <w:rPr>
          <w:rFonts w:cs="Times New Roman"/>
          <w:i/>
          <w:iCs/>
          <w:szCs w:val="24"/>
        </w:rPr>
      </w:pPr>
      <w:r>
        <w:rPr>
          <w:rFonts w:cs="Times New Roman"/>
          <w:iCs/>
          <w:szCs w:val="24"/>
        </w:rPr>
        <w:t>He</w:t>
      </w:r>
      <w:r>
        <w:rPr>
          <w:rFonts w:cs="Times New Roman"/>
          <w:i/>
          <w:iCs/>
          <w:szCs w:val="24"/>
        </w:rPr>
        <w:t xml:space="preserve"> </w:t>
      </w:r>
      <w:r>
        <w:rPr>
          <w:rFonts w:cs="Times New Roman"/>
          <w:iCs/>
          <w:szCs w:val="24"/>
        </w:rPr>
        <w:t>further explained that</w:t>
      </w:r>
      <w:r>
        <w:rPr>
          <w:rFonts w:cs="Times New Roman"/>
          <w:i/>
          <w:iCs/>
          <w:szCs w:val="24"/>
        </w:rPr>
        <w:t xml:space="preserve"> </w:t>
      </w:r>
    </w:p>
    <w:p w:rsidR="00E53882" w:rsidRDefault="00B16FF7">
      <w:pPr>
        <w:tabs>
          <w:tab w:val="left" w:pos="7260"/>
        </w:tabs>
        <w:spacing w:before="0" w:after="0" w:line="480" w:lineRule="auto"/>
        <w:ind w:left="720"/>
        <w:rPr>
          <w:rFonts w:cs="Times New Roman"/>
          <w:szCs w:val="24"/>
        </w:rPr>
      </w:pPr>
      <w:r>
        <w:rPr>
          <w:rFonts w:cs="Times New Roman"/>
          <w:i/>
          <w:iCs/>
          <w:szCs w:val="24"/>
        </w:rPr>
        <w:t>“In the past the wind was low and cold, but now it is high and hot as well”</w:t>
      </w:r>
      <w:r>
        <w:rPr>
          <w:rFonts w:cs="Times New Roman"/>
          <w:iCs/>
          <w:szCs w:val="24"/>
        </w:rPr>
        <w:t xml:space="preserve">. The 50 years old pastoralist was also of the view that </w:t>
      </w:r>
      <w:r>
        <w:rPr>
          <w:rFonts w:cs="Times New Roman"/>
          <w:i/>
          <w:iCs/>
          <w:szCs w:val="24"/>
        </w:rPr>
        <w:t>“when it started raining this month, the following year it will change”</w:t>
      </w:r>
      <w:r>
        <w:rPr>
          <w:rFonts w:cs="Times New Roman"/>
          <w:szCs w:val="24"/>
        </w:rPr>
        <w:t xml:space="preserve">. </w:t>
      </w:r>
    </w:p>
    <w:p w:rsidR="00E53882" w:rsidRDefault="00B16FF7">
      <w:pPr>
        <w:tabs>
          <w:tab w:val="left" w:pos="7260"/>
        </w:tabs>
        <w:spacing w:before="0" w:after="0" w:line="480" w:lineRule="auto"/>
        <w:rPr>
          <w:rFonts w:cs="Times New Roman"/>
          <w:szCs w:val="24"/>
        </w:rPr>
      </w:pPr>
      <w:r>
        <w:rPr>
          <w:rFonts w:cs="Times New Roman"/>
          <w:szCs w:val="24"/>
        </w:rPr>
        <w:t xml:space="preserve">These highlight the concerns of pastoralists regarding the changing climate and environmental conditions in the study area. The observed increase in temperature, alterations in rainfall patterns, and the impact of deforestation and changing wind patterns have disrupted their traditional way of life and livelihoods. These changes has significant effects on the environment and cattle as well. </w:t>
      </w:r>
    </w:p>
    <w:p w:rsidR="00E53882" w:rsidRDefault="00B16FF7">
      <w:pPr>
        <w:tabs>
          <w:tab w:val="left" w:pos="7260"/>
        </w:tabs>
        <w:spacing w:line="480" w:lineRule="auto"/>
        <w:rPr>
          <w:rFonts w:cs="Times New Roman"/>
          <w:szCs w:val="24"/>
        </w:rPr>
      </w:pPr>
      <w:r>
        <w:rPr>
          <w:rFonts w:cs="Times New Roman"/>
          <w:szCs w:val="24"/>
        </w:rPr>
        <w:t xml:space="preserve">Pastoralists have noted excessive heat, the drying of water bodies, a decline in natural resources, wilting and reduced crop yields due to high temperatures, heavy rainfall that takes away grass seeds and damages pastures and crops, increased soil erosion, reduced soil fertility, and a reduction in the span of the rainy season, deforestation, increasing soil erosion and increasing air pollution are some of the effects of these changes on the environment. They also reported respiratory distress in cattle, physical injuries in cattle, weight loss in cattle due to stress, a reduction in cattle feeding, an increase in cattle diseases, increased cattle deaths, </w:t>
      </w:r>
      <w:r>
        <w:rPr>
          <w:rFonts w:cs="Times New Roman"/>
          <w:szCs w:val="24"/>
        </w:rPr>
        <w:lastRenderedPageBreak/>
        <w:t xml:space="preserve">dehydration in cattle, and reduced availability of pasture and water for cattle, like some of them, reported the effects these changes have on cattle (In-depth Interviews, 2023). </w:t>
      </w:r>
    </w:p>
    <w:p w:rsidR="00E53882" w:rsidRDefault="00B16FF7">
      <w:pPr>
        <w:tabs>
          <w:tab w:val="left" w:pos="7260"/>
        </w:tabs>
        <w:spacing w:before="0" w:line="480" w:lineRule="auto"/>
        <w:rPr>
          <w:rFonts w:cs="Times New Roman"/>
          <w:szCs w:val="24"/>
        </w:rPr>
      </w:pPr>
      <w:r>
        <w:rPr>
          <w:rFonts w:cs="Times New Roman"/>
          <w:szCs w:val="24"/>
        </w:rPr>
        <w:t xml:space="preserve">Drawing from the above analysis, pastoralists within the study area generally agree that climatic conditions have been changing for the past two decades. They express that temperature has been rising, and there have also been changes in rainfall patterns and an increase in wind speed. This explanation is not just about weather-related changes but holds a profound meaning for the lives of pastoralists. Generally, they perceived a decline in the predictability and reliability of weather patterns, thus raising concerns about the sustainability of their livelihood practices. This outcome carries significant implications for pastoralist and the environment as well. The observed rise in temperature has health implications for the cattle. The reported changes in rainfall patterns signify potential challenges for the availability of water and grass for the animals, which is key for sustaining the livelihood of pastoralists. The increase in wind speed as a result of deforestation emerges as a threat to the health and safety of both pastoralists and their cattle during grazing activities. However, these findings cannot be generalized to other regions with potentially different environmental dynamics. The study provides pastoralists’ perceptions of climate change and stresses their experiential knowledge, thus adding a human dimension to climate science. The observation and perceptions of pastoralists in the study area are in line with the scientific data provided about climate and weather changes in the study area </w:t>
      </w:r>
      <w:r>
        <w:rPr>
          <w:rFonts w:cs="Times New Roman"/>
          <w:szCs w:val="24"/>
        </w:rPr>
        <w:fldChar w:fldCharType="begin" w:fldLock="1"/>
      </w:r>
      <w:r>
        <w:rPr>
          <w:rFonts w:cs="Times New Roman"/>
          <w:szCs w:val="24"/>
        </w:rPr>
        <w:instrText>ADDIN CSL_CITATION {"citationItems":[{"id":"ITEM-1","itemData":{"author":[{"dropping-particle":"","family":"GSS","given":"","non-dropping-particle":"","parse-names":false,"suffix":""}],"id":"ITEM-1","issued":{"date-parts":[["2014"]]},"title":"Gushiegu district","type":"article-journal"},"uris":["http://www.mendeley.com/documents/?uuid=ee566269-df9d-4fb7-a584-c3d99cb4fffe"]}],"mendeley":{"formattedCitation":"(GSS, 2014)","plainTextFormattedCitation":"(GSS, 2014)","previouslyFormattedCitation":"(GSS, 2014)"},"properties":{"noteIndex":0},"schema":"https://github.com/citation-style-language/schema/raw/master/csl-citation.json"}</w:instrText>
      </w:r>
      <w:r>
        <w:rPr>
          <w:rFonts w:cs="Times New Roman"/>
          <w:szCs w:val="24"/>
        </w:rPr>
        <w:fldChar w:fldCharType="separate"/>
      </w:r>
      <w:r>
        <w:rPr>
          <w:rFonts w:cs="Times New Roman"/>
          <w:noProof/>
          <w:szCs w:val="24"/>
        </w:rPr>
        <w:t>(GSS, 2014)</w:t>
      </w:r>
      <w:r>
        <w:rPr>
          <w:rFonts w:cs="Times New Roman"/>
          <w:szCs w:val="24"/>
        </w:rPr>
        <w:fldChar w:fldCharType="end"/>
      </w:r>
      <w:r>
        <w:rPr>
          <w:rFonts w:cs="Times New Roman"/>
          <w:szCs w:val="24"/>
        </w:rPr>
        <w:t xml:space="preserve">. Pastoralists' views on the increase in temperature correspond to the general high-temperature experience in the study area throughout the year. The scientific data indicated that the area experiences high temperature throughout the year reaching close to 40°C between March and April. It is also in line with the findings of the IPCC report that shows a general trend of rising temperatures throughout </w:t>
      </w:r>
      <w:r>
        <w:rPr>
          <w:rFonts w:cs="Times New Roman"/>
          <w:szCs w:val="24"/>
        </w:rPr>
        <w:lastRenderedPageBreak/>
        <w:t xml:space="preserve">the world as a result of climate change </w:t>
      </w:r>
      <w:r>
        <w:rPr>
          <w:rFonts w:cs="Times New Roman"/>
          <w:szCs w:val="24"/>
        </w:rPr>
        <w:fldChar w:fldCharType="begin" w:fldLock="1"/>
      </w:r>
      <w:r>
        <w:rPr>
          <w:rFonts w:cs="Times New Roman"/>
          <w:szCs w:val="24"/>
        </w:rPr>
        <w:instrText>ADDIN CSL_CITATION {"citationItems":[{"id":"ITEM-1","itemData":{"author":[{"dropping-particle":"","family":"IPCC","given":"","non-dropping-particle":"","parse-names":false,"suffix":""}],"id":"ITEM-1","issued":{"date-parts":[["2023"]]},"title":"IPCC_AR6_SYR_SPM.pdf","type":"article"},"uris":["http://www.mendeley.com/documents/?uuid=c9c30558-5b71-4d5a-ac08-7b121d29f85a","http://www.mendeley.com/documents/?uuid=4839fd95-4acb-4402-a857-ddd943b22e0c"]}],"mendeley":{"formattedCitation":"(IPCC, 2023)","plainTextFormattedCitation":"(IPCC, 2023)","previouslyFormattedCitation":"(IPCC, 2023)"},"properties":{"noteIndex":0},"schema":"https://github.com/citation-style-language/schema/raw/master/csl-citation.json"}</w:instrText>
      </w:r>
      <w:r>
        <w:rPr>
          <w:rFonts w:cs="Times New Roman"/>
          <w:szCs w:val="24"/>
        </w:rPr>
        <w:fldChar w:fldCharType="separate"/>
      </w:r>
      <w:r>
        <w:rPr>
          <w:rFonts w:cs="Times New Roman"/>
          <w:noProof/>
          <w:szCs w:val="24"/>
        </w:rPr>
        <w:t>(IPCC, 2023)</w:t>
      </w:r>
      <w:r>
        <w:rPr>
          <w:rFonts w:cs="Times New Roman"/>
          <w:szCs w:val="24"/>
        </w:rPr>
        <w:fldChar w:fldCharType="end"/>
      </w:r>
      <w:r>
        <w:rPr>
          <w:rFonts w:cs="Times New Roman"/>
          <w:szCs w:val="24"/>
        </w:rPr>
        <w:t xml:space="preserve">. Their observation of changes in rainfall patterns is consistence with scientific information provided in the study area, which shows that rainfall occurs from May to October, with strong rainfalls taking place between July and August. It is also in line with IPCC report and the reports of other scholars, which stated that climate change can result in changes to the timing, intensity, and distribution of rainfall, leading to variations in regional precipitation patterns </w:t>
      </w:r>
      <w:r>
        <w:rPr>
          <w:rFonts w:cs="Times New Roman"/>
          <w:szCs w:val="24"/>
        </w:rPr>
        <w:fldChar w:fldCharType="begin" w:fldLock="1"/>
      </w:r>
      <w:r>
        <w:rPr>
          <w:rFonts w:cs="Times New Roman"/>
          <w:szCs w:val="24"/>
        </w:rPr>
        <w:instrText>ADDIN CSL_CITATION {"citationItems":[{"id":"ITEM-1","itemData":{"author":[{"dropping-particle":"","family":"IPCC","given":"","non-dropping-particle":"","parse-names":false,"suffix":""}],"id":"ITEM-1","issued":{"date-parts":[["2023"]]},"title":"IPCC_AR6_SYR_SPM.pdf","type":"article"},"uris":["http://www.mendeley.com/documents/?uuid=4839fd95-4acb-4402-a857-ddd943b22e0c","http://www.mendeley.com/documents/?uuid=c9c30558-5b71-4d5a-ac08-7b121d29f85a"]},{"id":"ITEM-2","itemData":{"author":[{"dropping-particle":"","family":"Jarawura","given":"Francis Xavier","non-dropping-particle":"","parse-names":false,"suffix":""}],"container-title":"UGSpace","id":"ITEM-2","issue":"10359998","issued":{"date-parts":[["2013"]]},"number-of-pages":"1-210","publisher":"University of Ghana","title":"Drought And Migration In Northern Ghana","type":"thesis"},"uris":["http://www.mendeley.com/documents/?uuid=f6ba7737-471c-44e6-b731-1785f69a2b9e"]},{"id":"ITEM-3","itemData":{"DOI":"10.1080/17565529.2013.867248","ISSN":"17565537","abstract":"The impacts of rainfall variability are threatening food production systems, leading to losses of livelihood and food insecurity. The frequency and intensity of floods and drought are likely to be higher as a result of climate change. This case study presents an empirical account of the impacts of rainfall variability on agriculture, food security, livelihoods and human mobility in the Janjigir-Champa district of Chhattisgarh. The research tests the hypothesis that human migration is a major coping mechanism against climate variability. The findings confirm that a coordination mechanism exists between rainfall changes (i.e. erratic rainfall patterns in terms of delayed monsoons, seasonal shifts, drought and floods) and livelihood and food security of a number of farmers and farm labourers in the research site. Because there is only a single annual harvest of paddy rice (practiced as monoculture) in the research site, which is partly due to the non-availability of water for a second crop, marginal farmers and farm labourers are left with very few options in finding sufficient employment in and around their villages. Some people cope with the situation by seeking assistance from their relatives, friends and the government. However, seasonal and permanent migrations are the most opted-for coping strategies in the study area. © 2013 © 2013 The Author(s). Published by Taylor &amp; Francis.","author":[{"dropping-particle":"","family":"Murali","given":"Janakaraj","non-dropping-particle":"","parse-names":false,"suffix":""},{"dropping-particle":"","family":"Afifi","given":"Tamer","non-dropping-particle":"","parse-names":false,"suffix":""}],"container-title":"Climate and Development","id":"ITEM-3","issue":"1","issued":{"date-parts":[["2014"]]},"page":"28-37","publisher":"Taylor &amp; Francis","title":"Rainfall variability, food security and human mobility in the Janjgir-Champa district of Chhattisgarh state, India","type":"article-journal","volume":"6"},"uris":["http://www.mendeley.com/documents/?uuid=07bd1ba8-b324-44f2-9865-55ba3a2748d1"]}],"mendeley":{"formattedCitation":"(IPCC, 2023; Jarawura, 2013; Murali &amp; Afifi, 2014)","plainTextFormattedCitation":"(IPCC, 2023; Jarawura, 2013; Murali &amp; Afifi, 2014)","previouslyFormattedCitation":"(IPCC, 2023; Jarawura, 2013; Murali &amp; Afifi, 2014)"},"properties":{"noteIndex":0},"schema":"https://github.com/citation-style-language/schema/raw/master/csl-citation.json"}</w:instrText>
      </w:r>
      <w:r>
        <w:rPr>
          <w:rFonts w:cs="Times New Roman"/>
          <w:szCs w:val="24"/>
        </w:rPr>
        <w:fldChar w:fldCharType="separate"/>
      </w:r>
      <w:r>
        <w:rPr>
          <w:rFonts w:cs="Times New Roman"/>
          <w:noProof/>
          <w:szCs w:val="24"/>
        </w:rPr>
        <w:t>(IPCC, 2023; Jarawura, 2013; Murali &amp; Afifi, 2014)</w:t>
      </w:r>
      <w:r>
        <w:rPr>
          <w:rFonts w:cs="Times New Roman"/>
          <w:szCs w:val="24"/>
        </w:rPr>
        <w:fldChar w:fldCharType="end"/>
      </w:r>
      <w:r>
        <w:rPr>
          <w:rFonts w:cs="Times New Roman"/>
          <w:szCs w:val="24"/>
        </w:rPr>
        <w:t xml:space="preserve">. While it is challenging to attribute specific changes in rainfall solely to climate change, long-term trends of declining rainfall can be indicative of climate change impacts. Studies on climate change and rainfall patterns in various regions have shown both an increase in extreme rainfall events and a decrease in average annual rainfall </w:t>
      </w:r>
      <w:r>
        <w:rPr>
          <w:rFonts w:cs="Times New Roman"/>
          <w:szCs w:val="24"/>
        </w:rPr>
        <w:fldChar w:fldCharType="begin" w:fldLock="1"/>
      </w:r>
      <w:r w:rsidR="00900D2E">
        <w:rPr>
          <w:rFonts w:cs="Times New Roman"/>
          <w:szCs w:val="24"/>
        </w:rPr>
        <w:instrText>ADDIN CSL_CITATION {"citationItems":[{"id":"ITEM-1","itemData":{"DOI":"10.1016/j.envc.2021.100354","ISSN":"26670100","abstract":"Understanding rainfall processes is crucial in addressing several hydrological challenges that have both positive and negative impacts on agriculture, climate change, and natural hazards including floods and droughts. Statistical modeling is a key instrument for studying these processes. This study presents the trends and forecasted rainfall patterns from 2017 to 2035 in the Manga-Bawku area, northeastern Ghana using rainfall data spanning from 1976 to 2016. The simple seasonal exponential smoothing and ARIMA (0,1,1) models were employed in this study while the R software and the Statistical Package for the Social Sciences were the modeling tools used in this study. The results obtained from the test of the efficiency of the forecast model showed a Stationary R-squared value of 0.698 and 0.669, Root-Mean-Square Deviation (RMSE) of 48.775 and 50.717, and normalized Bayesian Information Criteria (BIC) of 7.800 and 7.904 for the exponential smoothing and ARIMA (0,1,1) models respectively. This indicated that the models are a good fit for the time-series analysis. However, a line plot of the two models and observed data showed that the simple seasonal exponential smoothing model was a better fit. The Autocorrelation Function (ACF) plot showed that coefficient values were recorded in equal time lags. The peak recorded at lag 1 was similar to lags 12 and 24 which suggest that the seasonal component in the time series occurred within twelve months. The study further showed that the seasonal component was uniform on an annual basis which signifies that it was an additive impact instead of multiplicative effect. The rainfall forecast predicts a decline in rainfall levels over the next 19 years. This suggests the need for proper water resources planning, and the formulation of policies to curtail the factors that are likely to have debilitating impacts on the local hydrological system.","author":[{"dropping-particle":"","family":"Dankwa","given":"Paul","non-dropping-particle":"","parse-names":false,"suffix":""},{"dropping-particle":"","family":"Cudjoe","given":"Eugene","non-dropping-particle":"","parse-names":false,"suffix":""},{"dropping-particle":"","family":"Amuah","given":"Ebenezer Ebo Yahans","non-dropping-particle":"","parse-names":false,"suffix":""},{"dropping-particle":"","family":"Kazapoe","given":"Raymond Webrah","non-dropping-particle":"","parse-names":false,"suffix":""},{"dropping-particle":"","family":"Agyemang","given":"Edna Pambour","non-dropping-particle":"","parse-names":false,"suffix":""}],"container-title":"Environmental Challenges","id":"ITEM-1","issued":{"date-parts":[["2021"]]},"title":"Analyzing and forecasting rainfall patterns in the Manga-Bawku area, northeastern Ghana: Possible implication of climate change","type":"article","volume":"5"},"uris":["http://www.mendeley.com/documents/?uuid=6a6feeae-2e6a-4780-9942-d01d642b019b","http://www.mendeley.com/documents/?uuid=c61a208c-4a41-4b9a-8965-7de9328fe26d"]}],"mendeley":{"formattedCitation":"(Dankwa et al., 2021)","plainTextFormattedCitation":"(Dankwa et al., 2021)","previouslyFormattedCitation":"(Dankwa et al., 2021)"},"properties":{"noteIndex":0},"schema":"https://github.com/citation-style-language/schema/raw/master/csl-citation.json"}</w:instrText>
      </w:r>
      <w:r>
        <w:rPr>
          <w:rFonts w:cs="Times New Roman"/>
          <w:szCs w:val="24"/>
        </w:rPr>
        <w:fldChar w:fldCharType="separate"/>
      </w:r>
      <w:r>
        <w:rPr>
          <w:rFonts w:cs="Times New Roman"/>
          <w:noProof/>
          <w:szCs w:val="24"/>
        </w:rPr>
        <w:t>(Dankwa et al., 2021)</w:t>
      </w:r>
      <w:r>
        <w:rPr>
          <w:rFonts w:cs="Times New Roman"/>
          <w:szCs w:val="24"/>
        </w:rPr>
        <w:fldChar w:fldCharType="end"/>
      </w:r>
      <w:r>
        <w:rPr>
          <w:rFonts w:cs="Times New Roman"/>
          <w:szCs w:val="24"/>
        </w:rPr>
        <w:t xml:space="preserve">. </w:t>
      </w:r>
    </w:p>
    <w:p w:rsidR="00E53882" w:rsidRDefault="00B16FF7">
      <w:pPr>
        <w:pStyle w:val="Heading2"/>
        <w:spacing w:before="0" w:line="480" w:lineRule="auto"/>
      </w:pPr>
      <w:bookmarkStart w:id="99" w:name="_Toc164261723"/>
      <w:r>
        <w:t>5.3 Pastoralists Perceived Causes of Changes of the Climate Change Parameters</w:t>
      </w:r>
      <w:bookmarkEnd w:id="99"/>
    </w:p>
    <w:p w:rsidR="00F3043B" w:rsidRDefault="00F3043B">
      <w:pPr>
        <w:pStyle w:val="tableyuuu"/>
        <w:spacing w:before="0" w:after="0"/>
      </w:pPr>
      <w:bookmarkStart w:id="100" w:name="_Toc156217546"/>
      <w:r>
        <w:t>Table 5.2</w:t>
      </w:r>
    </w:p>
    <w:p w:rsidR="00E53882" w:rsidRPr="00F3043B" w:rsidRDefault="00B16FF7">
      <w:pPr>
        <w:pStyle w:val="tableyuuu"/>
        <w:spacing w:before="0" w:after="0"/>
        <w:rPr>
          <w:b w:val="0"/>
          <w:i/>
        </w:rPr>
      </w:pPr>
      <w:r w:rsidRPr="00F3043B">
        <w:rPr>
          <w:b w:val="0"/>
          <w:i/>
        </w:rPr>
        <w:t>Pastoralists Perceived Causes of Climate change</w:t>
      </w:r>
      <w:bookmarkEnd w:id="100"/>
      <w:r w:rsidR="00F3043B">
        <w:rPr>
          <w:b w:val="0"/>
          <w:i/>
        </w:rPr>
        <w:t xml:space="preserve"> Over t</w:t>
      </w:r>
      <w:r w:rsidR="006B6417" w:rsidRPr="00F3043B">
        <w:rPr>
          <w:b w:val="0"/>
          <w:i/>
        </w:rPr>
        <w:t>he Past 20 Years</w:t>
      </w:r>
    </w:p>
    <w:tbl>
      <w:tblPr>
        <w:tblStyle w:val="TableGrid"/>
        <w:tblW w:w="0" w:type="auto"/>
        <w:tblLook w:val="04A0" w:firstRow="1" w:lastRow="0" w:firstColumn="1" w:lastColumn="0" w:noHBand="0" w:noVBand="1"/>
      </w:tblPr>
      <w:tblGrid>
        <w:gridCol w:w="3505"/>
        <w:gridCol w:w="5413"/>
      </w:tblGrid>
      <w:tr w:rsidR="00E53882">
        <w:trPr>
          <w:trHeight w:val="656"/>
        </w:trPr>
        <w:tc>
          <w:tcPr>
            <w:tcW w:w="3505" w:type="dxa"/>
          </w:tcPr>
          <w:p w:rsidR="00E53882" w:rsidRDefault="00B16FF7">
            <w:pPr>
              <w:tabs>
                <w:tab w:val="left" w:pos="7260"/>
              </w:tabs>
              <w:spacing w:before="0" w:after="0" w:line="480" w:lineRule="auto"/>
              <w:jc w:val="center"/>
              <w:rPr>
                <w:rFonts w:cs="Times New Roman"/>
                <w:b/>
                <w:szCs w:val="24"/>
                <w:lang w:val="en-US"/>
              </w:rPr>
            </w:pPr>
            <w:r>
              <w:rPr>
                <w:rFonts w:cs="Times New Roman"/>
                <w:b/>
                <w:szCs w:val="24"/>
                <w:lang w:val="en-US"/>
              </w:rPr>
              <w:t>Parameters</w:t>
            </w:r>
          </w:p>
        </w:tc>
        <w:tc>
          <w:tcPr>
            <w:tcW w:w="5413" w:type="dxa"/>
          </w:tcPr>
          <w:p w:rsidR="00E53882" w:rsidRDefault="00B16FF7">
            <w:pPr>
              <w:tabs>
                <w:tab w:val="left" w:pos="7260"/>
              </w:tabs>
              <w:spacing w:before="0" w:after="0" w:line="480" w:lineRule="auto"/>
              <w:jc w:val="center"/>
              <w:rPr>
                <w:rFonts w:cs="Times New Roman"/>
                <w:b/>
                <w:szCs w:val="24"/>
                <w:lang w:val="en-US"/>
              </w:rPr>
            </w:pPr>
            <w:r>
              <w:rPr>
                <w:rFonts w:cs="Times New Roman"/>
                <w:b/>
                <w:szCs w:val="24"/>
                <w:lang w:val="en-US"/>
              </w:rPr>
              <w:t>Causes</w:t>
            </w:r>
          </w:p>
        </w:tc>
      </w:tr>
      <w:tr w:rsidR="00E53882">
        <w:tc>
          <w:tcPr>
            <w:tcW w:w="3505" w:type="dxa"/>
          </w:tcPr>
          <w:p w:rsidR="00E53882" w:rsidRDefault="00B16FF7">
            <w:pPr>
              <w:tabs>
                <w:tab w:val="left" w:pos="7260"/>
              </w:tabs>
              <w:spacing w:before="0" w:after="0" w:line="480" w:lineRule="auto"/>
              <w:rPr>
                <w:rFonts w:cs="Times New Roman"/>
                <w:szCs w:val="24"/>
                <w:lang w:val="en-US"/>
              </w:rPr>
            </w:pPr>
            <w:r>
              <w:rPr>
                <w:rFonts w:cs="Times New Roman"/>
                <w:szCs w:val="24"/>
                <w:lang w:val="en-US"/>
              </w:rPr>
              <w:t>Rising in Temperature</w:t>
            </w:r>
          </w:p>
        </w:tc>
        <w:tc>
          <w:tcPr>
            <w:tcW w:w="5413" w:type="dxa"/>
          </w:tcPr>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Bush burning</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Destroying of gods places</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Signs of end time</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Deforestation</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Late start of rainfall</w:t>
            </w:r>
          </w:p>
        </w:tc>
      </w:tr>
      <w:tr w:rsidR="00E53882">
        <w:tc>
          <w:tcPr>
            <w:tcW w:w="3505" w:type="dxa"/>
          </w:tcPr>
          <w:p w:rsidR="00E53882" w:rsidRDefault="00B16FF7">
            <w:pPr>
              <w:tabs>
                <w:tab w:val="left" w:pos="7260"/>
              </w:tabs>
              <w:spacing w:before="0" w:after="0" w:line="480" w:lineRule="auto"/>
              <w:rPr>
                <w:rFonts w:cs="Times New Roman"/>
                <w:szCs w:val="24"/>
                <w:lang w:val="en-US"/>
              </w:rPr>
            </w:pPr>
            <w:r>
              <w:rPr>
                <w:rFonts w:cs="Times New Roman"/>
                <w:szCs w:val="24"/>
                <w:lang w:val="en-US"/>
              </w:rPr>
              <w:t>Low Rainfall</w:t>
            </w:r>
          </w:p>
        </w:tc>
        <w:tc>
          <w:tcPr>
            <w:tcW w:w="5413" w:type="dxa"/>
          </w:tcPr>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Bush burning</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Goods servants are no longer present</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The will of God</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lastRenderedPageBreak/>
              <w:t>Deforestation</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Killing of Crocodile</w:t>
            </w:r>
          </w:p>
        </w:tc>
      </w:tr>
      <w:tr w:rsidR="00E53882">
        <w:tc>
          <w:tcPr>
            <w:tcW w:w="3505" w:type="dxa"/>
          </w:tcPr>
          <w:p w:rsidR="00E53882" w:rsidRDefault="00B16FF7">
            <w:pPr>
              <w:tabs>
                <w:tab w:val="left" w:pos="7260"/>
              </w:tabs>
              <w:spacing w:before="0" w:after="0" w:line="480" w:lineRule="auto"/>
              <w:rPr>
                <w:rFonts w:cs="Times New Roman"/>
                <w:szCs w:val="24"/>
                <w:lang w:val="en-US"/>
              </w:rPr>
            </w:pPr>
            <w:r>
              <w:rPr>
                <w:rFonts w:cs="Times New Roman"/>
                <w:szCs w:val="24"/>
                <w:lang w:val="en-US"/>
              </w:rPr>
              <w:lastRenderedPageBreak/>
              <w:t>Late start of rainfall</w:t>
            </w:r>
          </w:p>
        </w:tc>
        <w:tc>
          <w:tcPr>
            <w:tcW w:w="5413" w:type="dxa"/>
          </w:tcPr>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Bush burning</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Signs of end time</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Deforestation</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Destroying shrines</w:t>
            </w:r>
          </w:p>
        </w:tc>
      </w:tr>
      <w:tr w:rsidR="00E53882">
        <w:trPr>
          <w:trHeight w:val="1340"/>
        </w:trPr>
        <w:tc>
          <w:tcPr>
            <w:tcW w:w="3505" w:type="dxa"/>
          </w:tcPr>
          <w:p w:rsidR="00E53882" w:rsidRDefault="00B16FF7">
            <w:pPr>
              <w:tabs>
                <w:tab w:val="left" w:pos="7260"/>
              </w:tabs>
              <w:spacing w:before="0" w:after="0" w:line="480" w:lineRule="auto"/>
              <w:rPr>
                <w:rFonts w:cs="Times New Roman"/>
                <w:szCs w:val="24"/>
                <w:lang w:val="en-US"/>
              </w:rPr>
            </w:pPr>
            <w:r>
              <w:rPr>
                <w:rFonts w:cs="Times New Roman"/>
                <w:szCs w:val="24"/>
                <w:lang w:val="en-US"/>
              </w:rPr>
              <w:t>High Wind</w:t>
            </w:r>
          </w:p>
        </w:tc>
        <w:tc>
          <w:tcPr>
            <w:tcW w:w="5413" w:type="dxa"/>
          </w:tcPr>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Bush burning</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Signs of end time</w:t>
            </w:r>
          </w:p>
          <w:p w:rsidR="00E53882" w:rsidRDefault="00B16FF7">
            <w:pPr>
              <w:pStyle w:val="ListParagraph"/>
              <w:numPr>
                <w:ilvl w:val="0"/>
                <w:numId w:val="8"/>
              </w:numPr>
              <w:tabs>
                <w:tab w:val="left" w:pos="7260"/>
              </w:tabs>
              <w:spacing w:before="0" w:after="0" w:line="480" w:lineRule="auto"/>
              <w:rPr>
                <w:rFonts w:cs="Times New Roman"/>
                <w:szCs w:val="24"/>
                <w:lang w:val="en-US"/>
              </w:rPr>
            </w:pPr>
            <w:r>
              <w:rPr>
                <w:rFonts w:cs="Times New Roman"/>
                <w:szCs w:val="24"/>
                <w:lang w:val="en-US"/>
              </w:rPr>
              <w:t>Deforestation</w:t>
            </w:r>
          </w:p>
        </w:tc>
      </w:tr>
    </w:tbl>
    <w:p w:rsidR="00E53882" w:rsidRDefault="00F3043B">
      <w:pPr>
        <w:tabs>
          <w:tab w:val="left" w:pos="7260"/>
        </w:tabs>
        <w:spacing w:line="480" w:lineRule="auto"/>
        <w:rPr>
          <w:rFonts w:cs="Times New Roman"/>
          <w:b/>
          <w:szCs w:val="24"/>
        </w:rPr>
      </w:pPr>
      <w:r>
        <w:rPr>
          <w:rFonts w:cs="Times New Roman"/>
          <w:b/>
          <w:szCs w:val="24"/>
        </w:rPr>
        <w:t>Source: Field Work</w:t>
      </w:r>
      <w:r w:rsidR="006B6417">
        <w:rPr>
          <w:rFonts w:cs="Times New Roman"/>
          <w:b/>
          <w:szCs w:val="24"/>
        </w:rPr>
        <w:t xml:space="preserve"> (2023)</w:t>
      </w:r>
    </w:p>
    <w:p w:rsidR="00E53882" w:rsidRDefault="00B16FF7">
      <w:pPr>
        <w:tabs>
          <w:tab w:val="left" w:pos="7260"/>
        </w:tabs>
        <w:spacing w:before="0" w:after="0" w:line="480" w:lineRule="auto"/>
        <w:rPr>
          <w:rFonts w:cs="Times New Roman"/>
          <w:b/>
          <w:szCs w:val="24"/>
        </w:rPr>
      </w:pPr>
      <w:r>
        <w:rPr>
          <w:rFonts w:cs="Times New Roman"/>
          <w:szCs w:val="24"/>
        </w:rPr>
        <w:t xml:space="preserve">From the table above, pastoralists attribute this rise in temperature, low rainfall, late start of rainfall, and high wind to bush burning, destroying of gods’ places, signs of end time, deforestation, late start of rainfall, lack of good servants, killing of Crocodile and the will of God. </w:t>
      </w:r>
    </w:p>
    <w:p w:rsidR="00E53882" w:rsidRDefault="00B16FF7">
      <w:pPr>
        <w:spacing w:before="0" w:after="0" w:line="480" w:lineRule="auto"/>
        <w:ind w:left="864"/>
        <w:rPr>
          <w:rFonts w:eastAsia="Times New Roman" w:cs="Times New Roman"/>
          <w:color w:val="252525"/>
          <w:szCs w:val="24"/>
        </w:rPr>
      </w:pPr>
      <w:r>
        <w:rPr>
          <w:rFonts w:eastAsia="Times New Roman" w:cs="Times New Roman"/>
          <w:i/>
          <w:iCs/>
          <w:color w:val="252525"/>
          <w:szCs w:val="24"/>
        </w:rPr>
        <w:t>“There are no trees or grasses to protect the surface of the ground; they have burned them all, and this causes the heat we are experiencing now. We also know that trees cause rain and bring shade, but now there are none" (</w:t>
      </w:r>
      <w:proofErr w:type="spellStart"/>
      <w:r>
        <w:rPr>
          <w:rFonts w:eastAsia="Times New Roman" w:cs="Times New Roman"/>
          <w:i/>
          <w:iCs/>
          <w:color w:val="252525"/>
          <w:szCs w:val="24"/>
        </w:rPr>
        <w:t>Fulbe</w:t>
      </w:r>
      <w:proofErr w:type="spellEnd"/>
      <w:r>
        <w:rPr>
          <w:rFonts w:eastAsia="Times New Roman" w:cs="Times New Roman"/>
          <w:i/>
          <w:iCs/>
          <w:color w:val="252525"/>
          <w:szCs w:val="24"/>
        </w:rPr>
        <w:t xml:space="preserve"> Pastoralists, 42-year-old male participant).</w:t>
      </w:r>
      <w:r>
        <w:rPr>
          <w:rFonts w:eastAsia="Times New Roman" w:cs="Times New Roman"/>
          <w:color w:val="252525"/>
          <w:szCs w:val="24"/>
        </w:rPr>
        <w:t xml:space="preserve"> He further stated that “</w:t>
      </w:r>
      <w:r>
        <w:rPr>
          <w:rFonts w:eastAsia="Times New Roman" w:cs="Times New Roman"/>
          <w:i/>
          <w:iCs/>
          <w:color w:val="252525"/>
          <w:szCs w:val="24"/>
        </w:rPr>
        <w:t>there were some places you could move like one and a half miles without seeing a sun, but now we don’t see places like that. So, what will prevent excessive heat? What will prevent heavy winds? And what will cause rain to fall?”</w:t>
      </w:r>
      <w:r>
        <w:rPr>
          <w:rFonts w:eastAsia="Times New Roman" w:cs="Times New Roman"/>
          <w:color w:val="252525"/>
          <w:szCs w:val="24"/>
        </w:rPr>
        <w:t xml:space="preserve"> </w:t>
      </w:r>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 xml:space="preserve">Another participant was of the view that: </w:t>
      </w:r>
    </w:p>
    <w:p w:rsidR="00E53882" w:rsidRDefault="00B16FF7">
      <w:pPr>
        <w:spacing w:before="0" w:after="0" w:line="480" w:lineRule="auto"/>
        <w:ind w:left="864"/>
        <w:rPr>
          <w:rFonts w:eastAsia="Times New Roman" w:cs="Times New Roman"/>
          <w:i/>
          <w:iCs/>
          <w:color w:val="FFFFFF" w:themeColor="background1"/>
          <w:szCs w:val="24"/>
        </w:rPr>
      </w:pPr>
      <w:r>
        <w:rPr>
          <w:rFonts w:eastAsia="Times New Roman" w:cs="Times New Roman"/>
          <w:color w:val="000000" w:themeColor="text1"/>
          <w:szCs w:val="24"/>
        </w:rPr>
        <w:lastRenderedPageBreak/>
        <w:t>“</w:t>
      </w:r>
      <w:r>
        <w:rPr>
          <w:rFonts w:eastAsia="Times New Roman" w:cs="Times New Roman"/>
          <w:i/>
          <w:iCs/>
          <w:color w:val="000000" w:themeColor="text1"/>
          <w:szCs w:val="24"/>
        </w:rPr>
        <w:t>We do not know good servants of God; some of the trees possessed spiritual powers that caused rain to fall, but now chiefs have sold them all to people, and they cut them all. This is the reason we are not getting rainfall again,” said the 72-year-old retired pastoralist on June 21, 2023.</w:t>
      </w:r>
    </w:p>
    <w:p w:rsidR="00E53882" w:rsidRDefault="00B16FF7">
      <w:pPr>
        <w:spacing w:before="0" w:after="0" w:line="480" w:lineRule="auto"/>
        <w:rPr>
          <w:rFonts w:eastAsia="Times New Roman" w:cs="Times New Roman"/>
          <w:i/>
          <w:iCs/>
          <w:color w:val="252525"/>
          <w:szCs w:val="24"/>
        </w:rPr>
      </w:pPr>
      <w:r>
        <w:rPr>
          <w:rFonts w:eastAsia="Times New Roman" w:cs="Times New Roman"/>
          <w:color w:val="252525"/>
          <w:szCs w:val="24"/>
        </w:rPr>
        <w:t>Different participants also explained that:</w:t>
      </w:r>
      <w:r>
        <w:rPr>
          <w:rFonts w:eastAsia="Times New Roman" w:cs="Times New Roman"/>
          <w:i/>
          <w:iCs/>
          <w:color w:val="252525"/>
          <w:szCs w:val="24"/>
        </w:rPr>
        <w:t xml:space="preserve"> </w:t>
      </w:r>
    </w:p>
    <w:p w:rsidR="00E53882" w:rsidRDefault="00B16FF7">
      <w:pPr>
        <w:spacing w:before="0" w:after="0" w:line="480" w:lineRule="auto"/>
        <w:ind w:left="720"/>
        <w:rPr>
          <w:rFonts w:eastAsia="Times New Roman" w:cs="Times New Roman"/>
          <w:i/>
          <w:color w:val="252525"/>
          <w:szCs w:val="24"/>
        </w:rPr>
      </w:pPr>
      <w:r>
        <w:rPr>
          <w:rFonts w:eastAsia="Times New Roman" w:cs="Times New Roman"/>
          <w:i/>
          <w:iCs/>
          <w:color w:val="252525"/>
          <w:szCs w:val="24"/>
        </w:rPr>
        <w:t>“Where there is forest, it reduces heat and high winds and causes rain to fall”</w:t>
      </w:r>
      <w:r>
        <w:rPr>
          <w:rFonts w:eastAsia="Times New Roman" w:cs="Times New Roman"/>
          <w:i/>
          <w:color w:val="252525"/>
          <w:szCs w:val="24"/>
        </w:rPr>
        <w:t>, But have they have cut all the trees around this area”</w:t>
      </w:r>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 xml:space="preserve">The 35-year-old pastoralist was also of the view that </w:t>
      </w:r>
    </w:p>
    <w:p w:rsidR="00E53882" w:rsidRDefault="00B16FF7">
      <w:pPr>
        <w:spacing w:before="100" w:beforeAutospacing="1" w:after="100" w:afterAutospacing="1" w:line="480" w:lineRule="auto"/>
        <w:ind w:left="720"/>
        <w:rPr>
          <w:rFonts w:eastAsia="Times New Roman" w:cs="Times New Roman"/>
          <w:i/>
          <w:iCs/>
          <w:color w:val="252525"/>
          <w:szCs w:val="24"/>
        </w:rPr>
      </w:pPr>
      <w:r>
        <w:rPr>
          <w:rFonts w:eastAsia="Times New Roman" w:cs="Times New Roman"/>
          <w:color w:val="252525"/>
          <w:szCs w:val="24"/>
        </w:rPr>
        <w:t>“In</w:t>
      </w:r>
      <w:r>
        <w:rPr>
          <w:rFonts w:eastAsia="Times New Roman" w:cs="Times New Roman"/>
          <w:i/>
          <w:iCs/>
          <w:color w:val="252525"/>
          <w:szCs w:val="24"/>
        </w:rPr>
        <w:t xml:space="preserve"> the past they were not burning bushes frequently like that, but now it has changed." </w:t>
      </w:r>
      <w:r>
        <w:rPr>
          <w:rFonts w:eastAsia="Times New Roman" w:cs="Times New Roman"/>
          <w:color w:val="252525"/>
          <w:szCs w:val="24"/>
        </w:rPr>
        <w:t>Some respondents were also of the view that</w:t>
      </w:r>
      <w:r>
        <w:rPr>
          <w:rFonts w:eastAsia="Times New Roman" w:cs="Times New Roman"/>
          <w:i/>
          <w:iCs/>
          <w:color w:val="252525"/>
          <w:szCs w:val="24"/>
        </w:rPr>
        <w:t xml:space="preserve"> “these changes are the will of God; nobody has control over them." </w:t>
      </w:r>
    </w:p>
    <w:p w:rsidR="00E53882" w:rsidRDefault="00B16FF7">
      <w:pPr>
        <w:spacing w:before="0" w:after="0" w:line="480" w:lineRule="auto"/>
        <w:rPr>
          <w:rFonts w:eastAsia="Times New Roman" w:cs="Times New Roman"/>
          <w:i/>
          <w:iCs/>
          <w:color w:val="252525"/>
          <w:szCs w:val="24"/>
        </w:rPr>
      </w:pPr>
      <w:r>
        <w:rPr>
          <w:rFonts w:eastAsia="Times New Roman" w:cs="Times New Roman"/>
          <w:color w:val="252525"/>
          <w:szCs w:val="24"/>
        </w:rPr>
        <w:t>Others were also of the view that these changes are occurring because</w:t>
      </w:r>
      <w:r>
        <w:rPr>
          <w:rFonts w:eastAsia="Times New Roman" w:cs="Times New Roman"/>
          <w:i/>
          <w:iCs/>
          <w:color w:val="252525"/>
          <w:szCs w:val="24"/>
        </w:rPr>
        <w:t xml:space="preserve"> the end time is near. </w:t>
      </w:r>
    </w:p>
    <w:p w:rsidR="00E53882" w:rsidRDefault="00B16FF7">
      <w:pPr>
        <w:spacing w:before="0" w:after="0" w:line="480" w:lineRule="auto"/>
        <w:ind w:left="720"/>
        <w:rPr>
          <w:rFonts w:eastAsia="Times New Roman" w:cs="Times New Roman"/>
          <w:i/>
          <w:iCs/>
          <w:color w:val="252525"/>
          <w:szCs w:val="24"/>
        </w:rPr>
      </w:pPr>
      <w:r>
        <w:rPr>
          <w:rFonts w:eastAsia="Times New Roman" w:cs="Times New Roman"/>
          <w:i/>
          <w:iCs/>
          <w:color w:val="252525"/>
          <w:szCs w:val="24"/>
        </w:rPr>
        <w:t>All these changes are results of the end time; the end time is near, and that is why we are experiencing these changes."</w:t>
      </w:r>
    </w:p>
    <w:p w:rsidR="00E53882" w:rsidRDefault="00B16FF7">
      <w:pPr>
        <w:spacing w:before="0" w:after="0" w:line="480" w:lineRule="auto"/>
        <w:rPr>
          <w:rFonts w:eastAsia="Times New Roman" w:cs="Times New Roman"/>
          <w:color w:val="252525"/>
          <w:szCs w:val="24"/>
        </w:rPr>
      </w:pPr>
      <w:r>
        <w:rPr>
          <w:rFonts w:eastAsia="Times New Roman" w:cs="Times New Roman"/>
          <w:i/>
          <w:iCs/>
          <w:color w:val="252525"/>
          <w:szCs w:val="24"/>
        </w:rPr>
        <w:t xml:space="preserve"> </w:t>
      </w:r>
      <w:r>
        <w:rPr>
          <w:rFonts w:eastAsia="Times New Roman" w:cs="Times New Roman"/>
          <w:color w:val="252525"/>
          <w:szCs w:val="24"/>
        </w:rPr>
        <w:t>Furthermore, some participants explained that:</w:t>
      </w:r>
    </w:p>
    <w:p w:rsidR="00E53882" w:rsidRDefault="00B16FF7">
      <w:pPr>
        <w:spacing w:before="0" w:after="0" w:line="480" w:lineRule="auto"/>
        <w:ind w:left="720"/>
        <w:rPr>
          <w:rFonts w:eastAsia="Times New Roman" w:cs="Times New Roman"/>
          <w:color w:val="252525"/>
          <w:szCs w:val="24"/>
        </w:rPr>
      </w:pPr>
      <w:r>
        <w:rPr>
          <w:rFonts w:eastAsia="Times New Roman" w:cs="Times New Roman"/>
          <w:color w:val="252525"/>
          <w:szCs w:val="24"/>
        </w:rPr>
        <w:t xml:space="preserve"> “</w:t>
      </w:r>
      <w:r>
        <w:rPr>
          <w:rFonts w:eastAsia="Times New Roman" w:cs="Times New Roman"/>
          <w:i/>
          <w:iCs/>
          <w:color w:val="252525"/>
          <w:szCs w:val="24"/>
        </w:rPr>
        <w:t>Where there are crocodiles, water does not get dry, but now there have killed all the crocodiles in the rivers”.</w:t>
      </w:r>
      <w:r>
        <w:rPr>
          <w:rFonts w:eastAsia="Times New Roman" w:cs="Times New Roman"/>
          <w:color w:val="252525"/>
          <w:szCs w:val="24"/>
        </w:rPr>
        <w:t xml:space="preserve"> </w:t>
      </w:r>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 xml:space="preserve">Some of them also explained that: </w:t>
      </w:r>
    </w:p>
    <w:p w:rsidR="00E53882" w:rsidRDefault="00B16FF7">
      <w:pPr>
        <w:spacing w:before="0" w:after="0" w:line="480" w:lineRule="auto"/>
        <w:ind w:left="720"/>
        <w:rPr>
          <w:rFonts w:eastAsia="Times New Roman" w:cs="Times New Roman"/>
          <w:color w:val="252525"/>
          <w:szCs w:val="24"/>
        </w:rPr>
      </w:pPr>
      <w:r>
        <w:rPr>
          <w:rFonts w:eastAsia="Times New Roman" w:cs="Times New Roman"/>
          <w:color w:val="252525"/>
          <w:szCs w:val="24"/>
        </w:rPr>
        <w:t>“</w:t>
      </w:r>
      <w:r>
        <w:rPr>
          <w:rFonts w:eastAsia="Times New Roman" w:cs="Times New Roman"/>
          <w:i/>
          <w:iCs/>
          <w:color w:val="252525"/>
          <w:szCs w:val="24"/>
        </w:rPr>
        <w:t xml:space="preserve">There are some sacred places in the forest, but because of rampant cutting down of trees, they have destroyed all these places, and these are the reasons why we are experiencing all these changes,” </w:t>
      </w:r>
      <w:r>
        <w:rPr>
          <w:rFonts w:eastAsia="Times New Roman" w:cs="Times New Roman"/>
          <w:color w:val="252525"/>
          <w:szCs w:val="24"/>
        </w:rPr>
        <w:t xml:space="preserve">says the 72-year-old retired pastoralist on June 21, 2023 </w:t>
      </w:r>
    </w:p>
    <w:p w:rsidR="00E53882" w:rsidRDefault="00B16FF7">
      <w:pPr>
        <w:tabs>
          <w:tab w:val="left" w:pos="7260"/>
        </w:tabs>
        <w:spacing w:before="0" w:after="0" w:line="480" w:lineRule="auto"/>
        <w:rPr>
          <w:rFonts w:cs="Times New Roman"/>
          <w:szCs w:val="24"/>
          <w:lang w:val="fr-FR"/>
        </w:rPr>
      </w:pPr>
      <w:r>
        <w:rPr>
          <w:rFonts w:cs="Times New Roman"/>
          <w:szCs w:val="24"/>
        </w:rPr>
        <w:lastRenderedPageBreak/>
        <w:t xml:space="preserve">The answers given by the pastoralist’s offers a deep interpretation of changes related to climatic factors, specifically, temperature, wind and rainfall in the study area. They point out that these changes are caused by bush burning, destroying of gods’ places, signs of end time, deforestation, late start of rainfall, killing of Crocodile, the will of God and goods servants are no longer present. Participants agree that there </w:t>
      </w:r>
      <w:r w:rsidR="00412043">
        <w:rPr>
          <w:rFonts w:cs="Times New Roman"/>
          <w:szCs w:val="24"/>
        </w:rPr>
        <w:t>has</w:t>
      </w:r>
      <w:r>
        <w:rPr>
          <w:rFonts w:cs="Times New Roman"/>
          <w:szCs w:val="24"/>
        </w:rPr>
        <w:t xml:space="preserve"> been a significant reduction in the vegetation cover thereby resulting to the intensity of the heat, increase in wind speed and decline in rainfall. The acknowledgement that certain human activities contribute to climate change signifies that there is a level of environmental awareness among pastoralists. The consequences of these changes have significant impact on their livelihood. Moreover, the belief in divine will and destruction of sacred places as part of the causes of these changes indicates a complex interplay between cultural and environmental factors, influencing how the pastoralists understands and responds to climate change. However, the attributions of these cultural and spiritual interpretations may not be empirically measurable. </w:t>
      </w:r>
      <w:r>
        <w:rPr>
          <w:rFonts w:cs="Times New Roman"/>
          <w:bCs/>
          <w:szCs w:val="24"/>
        </w:rPr>
        <w:t>The study</w:t>
      </w:r>
      <w:r>
        <w:rPr>
          <w:rFonts w:cs="Times New Roman"/>
          <w:szCs w:val="24"/>
        </w:rPr>
        <w:t xml:space="preserve"> highlights the intricate relationship between cultural beliefs, land-use practices, and environmental transformations. The inclusion of spiritual and cultural dimensions enriches the understanding of how pastoralist perceive and respond to climate change, offering a holistic perspective that extends beyond scientific metrics. The findings corroborate with previous findings emphasizing the impact of land-use changes on climate patterns. The belief that trees possess spiritual powers that influence weather conditions aligns with studies emphasizing the role of forests in regulating climate </w:t>
      </w:r>
      <w:r>
        <w:rPr>
          <w:rFonts w:cs="Times New Roman"/>
          <w:szCs w:val="24"/>
        </w:rPr>
        <w:fldChar w:fldCharType="begin" w:fldLock="1"/>
      </w:r>
      <w:r>
        <w:rPr>
          <w:rFonts w:cs="Times New Roman"/>
          <w:szCs w:val="24"/>
        </w:rPr>
        <w:instrText>ADDIN CSL_CITATION {"citationItems":[{"id":"ITEM-1","itemData":{"abstract":"Projected temperature increases in Vietnam are similar to the global average, ranging between 1.0 and 3.4°C by 2080–2099 when compared with the 1986–2005 baseline. The range in possible temperature rises highlights the significant differences between 21st century emissions pathways. • Rises in annual maximum and minimum temperatures are expected to be stronger than the rise in average temperature, likely amplifying the impacts on human health, livelihoods, and ecosystems. • There is considerable uncertainty around future precipitation trends and the intensity of extreme events, in particular due to the current generation of climate models’ poor performance simulating El Niño Southern Oscillation (ENSO). • Vietnam’s low-lying coastal and river delta regions have very high vulnerability to rising sea-levels. Depending on the emissions pathway 6–12 million people will potentially be affected by coastal flooding by 2070–2100 without effective adaptation action. • Climate change is likely to increase the population affected by fluvial flooding, projected to be in the range of 3–9 million people by 2035–2044 depending on the emissions pathway. • Losses of agricultural productivity are projected for key food and cash crops, multiple drivers have been proposed, including saline intrusion and shifts in the viable geographical range of plant species. • As temperatures rise the increase in heat stress on the Vietnamese population will lead to negative health outcomes, particularly for poorer communities and outdoor laborers.","author":[{"dropping-particle":"","family":"World Bank","given":"","non-dropping-particle":"","parse-names":false,"suffix":""}],"id":"ITEM-1","issued":{"date-parts":[["2021"]]},"page":"32","title":"Climate risk country profile - Ghana","type":"article-journal"},"uris":["http://www.mendeley.com/documents/?uuid=4959faab-240a-4a2a-ac47-a661ccd5c855"]},{"id":"ITEM-2","itemData":{"abstract":"This maiden revision of Ghana’s national REDD+ strategy was necessitated by major advances and experiences gained on REDD+ after the completion of the initial version in January, 2015. This revised strategy document takes into cognizance the outcomes of the historic climate change agreement adopted at the 21st Conference of the Parties (COP 21) to the United Nations Framework Convention on Climate Change (UNFCCC) in Paris in December, 2015. The Paris Agreement signals a significant milestone in the recognition of the role of REDD+ in the fight against climate change. Article 5 of the Paris Agreement admonishes countries to implement and support REDD+ interventions whereas the Agreement also provides guidance on the approaches to be adopted by countries to fund REDD+ interventions (Decision 55/ CP. 21). The revision of the document was also strongly influenced by the significant progress made in-country in the REDD+ process in the period following the completion of the initial strategy document. During this period, Ghana transitioned from REDD+ readiness to an intermediary stage where REDD+ demonstration activities (under the Forest Investment Programme) and development of Ghana’s first sub-national REDD+ programme (i.e. the Ghana Cocoa Forest REDD+ programme) are being concurrently undertaken. These advances have contributed greatly to a clearer understanding of the form that REDD+ implementation will take in Ghana and have also shaped thinking on the key approaches to be adopted for addressing the drivers of deforestation and forest degradation in a manner consistent with national circumstances. Further inputs for the revision of the strategy document also emanated from the deliberations that took place during the formulation of a Ghana’s Plantation Strategy implementation of which will form an integral component of Ghana’s REDD+ process. In revising the strategy document, a multi-stakeholder participatory approach was adopted to ensure that the revised document reflects current national thinking and aspirations on REDD+ whilst ensuring consistency with emerging international benchmarks and guidance on REDD+. The National REDD+ Secretariat is keen to engage with the wide array of stakeholders that are committed to effective and efficient implementation of this strategy to reverse the spate of deforestation and forest degradation in Ghana and its dire consequences.","author":[{"dropping-particle":"","family":"Forestry Commission","given":"","non-dropping-particle":"","parse-names":false,"suffix":""}],"id":"ITEM-2","issued":{"date-parts":[["2016"]]},"page":"101","title":"Ghana REDD + Strategy (2016-2035)","type":"article-journal"},"uris":["http://www.mendeley.com/documents/?uuid=c7904fed-2e29-42a9-98fc-352cc9e1bf41"]}],"mendeley":{"formattedCitation":"(Forestry Commission, 2016; World Bank, 2021)","plainTextFormattedCitation":"(Forestry Commission, 2016; World Bank, 2021)","previouslyFormattedCitation":"(Forestry Commission, 2016; World Bank, 2021)"},"properties":{"noteIndex":0},"schema":"https://github.com/citation-style-language/schema/raw/master/csl-citation.json"}</w:instrText>
      </w:r>
      <w:r>
        <w:rPr>
          <w:rFonts w:cs="Times New Roman"/>
          <w:szCs w:val="24"/>
        </w:rPr>
        <w:fldChar w:fldCharType="separate"/>
      </w:r>
      <w:r>
        <w:rPr>
          <w:rFonts w:cs="Times New Roman"/>
          <w:noProof/>
          <w:szCs w:val="24"/>
        </w:rPr>
        <w:t>(Forestry Commission, 2016; World Bank, 2021)</w:t>
      </w:r>
      <w:r>
        <w:rPr>
          <w:rFonts w:cs="Times New Roman"/>
          <w:szCs w:val="24"/>
        </w:rPr>
        <w:fldChar w:fldCharType="end"/>
      </w:r>
      <w:r>
        <w:rPr>
          <w:rFonts w:cs="Times New Roman"/>
          <w:szCs w:val="24"/>
        </w:rPr>
        <w:t xml:space="preserve">. Additionally, the recognition of cultural and sacred places as contributors to ecological balance resonates with the findings on the importance of preserving indigenous knowledge for sustainable environmental management </w:t>
      </w:r>
      <w:r>
        <w:rPr>
          <w:rFonts w:cs="Times New Roman"/>
          <w:szCs w:val="24"/>
        </w:rPr>
        <w:fldChar w:fldCharType="begin" w:fldLock="1"/>
      </w:r>
      <w:r>
        <w:rPr>
          <w:rFonts w:cs="Times New Roman"/>
          <w:szCs w:val="24"/>
        </w:rPr>
        <w:instrText>ADDIN CSL_CITATION {"citationItems":[{"id":"ITEM-1","itemData":{"author":[{"dropping-particle":"","family":"Derbile","given":"Emmanuel Kanchebe","non-dropping-particle":"","parse-names":false,"suffix":""}],"id":"ITEM-1","issued":{"date-parts":[["2010"]]},"title":"Local Knowledge and Livelihood Sustainability under Environmental Change in Northern Ghana","type":"article-journal"},"uris":["http://www.mendeley.com/documents/?uuid=b5de56e1-2c06-425b-869f-a93914880470"]}],"mendeley":{"formattedCitation":"(Derbile, 2010)","plainTextFormattedCitation":"(Derbile, 2010)","previouslyFormattedCitation":"(Derbile, 2010)"},"properties":{"noteIndex":0},"schema":"https://github.com/citation-style-language/schema/raw/master/csl-citation.json"}</w:instrText>
      </w:r>
      <w:r>
        <w:rPr>
          <w:rFonts w:cs="Times New Roman"/>
          <w:szCs w:val="24"/>
        </w:rPr>
        <w:fldChar w:fldCharType="separate"/>
      </w:r>
      <w:r>
        <w:rPr>
          <w:rFonts w:cs="Times New Roman"/>
          <w:noProof/>
          <w:szCs w:val="24"/>
        </w:rPr>
        <w:t>(Derbile, 2010)</w:t>
      </w:r>
      <w:r>
        <w:rPr>
          <w:rFonts w:cs="Times New Roman"/>
          <w:szCs w:val="24"/>
        </w:rPr>
        <w:fldChar w:fldCharType="end"/>
      </w:r>
      <w:r>
        <w:rPr>
          <w:rFonts w:cs="Times New Roman"/>
          <w:szCs w:val="24"/>
        </w:rPr>
        <w:t xml:space="preserve">. Furthermore, the pastoralists also connect the </w:t>
      </w:r>
      <w:r>
        <w:rPr>
          <w:rFonts w:cs="Times New Roman"/>
          <w:szCs w:val="24"/>
        </w:rPr>
        <w:lastRenderedPageBreak/>
        <w:t>low rainfall to deforestation, emphasizing the role of environmental degradation in climate change. They also suggest that the increasing nature of deforestation has led to higher wind speeds, which impacts their movement. Studies have shown that deforestation can disrupt rainfall patterns, leading to reduced precipitation in deforested areas</w:t>
      </w:r>
      <w:r>
        <w:rPr>
          <w:rFonts w:cs="Times New Roman"/>
          <w:iCs/>
          <w:szCs w:val="24"/>
        </w:rPr>
        <w:t xml:space="preserve"> </w:t>
      </w:r>
      <w:r>
        <w:rPr>
          <w:rFonts w:cs="Times New Roman"/>
          <w:iCs/>
          <w:szCs w:val="24"/>
        </w:rPr>
        <w:fldChar w:fldCharType="begin" w:fldLock="1"/>
      </w:r>
      <w:r>
        <w:rPr>
          <w:rFonts w:cs="Times New Roman"/>
          <w:iCs/>
          <w:szCs w:val="24"/>
        </w:rPr>
        <w:instrText xml:space="preserve">ADDIN CSL_CITATION {"citationItems":[{"id":"ITEM-1","itemData":{"DOI":"10.1017/CBO9781139177245.006","ISBN":"9781139177245","abstract":"This chapter addresses changes in weather and climate events relevant to extreme impacts and disasters. An extreme (weather or climate) event is generally defined as the occurrence of a value of a weather or climate variable above (or below) a threshold value near the upper (or lower) ends (‘tails’) of the range of observed values of the variable. Some climate extremes (e.g., droughts, floods) may be the result of an accumulation of weather or climate events that are, individually, not extreme themselves (though their accumulation is extreme). As well, weather or climate events, even if not extreme in a statistical sense, can still lead to extreme conditions or impacts, either by crossing a critical threshold in a social, ecological, or physical system, or by occurring simultaneously with other events. A weather system such as a tropical cyclone can have an extreme impact, depending on where and when it approaches landfall, even if the specific cyclone is not extreme relative to other tropical cyclones. Conversely, not all extremes necessarily lead to serious impacts. [3.1] Many weather and climate extremes are the result of natural climate variability (including phenomena such as El Niño), and natural decadal or multi-decadal variations in the climate provide the backdrop for anthropogenic climate changes. Even if there were no anthropogenic changes in climate, a wide variety of natural weather and climate extremes would still occur. [3.1] A changing climate leads to changes in the frequency, intensity, spatial extent, duration, and timing of weather and climate extremes, and can result in unprecedented extremes. Changes in extremes can also be directly related to changes in mean climate, because mean future conditions in some variables are projected to lie within the tails of present-day conditions. Nevertheless, changes in extremes of a climate or weather variable are not always related in a simple way to changes in the mean of the same variable, and in some cases can be of opposite sign to a change in the mean of the variable. Changes in phenomena such as the El Nino-Southern Oscillation or monsoons could affect the frequency and intensity of extremes in several regions simultaneously.","author":[{"dropping-particle":"","family":"Seneviratne","given":"Sonia I.","non-dropping-particle":"","parse-names":false,"suffix":""},{"dropping-particle":"","family":"Nicholls","given":"Neville","non-dropping-particle":"","parse-names":false,"suffix":""},{"dropping-particle":"","family":"Easterling","given":"David","non-dropping-particle":"","parse-names":false,"suffix":""},{"dropping-particle":"","family":"Goodess","given":"Clare M.","non-dropping-particle":"","parse-names":false,"suffix":""},{"dropping-particle":"","family":"Kanae","given":"Shinjiro","non-dropping-particle":"","parse-names":false,"suffix":""},{"dropping-particle":"","family":"Kossin","given":"James","non-dropping-particle":"","parse-names":false,"suffix":""},{"dropping-particle":"","family":"Luo","given":"Yali","non-dropping-particle":"","parse-names":false,"suffix":""},{"dropping-particle":"","family":"Marengo","given":"Jose","non-dropping-particle":"","parse-names":false,"suffix":""},{"dropping-particle":"","family":"Mc Innes","given":"Kathleen","non-dropping-particle":"","parse-names":false,"suffix":""},{"dropping-particle":"","family":"Rahimi","given":"Mohammad","non-dropping-particle":"","parse-names":false,"suffix":""},{"dropping-particle":"","family":"Reichstein","given":"Markus","non-dropping-particle":"","parse-names":false,"suffix":""},{"dropping-particle":"","family":"Sorteberg","given":"Asgeir","non-dropping-particle":"","parse-names":false,"suffix":""},{"dropping-particle":"","family":"Vera","given":"Carolina","non-dropping-particle":"","parse-names":false,"suffix":""},{"dropping-particle":"","family":"Zhang","given":"Xuebin","non-dropping-particle":"","parse-names":false,"suffix":""},{"dropping-particle":"","family":"Rusticucci","given":"Matilde","non-dropping-particle":"","parse-names":false,"suffix":""},{"dropping-particle":"","family":"Semenov","given":"Vladimir","non-dropping-particle":"","parse-names":false,"suffix":""},{"dropping-particle":"V.","family":"Alexander","given":"Lisa","non-dropping-particle":"","parse-names":false,"suffix":""},{"dropping-particle":"","family":"Allen","given":"Simon","non-dropping-particle":"","parse-names":false,"suffix":""},{"dropping-particle":"","family":"Benito","given":"Gerardo","non-dropping-particle":"","parse-names":false,"suffix":""},{"dropping-particle":"","family":"Cavazos","given":"Tereza","non-dropping-particle":"","parse-names":false,"suffix":""},{"dropping-particle":"","family":"Clague","given":"John","non-dropping-particle":"","parse-names":false,"suffix":""},{"dropping-particle":"","family":"Conway","given":"Declan","non-dropping-particle":"","parse-names":false,"suffix":""},{"dropping-particle":"","family":"Della-Marta","given":"Paul M.","non-dropping-particle":"","parse-names":false,"suffix":""},{"dropping-particle":"","family":"Gerber","given":"Markus","non-dropping-particle":"","parse-names":false,"suffix":""},{"dropping-particle":"","family":"Gong","given":"Sunling","non-dropping-particle":"","parse-names":false,"suffix":""},{"dropping-particle":"","family":"Goswami","given":"B. N.","non-dropping-particle":"","parse-names":false,"suffix":""},{"dropping-particle":"","family":"Hemer","given":"Mark","non-dropping-particle":"","parse-names":false,"suffix":""},{"dropping-particle":"","family":"Huggel","given":"Christian","non-dropping-particle":"","parse-names":false,"suffix":""},{"dropping-particle":"","family":"Hurk","given":"Bart","non-dropping-particle":"Van den","parse-names":false,"suffix":""},{"dropping-particle":"V.","family":"Kharin","given":"Viatcheslav","non-dropping-particle":"","parse-names":false,"suffix":""},{"dropping-particle":"","family":"Kitoh","given":"Akio","non-dropping-particle":"","parse-names":false,"suffix":""},{"dropping-particle":"","family":"Klein Tank","given":"Albert M.G.","non-dropping-particle":"","parse-names":false,"suffix":""},{"dropping-particle":"","family":"Li","given":"Guilong","non-dropping-particle":"","parse-names":false,"suffix":""},{"dropping-particle":"","family":"Mason","given":"Simon","non-dropping-particle":"","parse-names":false,"suffix":""},{"dropping-particle":"","family":"Mc Guire","given":"William","non-dropping-particle":"","parse-names":false,"suffix":""},{"dropping-particle":"","family":"Oldenborgh","given":"Geert Jan","non-dropping-particle":"Van","parse-names":false,"suffix":""},{"dropping-particle":"","family":"Orlowsky","given":"Boris","non-dropping-particle":"","parse-names":false,"suffix":""},{"dropping-particle":"","family":"Smith","given":"Sharon","non-dropping-particle":"","parse-names":false,"suffix":""},{"dropping-particle":"","family":"Thiaw","given":"Wassila","non-dropping-particle":"","parse-names":false,"suffix":""},{"dropping-particle":"","family":"Velegrakis","given":"Adonis","non-dropping-particle":"","parse-names":false,"suffix":""},{"dropping-particle":"","family":"Yiou","given":"Pascal","non-dropping-particle":"","parse-names":false,"suffix":""},{"dropping-particle":"","family":"Zhang","given":"Tingjun","non-dropping-particle":"","parse-names":false,"suffix":""},{"dropping-particle":"","family":"Zhou","given":"Tianjun","non-dropping-particle":"","parse-names":false,"suffix":""},{"dropping-particle":"","family":"Zwiers","given":"Francis W.","non-dropping-particle":"","parse-names":false,"suffix":""}],"container-title":"Managing the Risks of Extreme Events and Disasters to Advance Climate Change Adaptation: Special Report of the Intergovernmental Panel on Climate Change","id":"ITEM-1","issued":{"date-parts":[["2012"]]},"page":"109-230","title":"Changes in climate extremes and their impacts on the natural physical environment","type":"article-journal","volume":"9781107025"},"uris":["http://www.mendeley.com/documents/?uuid=8d940645-1a86-4d55-9d29-afc030f561bd"]},{"id":"ITEM-2","itemData":{"DOI":"10.1051/futur:200834131","ISSN":"0337307X","abstract":"As part of the special dossier in this issue on the geopolitical consequences of climate change, we publish here an article on migration linked to climatic phenomena. Drawing on the leading international studies in the field, Étienne Piguet shows the extent to which climate change could give rise to population movements. Reminding us that this is a theme that has received relatively little attention, he begins by defining the concept closely and underlining the importance of terminology in this field. For example, these migrations will be spoken of as \"environmentally induced population movements\" rather than as movements of \"environmental refugees\" - to avoid, among other things, falling foul of the legal regime on refugees as currently defined by the United Nations. He goes on to show what the migratory consequences of global warming might be, as exemplified in three major types of climatic event: storms and floods, droughts and water shortages and, lastly, rises in sea level. As he stresses, this latter phenomenon is probably the only one that would give rise to irreversible migrations (in the other cases, the migrants would generally end up returning to their regions of origin), but it is likely to affect at least 146 million people, if not indeed four times that figure, depending on the time horizon considered. As Piguet reminds us in his concluding remarks, since it is for the moment mainly the industrialized countries that are responsible for the carbon dioxide emissions which are bringing about climate change, it will be difficult for them to wash their hands of responsibility for these potential climate refugees. It is important, then, to gauge the extent of the problem and develop the resources - particularly the preventive resources - to meet it (e.g. combatting global warming, investing in suitable infrastructure, such as protective sea-walls etc.).","author":[{"dropping-particle":"","family":"Piguet","given":"Étienne","non-dropping-particle":"","parse-names":false,"suffix":""}],"container-title":"Futuribles: Analyse et Prospective","id":"ITEM-2","issue":"341","issued":{"date-parts":[["2008"]]},"title":"Migration and climate change","type":"article-journal"},"uris":["http://www.mendeley.com/documents/?uuid=611e569d-f829-4466-ad17-93f07abf16b4"]},{"id":"ITEM-3","itemData":{"DOI":"10.1080/14767058.2017.1347921","ISBN":"9789251089989","ISSN":"1476-7058","PMID":"28651469","abstract":"PURPOSE To evaluate the predictive factors for the development of haemodynamically significant patent ductus arteriosus (PDA) in preterm infants and to study the morbidities associated with the treatment of PDA during the first hospitalization. MATERIALS AND METHODS Data were collected from the Finnish national register of preterm infants (&lt;32 gestational weeks) born in 2005-2013. In total, 3668 infants were included. Morbidities during the first hospitalization were analysed and compared between infants who received treatments for the closure of PDA (n = 1132) and infants who received no treatment for PDA (n = 2536). The results were adjusted for the duration of pregnancy, intrauterine growth pattern, antenatal steroids, delivery hospital and respiratory distress syndrome (RDS). RESULTS RDS and mechanical ventilation were independently associated with an increased risk of PDA requiring treatment. Medical and surgical treatments were associated with the risk of severe bronchopulmonary dysplasia (BPD). Primary surgical ligation was associated with an increased risk of severe intraventricular haemorrhage (IVH) and necrotizing enterocolitis (NEC). Medical treatment itself and also followed by surgical ligation was associated with lower mortality. CONCLUSION The severity of lung disease rather than prematurity per se was associated with the development of PDA requiring therapy. Both medical and surgical therapies for PDA were associated with severe BPD, and primary surgical ligation was associated with NEC and severe IVH.","author":[{"dropping-particle":"","family":"Gitz","given":"Vincent.","non-dropping-particle":"","parse-names":false,"suffix":""},{"dropping-particle":"","family":"Meybeck","given":"Alexandre.","non-dropping-particle":"","parse-names":false,"suffix":""},{"dropping-particle":"","family":"Lipper","given":"Leslie.","non-dropping-particle":"","parse-names":false,"suffix":""},{"dropping-particle":"","family":"Young","given":"Cassandra.","non-dropping-particle":"","parse-names":false,"suffix":""},{"dropping-particle":"","family":"Braatz","given":"Susan.","non-dropping-particle":"","parse-names":false,"suffix":""}],"container-title":"Food and Agriculture Organization of the United Nations","id":"ITEM-3","issued":{"date-parts":[["2016"]]},"number-of-pages":"1-110","title":"Climate change and food security: Risks and responses","type":"book"},"uris":["http://www.mendeley.com/documents/?uuid=afb9f310-3686-4a2c-93cc-ab3210f4b31d"]},{"id":"ITEM-4","itemData":{"ISSN":"20524463","PMID":"32246091","abstract":"CRU TS (Climatic Research Unit gridded Time Series) is a widely used climate dataset on a 0.5° latitude by 0.5° longitude grid over all land domains of the world except Antarctica. It is derived by the interpolation of monthly climate anomalies from extensive networks of weather station observations. Here we describe the construction of a major new version, CRU TS v4. It is updated to span 1901–2018 by the inclusion of additional station observations, and it will be updated annually. The interpolation process has been changed to use angular-distance weighting (ADW), and the production of secondary variables has been </w:instrText>
      </w:r>
      <w:r>
        <w:rPr>
          <w:rFonts w:cs="Times New Roman"/>
          <w:iCs/>
          <w:szCs w:val="24"/>
          <w:lang w:val="fr-FR"/>
        </w:rPr>
        <w:instrText>revised to better suit this approach. This implementation of ADW provides improved traceability between each gridded value and the input observations, and allows more informative diagnostics that dataset users can utilise to assess how dataset quality might vary geographically.","author":[{"dropping-particle":"","family":"Harris","given":"Ian","non-dropping-particle":"","parse-names":false,"suffix":""},{"dropping-particle":"","family":"Osborn","given":"Timothy J.","non-dropping-particle":"","parse-names":false,"suffix":""},{"dropping-particle":"","family":"Jones","given":"Phil","non-dropping-particle":"","parse-names":false,"suffix":""},{"dropping-particle":"","family":"Lister","given":"David","non-dropping-particle":"","parse-names":false,"suffix":""}],"container-title":"Scientific Data","id":"ITEM-4","issue":"1","issued":{"date-parts":[["2020"]]},"title":"Climate Change Knowledge Portal Report","type":"article-journal","volume":"7"},"uris":["http://www.mendeley.com/documents/?uuid=04ad5235-0ee0-45b4-a458-708d08d9cccd"]}],"mendeley":{"formattedCitation":"(Gitz et al., 2016; Harris et al., 2020; Piguet, 2008; Seneviratne et al., 2012)","plainTextFormattedCitation":"(Gitz et al., 2016; Harris et al., 2020; Piguet, 2008; Seneviratne et al., 2012)","previouslyFormattedCitation":"(Gitz et al., 2016; Harris et al., 2020; Piguet, 2008; Seneviratne et al., 2012)"},"properties":{"noteIndex":0},"schema":"https://github.com/citation-style-language/schema/raw/master/csl-citation.json"}</w:instrText>
      </w:r>
      <w:r>
        <w:rPr>
          <w:rFonts w:cs="Times New Roman"/>
          <w:iCs/>
          <w:szCs w:val="24"/>
        </w:rPr>
        <w:fldChar w:fldCharType="separate"/>
      </w:r>
      <w:r>
        <w:rPr>
          <w:rFonts w:cs="Times New Roman"/>
          <w:iCs/>
          <w:noProof/>
          <w:szCs w:val="24"/>
          <w:lang w:val="fr-FR"/>
        </w:rPr>
        <w:t>(Gitz et al., 2016; Harris et al., 2020; Piguet, 2008; Seneviratne et al., 2012)</w:t>
      </w:r>
      <w:r>
        <w:rPr>
          <w:rFonts w:cs="Times New Roman"/>
          <w:iCs/>
          <w:szCs w:val="24"/>
        </w:rPr>
        <w:fldChar w:fldCharType="end"/>
      </w:r>
      <w:r>
        <w:rPr>
          <w:rFonts w:cs="Times New Roman"/>
          <w:szCs w:val="24"/>
          <w:lang w:val="fr-FR"/>
        </w:rPr>
        <w:t xml:space="preserve">. </w:t>
      </w:r>
    </w:p>
    <w:p w:rsidR="00E53882" w:rsidRDefault="00E53882">
      <w:pPr>
        <w:tabs>
          <w:tab w:val="left" w:pos="7260"/>
        </w:tabs>
        <w:spacing w:before="0" w:after="0" w:line="480" w:lineRule="auto"/>
        <w:rPr>
          <w:rFonts w:cs="Times New Roman"/>
          <w:szCs w:val="24"/>
          <w:lang w:val="fr-FR"/>
        </w:rPr>
      </w:pPr>
    </w:p>
    <w:p w:rsidR="00E53882" w:rsidRDefault="00B16FF7">
      <w:pPr>
        <w:pStyle w:val="Heading2"/>
        <w:spacing w:line="480" w:lineRule="auto"/>
      </w:pPr>
      <w:bookmarkStart w:id="101" w:name="_Toc164261724"/>
      <w:r>
        <w:t>5.4 Effects of Climate Change on Pastoralists Livelihood</w:t>
      </w:r>
      <w:bookmarkEnd w:id="101"/>
    </w:p>
    <w:p w:rsidR="00F83D3D" w:rsidRDefault="00B16FF7" w:rsidP="00F83D3D">
      <w:pPr>
        <w:spacing w:before="0" w:after="0" w:line="480" w:lineRule="auto"/>
        <w:rPr>
          <w:rFonts w:cs="Times New Roman"/>
          <w:szCs w:val="24"/>
          <w:lang w:val="en-US"/>
        </w:rPr>
      </w:pPr>
      <w:r>
        <w:rPr>
          <w:rFonts w:cs="Times New Roman"/>
          <w:szCs w:val="24"/>
        </w:rPr>
        <w:t xml:space="preserve">Investigation from FGD revealed four (4) different types of pastoralists’ livelihood. These include livestock rearing (sheep, goat and cattle), farming, selling of provisions and poultry rearing. According to the pastoralists sheep and goats are mainly own by their wives. But in their tradition, women are not allowed to own a property. According to the pastoralist, the main livelihood is the rearing of cattle. They consider farming as second most important livelihood. Sheep, goat and poultry were considered a supplementary livelihood. Selling of provisions is mainly for those who have settle in </w:t>
      </w:r>
      <w:proofErr w:type="spellStart"/>
      <w:r>
        <w:rPr>
          <w:rFonts w:cs="Times New Roman"/>
          <w:szCs w:val="24"/>
        </w:rPr>
        <w:t>Gusheigu</w:t>
      </w:r>
      <w:proofErr w:type="spellEnd"/>
      <w:r>
        <w:rPr>
          <w:rFonts w:cs="Times New Roman"/>
          <w:szCs w:val="24"/>
        </w:rPr>
        <w:t xml:space="preserve"> </w:t>
      </w:r>
      <w:proofErr w:type="gramStart"/>
      <w:r>
        <w:rPr>
          <w:rFonts w:cs="Times New Roman"/>
          <w:szCs w:val="24"/>
        </w:rPr>
        <w:t>township</w:t>
      </w:r>
      <w:proofErr w:type="gramEnd"/>
      <w:r>
        <w:rPr>
          <w:rFonts w:cs="Times New Roman"/>
          <w:szCs w:val="24"/>
        </w:rPr>
        <w:t>. Details of how these livelihoods are affected by climate change were captured in the boxes. In Box 5.1 respondent one (1) describe how climate change affects their cattle rearing</w:t>
      </w:r>
      <w:r>
        <w:rPr>
          <w:rFonts w:cs="Times New Roman"/>
          <w:szCs w:val="24"/>
          <w:lang w:val="en-US"/>
        </w:rPr>
        <w:t>.</w:t>
      </w:r>
      <w:bookmarkStart w:id="102" w:name="_Toc156606820"/>
    </w:p>
    <w:p w:rsidR="00F83D3D" w:rsidRPr="00F83D3D" w:rsidRDefault="00F83D3D" w:rsidP="00F83D3D">
      <w:pPr>
        <w:spacing w:before="0" w:after="0" w:line="480" w:lineRule="auto"/>
        <w:rPr>
          <w:rFonts w:cs="Times New Roman"/>
          <w:b/>
          <w:szCs w:val="24"/>
          <w:lang w:val="en-US"/>
        </w:rPr>
      </w:pPr>
    </w:p>
    <w:tbl>
      <w:tblPr>
        <w:tblStyle w:val="TableGrid"/>
        <w:tblpPr w:leftFromText="187" w:rightFromText="187" w:vertAnchor="text" w:horzAnchor="margin" w:tblpY="488"/>
        <w:tblOverlap w:val="never"/>
        <w:tblW w:w="0" w:type="auto"/>
        <w:tblLook w:val="04A0" w:firstRow="1" w:lastRow="0" w:firstColumn="1" w:lastColumn="0" w:noHBand="0" w:noVBand="1"/>
      </w:tblPr>
      <w:tblGrid>
        <w:gridCol w:w="8918"/>
      </w:tblGrid>
      <w:tr w:rsidR="00EB51F1" w:rsidTr="00EB51F1">
        <w:tc>
          <w:tcPr>
            <w:tcW w:w="8918" w:type="dxa"/>
          </w:tcPr>
          <w:p w:rsidR="00EB51F1" w:rsidRDefault="00EB51F1" w:rsidP="00EB51F1">
            <w:pPr>
              <w:spacing w:before="0" w:after="0" w:line="480" w:lineRule="auto"/>
              <w:rPr>
                <w:rFonts w:cs="Times New Roman"/>
                <w:szCs w:val="24"/>
                <w:lang w:val="en-US"/>
              </w:rPr>
            </w:pPr>
            <w:r>
              <w:rPr>
                <w:rFonts w:cs="Times New Roman"/>
                <w:szCs w:val="24"/>
                <w:lang w:val="en-US"/>
              </w:rPr>
              <w:t xml:space="preserve">For the past two decades, we had been facing unreliable rainfall, couple with poor soil nutrients in this area. But for the past two years, it has become more intense. Last year, some people had to even re-plough their groundnut and maize farms and plant soybeans. They planted, and the seeds germinated and grew to some level, and then the rain stopped, </w:t>
            </w:r>
            <w:r>
              <w:rPr>
                <w:rFonts w:cs="Times New Roman"/>
                <w:szCs w:val="24"/>
                <w:lang w:val="en-US"/>
              </w:rPr>
              <w:lastRenderedPageBreak/>
              <w:t>leading to the death of all the crops again. They had no option but to re-plough the land and use it to plant other crops. We didn’t re-plough, but we had a poor harvest. This year, the same thing happened, and because of that, we had an even lesser harvest than last year.</w:t>
            </w:r>
          </w:p>
        </w:tc>
      </w:tr>
    </w:tbl>
    <w:p w:rsidR="00E53882" w:rsidRPr="00F83D3D" w:rsidRDefault="00B16FF7" w:rsidP="00F83D3D">
      <w:pPr>
        <w:spacing w:before="0" w:after="0" w:line="480" w:lineRule="auto"/>
        <w:rPr>
          <w:rFonts w:cs="Times New Roman"/>
          <w:b/>
          <w:szCs w:val="24"/>
          <w:lang w:val="en-US"/>
        </w:rPr>
      </w:pPr>
      <w:r w:rsidRPr="00F83D3D">
        <w:rPr>
          <w:b/>
        </w:rPr>
        <w:lastRenderedPageBreak/>
        <w:t xml:space="preserve">Box 5.1: How climate change affects Pastoralists Cattle </w:t>
      </w:r>
      <w:proofErr w:type="spellStart"/>
      <w:r w:rsidRPr="00F83D3D">
        <w:rPr>
          <w:b/>
        </w:rPr>
        <w:t>Reari</w:t>
      </w:r>
      <w:bookmarkEnd w:id="102"/>
      <w:r w:rsidRPr="00F83D3D">
        <w:rPr>
          <w:b/>
          <w:lang w:val="en-US"/>
        </w:rPr>
        <w:t>ng</w:t>
      </w:r>
      <w:proofErr w:type="spellEnd"/>
    </w:p>
    <w:p w:rsidR="00F83D3D" w:rsidRDefault="00F83D3D">
      <w:pPr>
        <w:spacing w:before="0" w:after="0" w:line="480" w:lineRule="auto"/>
        <w:rPr>
          <w:rFonts w:cs="Times New Roman"/>
          <w:szCs w:val="24"/>
        </w:rPr>
      </w:pPr>
    </w:p>
    <w:p w:rsidR="00E53882" w:rsidRDefault="00B16FF7">
      <w:pPr>
        <w:spacing w:before="0" w:after="0" w:line="480" w:lineRule="auto"/>
        <w:rPr>
          <w:rFonts w:cs="Times New Roman"/>
          <w:vanish/>
          <w:szCs w:val="24"/>
        </w:rPr>
      </w:pPr>
      <w:r>
        <w:rPr>
          <w:rFonts w:cs="Times New Roman"/>
          <w:szCs w:val="24"/>
        </w:rPr>
        <w:lastRenderedPageBreak/>
        <w:t>They also reported that crop cultivation is another source of livelihood for their household, specifically maize and vegetables for family consumption. They farm mostly in front of their houses. In Box 5.2, respondent three (3) explains how climate change has impacted their crop production.</w:t>
      </w:r>
      <w:r>
        <w:rPr>
          <w:rFonts w:cs="Times New Roman"/>
          <w:vanish/>
          <w:szCs w:val="24"/>
        </w:rPr>
        <w:t>Top of Form</w:t>
      </w:r>
    </w:p>
    <w:p w:rsidR="00E53882" w:rsidRDefault="00E53882">
      <w:pPr>
        <w:pStyle w:val="boxes"/>
        <w:spacing w:before="0" w:after="0"/>
      </w:pPr>
      <w:bookmarkStart w:id="103" w:name="_Toc156606821"/>
    </w:p>
    <w:p w:rsidR="00E53882" w:rsidRDefault="00E53882">
      <w:pPr>
        <w:pStyle w:val="boxes"/>
        <w:spacing w:before="0" w:after="0"/>
      </w:pPr>
    </w:p>
    <w:tbl>
      <w:tblPr>
        <w:tblStyle w:val="TableGrid"/>
        <w:tblpPr w:leftFromText="180" w:rightFromText="180" w:vertAnchor="text" w:horzAnchor="margin" w:tblpY="333"/>
        <w:tblW w:w="9341" w:type="dxa"/>
        <w:tblLook w:val="04A0" w:firstRow="1" w:lastRow="0" w:firstColumn="1" w:lastColumn="0" w:noHBand="0" w:noVBand="1"/>
      </w:tblPr>
      <w:tblGrid>
        <w:gridCol w:w="9341"/>
      </w:tblGrid>
      <w:tr w:rsidR="00204C37" w:rsidTr="00204C37">
        <w:trPr>
          <w:trHeight w:val="2903"/>
        </w:trPr>
        <w:tc>
          <w:tcPr>
            <w:tcW w:w="9341" w:type="dxa"/>
          </w:tcPr>
          <w:p w:rsidR="00204C37" w:rsidRDefault="00204C37" w:rsidP="00204C37">
            <w:pPr>
              <w:spacing w:before="0" w:after="0" w:line="360" w:lineRule="auto"/>
              <w:rPr>
                <w:rFonts w:cs="Times New Roman"/>
                <w:szCs w:val="24"/>
                <w:lang w:val="en-US"/>
              </w:rPr>
            </w:pPr>
            <w:r>
              <w:rPr>
                <w:rFonts w:cs="Times New Roman"/>
                <w:szCs w:val="24"/>
                <w:lang w:val="en-US"/>
              </w:rPr>
              <w:t xml:space="preserve">Years ago, there was enough water for our cattle to drink in this community, but recently, it is no longer like that. Some of the rivers around this area used not to get completely dry; even if the water is drying up, there will still be little water for the animals to depend on until it starts raining. But because of the heat and unreliable rainfall we are experiencing now, all the water bodies around us get completely dry. They are also affected by diseases because of long distance they have to cover before getting water and this reduced livestock productivity and increased mortality rates. </w:t>
            </w:r>
          </w:p>
        </w:tc>
      </w:tr>
    </w:tbl>
    <w:p w:rsidR="00E53882" w:rsidRDefault="00B16FF7">
      <w:pPr>
        <w:pStyle w:val="boxes"/>
        <w:spacing w:before="0" w:after="0"/>
      </w:pPr>
      <w:r>
        <w:t>Box 5.2: How Climatic Factors Affects Pastoralists Food Crop Farming</w:t>
      </w:r>
      <w:bookmarkEnd w:id="103"/>
    </w:p>
    <w:p w:rsidR="00E53882" w:rsidRDefault="00E53882">
      <w:pPr>
        <w:spacing w:line="480" w:lineRule="auto"/>
        <w:rPr>
          <w:rFonts w:cs="Times New Roman"/>
          <w:szCs w:val="24"/>
        </w:rPr>
      </w:pPr>
    </w:p>
    <w:p w:rsidR="00E53882" w:rsidRDefault="00B16FF7">
      <w:pPr>
        <w:spacing w:line="480" w:lineRule="auto"/>
        <w:rPr>
          <w:rFonts w:cs="Times New Roman"/>
          <w:szCs w:val="24"/>
        </w:rPr>
      </w:pPr>
      <w:r>
        <w:rPr>
          <w:rFonts w:cs="Times New Roman"/>
          <w:szCs w:val="24"/>
        </w:rPr>
        <w:t>They points to the devastating effects of climate change on their crop farming. According to the pastoralists their household cannot rely on cattle and farming alone to provide food for the family. As they said, there have been unreliable rainfall and the soil nutrients too have depleted making it difficult to secure high yield during farming season. The cattle too are affected by range of diseases in their quest to search for food and water, which sometimes leads to death and low production. As a result, they have to find a supplementary livelihood to support their family's needs. In Box 5.3, respondent six (6) describes their households’ supplementary livelihood.</w:t>
      </w:r>
    </w:p>
    <w:p w:rsidR="00E53882" w:rsidRDefault="00B16FF7">
      <w:pPr>
        <w:pStyle w:val="boxes"/>
      </w:pPr>
      <w:bookmarkStart w:id="104" w:name="_Toc156606822"/>
      <w:r>
        <w:lastRenderedPageBreak/>
        <w:t>Box 5.3: How Climate Change Affects Pastoralist Sheep and Goats Rearing</w:t>
      </w:r>
      <w:bookmarkEnd w:id="104"/>
      <w:r>
        <w:t xml:space="preserve"> </w:t>
      </w:r>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b/>
                <w:szCs w:val="24"/>
                <w:lang w:val="en-US"/>
              </w:rPr>
            </w:pPr>
            <w:r>
              <w:rPr>
                <w:rFonts w:cs="Times New Roman"/>
                <w:szCs w:val="24"/>
                <w:lang w:val="en-US"/>
              </w:rPr>
              <w:t>When our wives milked the cattle and sold the cow milk during the rainy season, we saved some of the money they had to buy sheep and goats for them to take care of them. During hard times, we sell some of the goats or the sheep to buy food and leave some for-emergency situations. Recently, because of the heat we are experiencing now, they are affected by strange diseases and some of them are dying. We are even afraid to eat them, when they are sick and we slaughter them. It has even affected their production. Goats seem to be more tolerant than the sheep. They are not falling sick and dying like the sheep, it is just that they are growing lean because there is insufficient grass for them to graze on</w:t>
            </w:r>
          </w:p>
        </w:tc>
      </w:tr>
    </w:tbl>
    <w:p w:rsidR="00E53882" w:rsidRDefault="00E53882">
      <w:pPr>
        <w:spacing w:after="0" w:line="480" w:lineRule="auto"/>
        <w:rPr>
          <w:rFonts w:cs="Times New Roman"/>
          <w:szCs w:val="24"/>
        </w:rPr>
      </w:pPr>
    </w:p>
    <w:p w:rsidR="00FA25E9" w:rsidRDefault="00B16FF7">
      <w:pPr>
        <w:spacing w:line="480" w:lineRule="auto"/>
        <w:rPr>
          <w:rFonts w:cs="Times New Roman"/>
          <w:szCs w:val="24"/>
        </w:rPr>
      </w:pPr>
      <w:r>
        <w:rPr>
          <w:rFonts w:cs="Times New Roman"/>
          <w:szCs w:val="24"/>
        </w:rPr>
        <w:t>Pastoralists also rear poultry as a supplementary livelihood for the sustenance of the family. According to the participants’ rearing poultry has become more thought-provoking nowadays and requires additional work to sustain it as a supplementary livelihood. Box 5.4: respondent four (4) describe how climate change affects poultry health, which have significantly disrupted their traditional way of life.</w:t>
      </w:r>
    </w:p>
    <w:p w:rsidR="00E53882" w:rsidRDefault="00B16FF7">
      <w:pPr>
        <w:pStyle w:val="figures"/>
      </w:pPr>
      <w:r>
        <w:t>Box 5.4: How Climate Change Affects Poultry health (Supplementary Livelihood)</w:t>
      </w:r>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lang w:val="en-US"/>
              </w:rPr>
            </w:pPr>
            <w:r>
              <w:rPr>
                <w:rFonts w:cs="Times New Roman"/>
                <w:szCs w:val="24"/>
                <w:lang w:val="en-US"/>
              </w:rPr>
              <w:t xml:space="preserve">We also have fowls and guinea fowls that we are taking care of in addition to the cattle. These poultry are good for us; they are very helpful for the sustenance of the family. Even though production is not like the past, we thank God that they released us from hardship. There are days that you wake up and you don’t have anything to eat. You can sell some of </w:t>
            </w:r>
            <w:r>
              <w:rPr>
                <w:rFonts w:cs="Times New Roman"/>
                <w:szCs w:val="24"/>
                <w:lang w:val="en-US"/>
              </w:rPr>
              <w:lastRenderedPageBreak/>
              <w:t xml:space="preserve">them instantly to cater for the family. Because of the intense heat we are experiencing now, the fouls and guinea fouls are affected by strange diseases, and because of that, some of them are dying. You can just see them in the morning, and by evening, they will be dead. </w:t>
            </w:r>
          </w:p>
        </w:tc>
      </w:tr>
    </w:tbl>
    <w:p w:rsidR="00E53882" w:rsidRDefault="00E53882">
      <w:pPr>
        <w:spacing w:after="0" w:line="480" w:lineRule="auto"/>
        <w:rPr>
          <w:rFonts w:cs="Times New Roman"/>
          <w:szCs w:val="24"/>
        </w:rPr>
      </w:pPr>
    </w:p>
    <w:p w:rsidR="00E53882" w:rsidRDefault="00B16FF7">
      <w:pPr>
        <w:spacing w:before="0" w:after="0" w:line="480" w:lineRule="auto"/>
        <w:rPr>
          <w:rFonts w:cs="Times New Roman"/>
          <w:szCs w:val="24"/>
        </w:rPr>
      </w:pPr>
      <w:r>
        <w:rPr>
          <w:rFonts w:cs="Times New Roman"/>
          <w:szCs w:val="24"/>
        </w:rPr>
        <w:t>They point to the devastating effects of diseases in their attempts to rear poultry and livestock. They narrated that they lost most of their poultry and livestock to diseases every year. According to some of the participants</w:t>
      </w:r>
      <w:r>
        <w:rPr>
          <w:rFonts w:cs="Times New Roman"/>
          <w:b/>
          <w:szCs w:val="24"/>
        </w:rPr>
        <w:t xml:space="preserve"> </w:t>
      </w:r>
      <w:r>
        <w:rPr>
          <w:rFonts w:cs="Times New Roman"/>
          <w:szCs w:val="24"/>
        </w:rPr>
        <w:t xml:space="preserve">their family members who have migrated to southern part of Ghana have been very helpful. They support them with money to help take care of the family. They further explained that, they have been buying grains from the market whenever they run short of it. They stresses that buying from the market has become a normal routine for everybody, even the </w:t>
      </w:r>
      <w:proofErr w:type="spellStart"/>
      <w:r>
        <w:rPr>
          <w:rFonts w:cs="Times New Roman"/>
          <w:szCs w:val="24"/>
        </w:rPr>
        <w:t>Dagomba</w:t>
      </w:r>
      <w:proofErr w:type="spellEnd"/>
      <w:r>
        <w:rPr>
          <w:rFonts w:cs="Times New Roman"/>
          <w:szCs w:val="24"/>
        </w:rPr>
        <w:t xml:space="preserve"> people. Because of the poor harvest, no household has sufficient food to feed throughout the year. They further explained that, some of them are engaged in selling provision. But they specifically mentioned that, this form of livelihood is undertaken by the very few who settle in township of the study area. </w:t>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szCs w:val="24"/>
        </w:rPr>
      </w:pPr>
      <w:r>
        <w:rPr>
          <w:rFonts w:cs="Times New Roman"/>
          <w:szCs w:val="24"/>
        </w:rPr>
        <w:t xml:space="preserve">From the above analysis, it is clear that livelihood diversification remains a fundamental part of pastoralists' local knowledge. With climate change, livestock has remained the primary source of livelihood, but changing trends have been observed in livelihood portfolios. These changes are due to the need to adapt to climate change in the study area to minimize the risk of livelihood failure. Although livestock farming remains a major source of livelihood, it was found that livestock farmers are gradually turning away from livestock farming due to vulnerability to climate change. Instead, there is increasing emphasis on secondary livelihoods, which have proven to be essential not only to the social sustainability of pastoral </w:t>
      </w:r>
      <w:r>
        <w:rPr>
          <w:rFonts w:cs="Times New Roman"/>
          <w:szCs w:val="24"/>
        </w:rPr>
        <w:lastRenderedPageBreak/>
        <w:t>livelihoods, but also to environmental sustainability. The livelihood strategies reflect the general pattern of pastoralists in the study area and how climate change has affected them.</w:t>
      </w:r>
    </w:p>
    <w:p w:rsidR="00E53882" w:rsidRDefault="00E53882">
      <w:pPr>
        <w:spacing w:before="0" w:after="0" w:line="480" w:lineRule="auto"/>
        <w:rPr>
          <w:rFonts w:cs="Times New Roman"/>
          <w:szCs w:val="24"/>
        </w:rPr>
      </w:pPr>
    </w:p>
    <w:tbl>
      <w:tblPr>
        <w:tblStyle w:val="TableGrid"/>
        <w:tblW w:w="0" w:type="auto"/>
        <w:tblLook w:val="04A0" w:firstRow="1" w:lastRow="0" w:firstColumn="1" w:lastColumn="0" w:noHBand="0" w:noVBand="1"/>
      </w:tblPr>
      <w:tblGrid>
        <w:gridCol w:w="8918"/>
      </w:tblGrid>
      <w:tr w:rsidR="00E53882">
        <w:trPr>
          <w:hidden/>
        </w:trPr>
        <w:tc>
          <w:tcPr>
            <w:tcW w:w="9350" w:type="dxa"/>
          </w:tcPr>
          <w:p w:rsidR="00E53882" w:rsidRDefault="00E53882">
            <w:pPr>
              <w:spacing w:line="480" w:lineRule="auto"/>
              <w:rPr>
                <w:vanish/>
                <w:lang w:val="en-US"/>
              </w:rPr>
            </w:pPr>
          </w:p>
        </w:tc>
      </w:tr>
    </w:tbl>
    <w:p w:rsidR="00E53882" w:rsidRDefault="00B16FF7">
      <w:pPr>
        <w:pStyle w:val="Heading2"/>
        <w:spacing w:before="0" w:after="0" w:line="480" w:lineRule="auto"/>
        <w:rPr>
          <w:rFonts w:eastAsia="Times New Roman"/>
        </w:rPr>
      </w:pPr>
      <w:bookmarkStart w:id="105" w:name="_Toc164261725"/>
      <w:r>
        <w:rPr>
          <w:rFonts w:eastAsia="Times New Roman"/>
        </w:rPr>
        <w:t>5.5 Effects of Climate Change on Cattle</w:t>
      </w:r>
      <w:bookmarkEnd w:id="105"/>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The KI interview revealed that cattle are affected as a result of moving from one place to another in search of water and grasses due to unpredictable rainfall patterns and high temperatures, which result in drought. The below narration was captured:</w:t>
      </w:r>
    </w:p>
    <w:p w:rsidR="00E53882" w:rsidRDefault="00B16FF7">
      <w:pPr>
        <w:spacing w:before="0" w:after="0" w:line="480" w:lineRule="auto"/>
        <w:ind w:left="630"/>
        <w:rPr>
          <w:rFonts w:eastAsia="Times New Roman" w:cs="Times New Roman"/>
          <w:color w:val="252525"/>
          <w:szCs w:val="24"/>
        </w:rPr>
      </w:pPr>
      <w:r>
        <w:rPr>
          <w:rFonts w:eastAsia="Times New Roman" w:cs="Times New Roman"/>
          <w:i/>
          <w:iCs/>
          <w:color w:val="252525"/>
          <w:szCs w:val="24"/>
        </w:rPr>
        <w:t xml:space="preserve">They can walk for like 10 miles to graze and turn back to drink water, or if there is no water in the nearby place, they have to move, like here to </w:t>
      </w:r>
      <w:proofErr w:type="spellStart"/>
      <w:r>
        <w:rPr>
          <w:rFonts w:eastAsia="Times New Roman" w:cs="Times New Roman"/>
          <w:i/>
          <w:iCs/>
          <w:color w:val="252525"/>
          <w:szCs w:val="24"/>
        </w:rPr>
        <w:t>Zantili</w:t>
      </w:r>
      <w:proofErr w:type="spellEnd"/>
      <w:r>
        <w:rPr>
          <w:rFonts w:eastAsia="Times New Roman" w:cs="Times New Roman"/>
          <w:i/>
          <w:iCs/>
          <w:color w:val="252525"/>
          <w:szCs w:val="24"/>
        </w:rPr>
        <w:t xml:space="preserve">, to drink water. If cattle have to move from morning up to that place to drink water, as they are walking, the dust created by those in front is inhaled by those at the back. When it rains and they graze on wet grass, that is when you see some of them dying. The lungs are dry because the dust keeps accumulating, and all this is a result of the absence of water. But if there is water close by and they begin to move, they will just graze to the water point, drink, and come back again to the house without anything, says the 61-year-old pastoralist. </w:t>
      </w:r>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 xml:space="preserve">By drawing from the narration above, we have realized that cattle are susceptible to various lung diseases, and exposure to dust can be a contributing factor to some of these conditions.  According to a veterinary officer in the study, one of the most common lung diseases associated with dust exposure in cattle is bovine respiratory disease (BRD). Dusty environments weaken cattle's respiratory defences, making them more susceptible to BRD-causing pathogens. Another lung disease that was identified to be associated with dust exposure in cattle is chronic obstructive pulmonary disease (COPD), also known as </w:t>
      </w:r>
      <w:r>
        <w:rPr>
          <w:rFonts w:eastAsia="Times New Roman" w:cs="Times New Roman"/>
          <w:color w:val="252525"/>
          <w:szCs w:val="24"/>
        </w:rPr>
        <w:lastRenderedPageBreak/>
        <w:t>heaves.  Dusty environments can exacerbate COPD symptoms, making it more challenging for affected cattle to breathe comfortably (Key Informant Interview, 2023).</w:t>
      </w:r>
    </w:p>
    <w:p w:rsidR="00204C37" w:rsidRDefault="00B16FF7">
      <w:pPr>
        <w:spacing w:before="0" w:after="0" w:line="480" w:lineRule="auto"/>
        <w:rPr>
          <w:rFonts w:eastAsia="Times New Roman" w:cs="Times New Roman"/>
          <w:color w:val="252525"/>
          <w:szCs w:val="24"/>
        </w:rPr>
      </w:pPr>
      <w:r>
        <w:rPr>
          <w:rFonts w:eastAsia="Times New Roman" w:cs="Times New Roman"/>
          <w:color w:val="252525"/>
          <w:szCs w:val="24"/>
        </w:rPr>
        <w:t>This highlights the importance of access to water for cattle and how a lack of it can lead to health</w:t>
      </w:r>
      <w:r w:rsidR="00204C37">
        <w:rPr>
          <w:rFonts w:eastAsia="Times New Roman" w:cs="Times New Roman"/>
          <w:color w:val="252525"/>
          <w:szCs w:val="24"/>
        </w:rPr>
        <w:t>….</w:t>
      </w:r>
    </w:p>
    <w:p w:rsidR="00E53882" w:rsidRDefault="00B16FF7">
      <w:pPr>
        <w:spacing w:before="0" w:after="0" w:line="480" w:lineRule="auto"/>
        <w:rPr>
          <w:rFonts w:eastAsia="Times New Roman" w:cs="Times New Roman"/>
          <w:color w:val="252525"/>
          <w:szCs w:val="24"/>
        </w:rPr>
      </w:pPr>
      <w:r>
        <w:rPr>
          <w:rFonts w:eastAsia="Times New Roman" w:cs="Times New Roman"/>
          <w:color w:val="252525"/>
          <w:szCs w:val="24"/>
        </w:rPr>
        <w:t xml:space="preserve"> </w:t>
      </w:r>
      <w:proofErr w:type="gramStart"/>
      <w:r>
        <w:rPr>
          <w:rFonts w:eastAsia="Times New Roman" w:cs="Times New Roman"/>
          <w:color w:val="252525"/>
          <w:szCs w:val="24"/>
        </w:rPr>
        <w:t>problems</w:t>
      </w:r>
      <w:proofErr w:type="gramEnd"/>
      <w:r>
        <w:rPr>
          <w:rFonts w:eastAsia="Times New Roman" w:cs="Times New Roman"/>
          <w:color w:val="252525"/>
          <w:szCs w:val="24"/>
        </w:rPr>
        <w:t xml:space="preserve"> caused by dust. It also stresses the vulnerability of animals to environmental factors beyond their control and the need for people to pay attention to their welfare. The picture below shows cattle moving in search of water.</w:t>
      </w:r>
    </w:p>
    <w:p w:rsidR="00EB51F1" w:rsidRDefault="00B16FF7">
      <w:pPr>
        <w:spacing w:before="100" w:beforeAutospacing="1" w:after="100" w:afterAutospacing="1" w:line="480" w:lineRule="auto"/>
        <w:rPr>
          <w:rStyle w:val="platiChar"/>
        </w:rPr>
      </w:pPr>
      <w:r>
        <w:rPr>
          <w:rFonts w:eastAsia="Times New Roman" w:cs="Times New Roman"/>
          <w:noProof/>
          <w:color w:val="252525"/>
          <w:szCs w:val="24"/>
          <w:lang w:val="en-US"/>
        </w:rPr>
        <w:drawing>
          <wp:inline distT="0" distB="0" distL="0" distR="0" wp14:anchorId="3F5060B2" wp14:editId="099A66A8">
            <wp:extent cx="5943600" cy="426974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5944509" cy="4270503"/>
                    </a:xfrm>
                    <a:prstGeom prst="rect">
                      <a:avLst/>
                    </a:prstGeom>
                  </pic:spPr>
                </pic:pic>
              </a:graphicData>
            </a:graphic>
          </wp:inline>
        </w:drawing>
      </w:r>
    </w:p>
    <w:p w:rsidR="00E53882" w:rsidRPr="00EB51F1" w:rsidRDefault="00B16FF7" w:rsidP="00EB51F1">
      <w:pPr>
        <w:pStyle w:val="plati"/>
        <w:rPr>
          <w:rStyle w:val="platiChar"/>
          <w:b/>
          <w:iCs/>
        </w:rPr>
      </w:pPr>
      <w:bookmarkStart w:id="106" w:name="_Toc164372819"/>
      <w:r w:rsidRPr="00EB51F1">
        <w:rPr>
          <w:rStyle w:val="platiChar"/>
          <w:b/>
          <w:iCs/>
        </w:rPr>
        <w:t>Field Photo, 2023. Cattle moving towards river bank to drink water after grazing</w:t>
      </w:r>
      <w:bookmarkEnd w:id="106"/>
    </w:p>
    <w:p w:rsidR="00E53882" w:rsidRDefault="00B16FF7">
      <w:pPr>
        <w:spacing w:before="100" w:beforeAutospacing="1" w:after="100" w:afterAutospacing="1" w:line="480" w:lineRule="auto"/>
        <w:rPr>
          <w:rFonts w:eastAsia="Times New Roman" w:cs="Times New Roman"/>
          <w:i/>
          <w:iCs/>
          <w:color w:val="252525"/>
          <w:szCs w:val="24"/>
        </w:rPr>
      </w:pPr>
      <w:r>
        <w:rPr>
          <w:rFonts w:eastAsia="Times New Roman" w:cs="Times New Roman"/>
          <w:color w:val="252525"/>
          <w:szCs w:val="24"/>
        </w:rPr>
        <w:t>The other respondents explained that</w:t>
      </w:r>
      <w:r>
        <w:rPr>
          <w:rFonts w:eastAsia="Times New Roman" w:cs="Times New Roman"/>
          <w:i/>
          <w:iCs/>
          <w:color w:val="252525"/>
          <w:szCs w:val="24"/>
        </w:rPr>
        <w:t> </w:t>
      </w:r>
    </w:p>
    <w:p w:rsidR="00E53882" w:rsidRDefault="00B16FF7">
      <w:pPr>
        <w:spacing w:before="100" w:beforeAutospacing="1" w:after="100" w:afterAutospacing="1" w:line="480" w:lineRule="auto"/>
        <w:ind w:left="720"/>
        <w:rPr>
          <w:rFonts w:eastAsia="Times New Roman" w:cs="Times New Roman"/>
          <w:i/>
          <w:iCs/>
          <w:color w:val="252525"/>
          <w:szCs w:val="24"/>
        </w:rPr>
      </w:pPr>
      <w:r>
        <w:rPr>
          <w:rFonts w:eastAsia="Times New Roman" w:cs="Times New Roman"/>
          <w:i/>
          <w:iCs/>
          <w:color w:val="252525"/>
          <w:szCs w:val="24"/>
        </w:rPr>
        <w:lastRenderedPageBreak/>
        <w:t xml:space="preserve">In pastoralism, when daybreak comes and you milk the cattle, you will first send them to where water is; they will be grazing on the little grasses that they found on the way till they reach the riverside and drink the water. When they drink the water in the morning, it will create chances in their intestines. So whatever grass it comes across, it will be able to graze on it. When they graze on like that, it makes them healthy, so they will be able to feed until the evening without any problem. But if you allow them to graze until the evening before you send them to drink water, it is not good for their health. So, in the past, we used to send them to drink in the morning, afternoon, and evening (says the 54-year-old retired </w:t>
      </w:r>
      <w:proofErr w:type="spellStart"/>
      <w:r>
        <w:rPr>
          <w:rFonts w:eastAsia="Times New Roman" w:cs="Times New Roman"/>
          <w:i/>
          <w:iCs/>
          <w:color w:val="252525"/>
          <w:szCs w:val="24"/>
        </w:rPr>
        <w:t>Dagomba</w:t>
      </w:r>
      <w:proofErr w:type="spellEnd"/>
      <w:r>
        <w:rPr>
          <w:rFonts w:eastAsia="Times New Roman" w:cs="Times New Roman"/>
          <w:i/>
          <w:iCs/>
          <w:color w:val="252525"/>
          <w:szCs w:val="24"/>
        </w:rPr>
        <w:t xml:space="preserve"> pastoralists, in-depth interview). </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This explains the appropriate way cattle should be allowed to drink water. But due to the adverse effects of climate change, they are only allowed to drink once a day, which has a strong effect on their health.</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 xml:space="preserve">The general consensus was that dry spells have a negative impact on the growth of cattle. It was revealed that: </w:t>
      </w:r>
    </w:p>
    <w:p w:rsidR="00E53882" w:rsidRDefault="00B16FF7">
      <w:pPr>
        <w:spacing w:before="100" w:beforeAutospacing="1" w:after="100" w:afterAutospacing="1" w:line="480" w:lineRule="auto"/>
        <w:ind w:left="720"/>
        <w:rPr>
          <w:rFonts w:eastAsia="Times New Roman" w:cs="Times New Roman"/>
          <w:color w:val="252525"/>
          <w:szCs w:val="24"/>
        </w:rPr>
      </w:pPr>
      <w:r>
        <w:rPr>
          <w:rFonts w:eastAsia="Times New Roman" w:cs="Times New Roman"/>
          <w:color w:val="252525"/>
          <w:szCs w:val="24"/>
        </w:rPr>
        <w:t>“</w:t>
      </w:r>
      <w:r>
        <w:rPr>
          <w:rFonts w:eastAsia="Times New Roman" w:cs="Times New Roman"/>
          <w:i/>
          <w:iCs/>
          <w:color w:val="252525"/>
          <w:szCs w:val="24"/>
        </w:rPr>
        <w:t>During the dry season, the animals grow lean because of the heat and the absence of grass and water. But when it began to rain, fresh grass started growing up, and when the animals fed on it, they began to grow fat. But when the rain stops again, you will see the animals reducing again,”</w:t>
      </w:r>
      <w:r>
        <w:rPr>
          <w:rFonts w:eastAsia="Times New Roman" w:cs="Times New Roman"/>
          <w:color w:val="252525"/>
          <w:szCs w:val="24"/>
        </w:rPr>
        <w:t xml:space="preserve"> says the 40-year-old pastoralist on June 23, 2023.</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This general observation was different from the view of a 61-year-old pastoralist. He was of the view that:</w:t>
      </w:r>
    </w:p>
    <w:p w:rsidR="00E53882" w:rsidRDefault="00B16FF7">
      <w:pPr>
        <w:spacing w:before="100" w:beforeAutospacing="1" w:after="100" w:afterAutospacing="1" w:line="480" w:lineRule="auto"/>
        <w:ind w:left="720"/>
        <w:rPr>
          <w:rFonts w:eastAsia="Times New Roman" w:cs="Times New Roman"/>
          <w:color w:val="252525"/>
          <w:szCs w:val="24"/>
        </w:rPr>
      </w:pPr>
      <w:r>
        <w:rPr>
          <w:rFonts w:eastAsia="Times New Roman" w:cs="Times New Roman"/>
          <w:color w:val="252525"/>
          <w:szCs w:val="24"/>
        </w:rPr>
        <w:lastRenderedPageBreak/>
        <w:t xml:space="preserve"> “</w:t>
      </w:r>
      <w:r>
        <w:rPr>
          <w:rFonts w:eastAsia="Times New Roman" w:cs="Times New Roman"/>
          <w:i/>
          <w:iCs/>
          <w:color w:val="252525"/>
          <w:szCs w:val="24"/>
        </w:rPr>
        <w:t>Dry spells do not affect our cattle; there are some dry spells, and those dry spells give our cattle a healthier life than if it were raining. If a grass grows to a certain level and there is a dry spell, the grass has started maturing, and the water there is sweet. When there is a dry spell, the water will dry up and leave the grasses. At that moment, the grasses will look half-dry. When they are grazing on those grasses, you will see that those animals will look better than when it is always raining. Dry spells do not affect cattle. Even if there is a dry spell for 2 or 3 months consecutively, the grasses at that time, when they graze it, it impacts them positively. But when it is raining all the time and the grasses are greener, they are unable to graze it to their satisfaction. If you observe, when it begins to rain and the grasses are like this, cattle graze it a lot, but when it grows a lot, they select and graze not all the grasses that they are interested in</w:t>
      </w:r>
      <w:r>
        <w:rPr>
          <w:rFonts w:eastAsia="Times New Roman" w:cs="Times New Roman"/>
          <w:color w:val="252525"/>
          <w:szCs w:val="24"/>
        </w:rPr>
        <w:t xml:space="preserve">”. </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This suggests that dry spells have a positive impact on cattle, even though it can be a challenging issue for other livelihood strategies such as agriculture.</w:t>
      </w:r>
    </w:p>
    <w:p w:rsidR="00E53882" w:rsidRDefault="00E53882">
      <w:pPr>
        <w:spacing w:before="100" w:beforeAutospacing="1" w:after="100" w:afterAutospacing="1" w:line="480" w:lineRule="auto"/>
        <w:rPr>
          <w:rFonts w:eastAsia="Times New Roman" w:cs="Times New Roman"/>
          <w:color w:val="252525"/>
          <w:szCs w:val="24"/>
        </w:rPr>
      </w:pPr>
    </w:p>
    <w:p w:rsidR="00E53882" w:rsidRDefault="00B16FF7">
      <w:pPr>
        <w:spacing w:after="0" w:line="480" w:lineRule="auto"/>
        <w:rPr>
          <w:rFonts w:cs="Times New Roman"/>
          <w:i/>
          <w:szCs w:val="24"/>
        </w:rPr>
      </w:pPr>
      <w:r>
        <w:rPr>
          <w:rFonts w:cs="Times New Roman"/>
          <w:i/>
          <w:noProof/>
          <w:szCs w:val="24"/>
          <w:lang w:val="en-US"/>
        </w:rPr>
        <w:lastRenderedPageBreak/>
        <w:drawing>
          <wp:inline distT="0" distB="0" distL="0" distR="0" wp14:anchorId="0360F448" wp14:editId="398818F1">
            <wp:extent cx="5772785" cy="4051935"/>
            <wp:effectExtent l="0" t="0" r="0" b="5715"/>
            <wp:docPr id="8" name="Picture 8" descr="C:\Users\User\Desktop\qqww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Users\User\Desktop\qqwww.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5774818" cy="4053209"/>
                    </a:xfrm>
                    <a:prstGeom prst="rect">
                      <a:avLst/>
                    </a:prstGeom>
                    <a:noFill/>
                    <a:ln>
                      <a:noFill/>
                    </a:ln>
                  </pic:spPr>
                </pic:pic>
              </a:graphicData>
            </a:graphic>
          </wp:inline>
        </w:drawing>
      </w:r>
    </w:p>
    <w:p w:rsidR="00E53882" w:rsidRPr="00204C37" w:rsidRDefault="00B16FF7" w:rsidP="00EB51F1">
      <w:pPr>
        <w:pStyle w:val="plati"/>
      </w:pPr>
      <w:bookmarkStart w:id="107" w:name="_Toc164372820"/>
      <w:r w:rsidRPr="00204C37">
        <w:t>Field Photo, 2023: Cattle grazing dry grasses</w:t>
      </w:r>
      <w:bookmarkEnd w:id="107"/>
    </w:p>
    <w:p w:rsidR="00E53882" w:rsidRDefault="00B16FF7">
      <w:pPr>
        <w:spacing w:after="0" w:line="480" w:lineRule="auto"/>
        <w:rPr>
          <w:rFonts w:cs="Times New Roman"/>
          <w:szCs w:val="24"/>
        </w:rPr>
      </w:pPr>
      <w:r>
        <w:rPr>
          <w:rFonts w:cs="Times New Roman"/>
          <w:szCs w:val="24"/>
        </w:rPr>
        <w:t xml:space="preserve">The results show the effects of climate change on cattle. It highlights the challenges they have to face in search of water and the implications it has on their health. When there is an irregular rainfall pattern and high temperature it may lead to drought or dry spells, hence reducing the availability of water and grass for the animals. When it happens like this, they have to move for a considerable distance in search of these resources to sustain their livelihood. During these movements, they inhale dust created through their movements, which has negative effects on their health and well-being. This shows the association between the well-being of cattle and the availability of resources that are essential for them. This finding collaborates with the studies of other scholars who found that long drought periods reduce the availability of resources (water and grass), which leads to a decrease in cattle production and an increase </w:t>
      </w:r>
      <w:r>
        <w:rPr>
          <w:rFonts w:cs="Times New Roman"/>
          <w:szCs w:val="24"/>
        </w:rPr>
        <w:lastRenderedPageBreak/>
        <w:t xml:space="preserve">in their mortality rate </w:t>
      </w:r>
      <w:r>
        <w:rPr>
          <w:rFonts w:cs="Times New Roman"/>
          <w:szCs w:val="24"/>
        </w:rPr>
        <w:fldChar w:fldCharType="begin" w:fldLock="1"/>
      </w:r>
      <w:r>
        <w:rPr>
          <w:rFonts w:cs="Times New Roman"/>
          <w:szCs w:val="24"/>
        </w:rPr>
        <w:instrText>ADDIN CSL_CITATION {"citationItems":[{"id":"ITEM-1","itemData":{"DOI":"https://doi.org/10.1186/s13570-018-0125-5","abstract":"This study examines pastoralists’perception on climate change and impacts on cattle production from ten studyvillages of Monduli District in Tanzania. This study drew empirical data from 130 cattle owners and 81 participantsfrom focus group discussions in the study villages. Descriptive statistics and thematic analysis were used to analyzethe data respectively. Findings from this study indicate that pastoralists are well aware of the general climate trendsin their location, its variability and the impacts of extreme weather events on cattle production. The main climatechanges perceived by pastoralists include more erratic and reduced amounts of rainfall, rise in temperature andprolonged and frequent periods of drought. Pastoralists mainly view population pressure and tree cutting as themajor causes of climate change. Further, this study found that there are no existing climate risk programmes andearly warning systems across the district. Importantly, pastoralists reported the negative impacts of climate changeon cattle production. The severe recurrent drought periods result in shortage of forage and water, leading to cattlestarvation and malnutrition. Pastoralists reported massive cattle deaths and outbreaks of diseases such ascontagious bovine pleuropneumonia and tick-borne diseases. Further, reduction in milk production and poorlivestock market prices were also reported as negative impacts on cattle production. Given the range of negativeimpacts of current climate change and extreme weather events on cattle production, the implications of climatechange must be taken into account to ensure longer-term survival and sustainability of pastoralist communitiesthrough strengthening of climate risk awareness programs and early warning systems across the district. Further,this study recommends that government and non-governmental organizations should improve institutional supportto pastoralists in order to help them deal with the negative impacts of climate change on livestock production","author":[{"dropping-particle":"","family":"Esther G. Kimaro1, 2, Siobhan M. Mor1","given":"3and Jenny-Ann L. M. L. Toribio","non-dropping-particle":"","parse-names":false,"suffix":""}],"id":"ITEM-1","issued":{"date-parts":[["2018"]]},"title":"Climate change perception and impacts on cattle production in pastoral communities of northern Tanzania - s13570-018-0125-5.pdf","type":"article"},"uris":["http://www.mendeley.com/documents/?uuid=1d9afd98-c63a-4faa-9708-656cb7b6d1b7","http://www.mendeley.com/documents/?uuid=d089b741-59e5-4e9b-8605-8360a3172cd5"]},{"id":"ITEM-2","itemData":{"author":[{"dropping-particle":"","family":"Olaniyan","given":"Azeez Olusola","non-dropping-particle":"","parse-names":false,"suffix":""}],"container-title":"African studies quarterly VO  - 15","id":"ITEM-2","issue":"2","issued":{"date-parts":[["2015"]]},"page":"53","title":"The cattles are \"Ghanaians\" but the herders are strangers : farmer-herder conflicts, expulsion policy, and pastoralist question in Agogo, Ghana / Azeez Olaniyan, Michael Francis, and Ufo Okeke-Uzodike","type":"article-journal","volume":"15"},"uris":["http://www.mendeley.com/documents/?uuid=d65198b5-94a9-4b7c-827e-1e7ce2ded535"]},{"id":"ITEM-3","itemData":{"DOI":"10.1002/crq.21346","ISSN":"15411508","abstract":"Climate change, migration, and conflict have been featured prominently in academic and policy literature. While Africa remains the major reference point, studies on key conflict hotspots fail to adequately examine empirical demonstrations of how climate change forces migration, and consequently major conflicts. Drawing on semi-structured interviews, focus group discussions, and employing the scarcity theory in a study of Agogo (Ghana), we illustrate how regional and local climate/environmental variability and scarcity trigger and sustain migration and farmer–herder conflicts. The findings offer insights into how other non-climatic and ecological conditions reinforce the so-called climate-induced conflicts, exposing the limitations of the scarcity-theory. Importantly, this study has provided an illustrative argument centered around the contextual dynamics of the nexus between climate change and farmer–herder conflict in Agogo to contribute to national, regional, and continental discussion on this critical topic.","author":[{"dropping-particle":"","family":"Issifu","given":"Abdul Karim","non-dropping-particle":"","parse-names":false,"suffix":""},{"dropping-particle":"","family":"Darko","given":"Francis Diawuo","non-dropping-particle":"","parse-names":false,"suffix":""},{"dropping-particle":"","family":"Paalo","given":"Sebastian Angzoorokuu","non-dropping-particle":"","parse-names":false,"suffix":""}],"container-title":"Conflict Resolution Quarterly","id":"ITEM-3","issue":"4","issued":{"date-parts":[["2022"]]},"page":"421-439","title":"Climate change, migration and farmer–herder conflict in Ghana","type":"article-journal","volume":"39"},"uris":["http://www.mendeley.com/documents/?uuid=e7e609e3-e6c5-4d6d-a65e-58b50b736bea"]}],"mendeley":{"formattedCitation":"(Esther G. Kimaro1, 2, Siobhan M. Mor1, 2018; Issifu et al., 2022; A. O. Olaniyan, 2015)","manualFormatting":"(Issifu et al., 2022; A. O. Olaniyan, 2015)","plainTextFormattedCitation":"(Esther G. Kimaro1, 2, Siobhan M. Mor1, 2018; Issifu et al., 2022; A. O. Olaniyan, 2015)","previouslyFormattedCitation":"(Esther G. Kimaro1, 2, Siobhan M. Mor1, 2018; Issifu et al., 2022; A. O. Olaniyan, 2015)"},"properties":{"noteIndex":0},"schema":"https://github.com/citation-style-language/schema/raw/master/csl-citation.json"}</w:instrText>
      </w:r>
      <w:r>
        <w:rPr>
          <w:rFonts w:cs="Times New Roman"/>
          <w:szCs w:val="24"/>
        </w:rPr>
        <w:fldChar w:fldCharType="separate"/>
      </w:r>
      <w:r>
        <w:rPr>
          <w:rFonts w:cs="Times New Roman"/>
          <w:noProof/>
          <w:szCs w:val="24"/>
        </w:rPr>
        <w:t>(Issifu et al., 2022; A. O. Olaniyan, 2015)</w:t>
      </w:r>
      <w:r>
        <w:rPr>
          <w:rFonts w:cs="Times New Roman"/>
          <w:szCs w:val="24"/>
        </w:rPr>
        <w:fldChar w:fldCharType="end"/>
      </w:r>
      <w:r>
        <w:rPr>
          <w:rFonts w:cs="Times New Roman"/>
          <w:szCs w:val="24"/>
        </w:rPr>
        <w:t xml:space="preserve">. Other scholars also found that changes in rainfall patterns, and high have significant effects on the timing and duration of the grazing period, which leads to a reduction in the availability of food and water for the animals and increased exposure of cattle to diseases and malnutrition </w:t>
      </w:r>
      <w:r>
        <w:rPr>
          <w:rFonts w:cs="Times New Roman"/>
          <w:szCs w:val="24"/>
        </w:rPr>
        <w:fldChar w:fldCharType="begin" w:fldLock="1"/>
      </w:r>
      <w:r w:rsidR="00900D2E">
        <w:rPr>
          <w:rFonts w:cs="Times New Roman"/>
          <w:szCs w:val="24"/>
        </w:rPr>
        <w:instrText>ADDIN CSL_CITATION {"citationItems":[{"id":"ITEM-1","itemData":{"DOI":"10.1108/IJCCSM-11-2020-0119","ISSN":"17568692","abstract":"Purpose: The purpose of this study is to unravel the changing nature of climate change impact on the food and human security sector of the Nigerian State. Design/methodology/approach: This study is an in-depth case study that involves the use of both quantitative and qualitative data. Statistical data on climate variability in Nigeria obtained from reliable databases were use in the making of analysis. Also, data derived from semi-structure interviews and special reports from International Non-governmental organizations on the subject matter were also used in the study. The findings of the study were based on an in-depth analysis of both primary and secondary sources of data. The secondary data were derived from existing published academic works. The primary data was developed using qualitative data that were collected from January to November, 2018 to 2019 in the different regions of Nigeria. For the South East, primary data was collected from Abakaliki, Ebonyi State. In the South-South, primary data was collected from Asaba, Delta State. In the South West, primary data was collected from Barutin, Kwara State. In the North East, primary data was collected from Maiduguri, while in North West, data was collected from Gusau, Zamfara State. In the North Central, data was collected from Markurdi, Benue State. During the data collection, 48 semi-structured Key Informant Interviews (KIIs) were carried out in the six selected research areas that represented their geo-political zones. Six Focus Group Discussions (FGDs) were carried out, one for each of these six selected cities. Each of the Focus Group Discussions comprised between five and seven respondents. The idea of KIIs and FGDs is to allow the respondents to freely express their ideas comprehensively. Again, in other to get varied forms of responses, the respondents are mainly farmers however, a number of NGOs, civil servants, fertilizer sellers, government officials, transporters and aged men and women/retirees. It should be noted that the respondents cut across male and female gender of all ages and ethnic configuration. The respondents were also randomly selected through social networking. To avoid having people of similar The KIIs were three academics; two community leaders; two small scale fish farmers; rice, cassava, fish, livestock and crop farmers. All KIIs ad TIs were transcribed and analysed using thematic content analysis. Findings: The findings revealed that climate change has negatively affe…","author":[{"dropping-particle":"","family":"Ani","given":"Kelechi Johnmary","non-dropping-particle":"","parse-names":false,"suffix":""},{"dropping-particle":"","family":"Anyika","given":"Vincent Okwudiba","non-dropping-particle":"","parse-names":false,"suffix":""},{"dropping-particle":"","family":"Mutambara","given":"Emmanuel","non-dropping-particle":"","parse-names":false,"suffix":""}],"container-title":"International Journal of Climate Change Strategies and Management","id":"ITEM-1","issue":"2","issued":{"date-parts":[["2022"]]},"page":"148-167","title":"The impact of climate change on food and human security in Nigeria","type":"article","volume":"14"},"uris":["http://www.mendeley.com/documents/?uuid=26cf61b8-031f-4444-9cf5-036edd49941a","http://www.mendeley.com/documents/?uuid=bfd01dfa-11e5-45d1-b712-a5858c63a966"]},{"id":"ITEM-2","itemData":{"abstract":"The mandate of the Department of Rural Economy and Agriculture of the African Union Commission is to initiate and promote policies that can contribute to the development of rural economy and improve livelihoods through increasing agricultural productivity, ensuring food security, and enhancing sustainable use and management of Africa’s natural resources. African pastoralism is defined by a high reliance on livestock as a source of economic and social wellbeing, and various types of strategic mobility to access water and grazing resources in areas of high rainfall variability. Pastoralism is found in all regions of Africa and in some regions, is the dominant livelihoods system. Pastoralists supply very substantial numbers of livestock to domestic, regional and international markets and therefore, make crucial – but often undervalued – contributions to national and regional economies in Africa. Their production systems are highly adaptive, constantly responding to market and climatic trends. Pastoralist culture is part of the cultural heritage of Africa, and animal and plant resources in pastoral areas comprise one of the most important types of genetic resource on the continent. Against these positive aspects of pastoralism is the reality that human development and food security indicators for many pastoral areas of Africa are among the lowest on the continent, and in some cases, worsening. Drawing on extensive regional expert consultations conducted since 2007, the Policy Framework for Pastoralism in Africa is the first continent-wide policy initiative which aims to secure, protect and improve the lives, livelihoods and rights of African pastoralists. The policy framework is a platform for mobilizing and coordinating political commitment to pastoral development in Africa, and emphasizes the need to fully involve pastoralist women and men in the national and regional development processes from which they are supposed to benefit. The framework also emphasizes the regional nature of many pastoralist ecosystems in Africa and therefore, the need to support and harmonize policies across the Regional Economic Communities and Member States.","author":[{"dropping-particle":"","family":"African Union","given":"African","non-dropping-particle":"","parse-names":false,"suffix":""}],"container-title":"www.cta.int","id":"ITEM-2","issued":{"date-parts":[["2013"]]},"number-of-pages":"8-47","publisher-place":"Addis Ababa, Ethopia","title":"SECURING, PROTECTING AND IMPROVING THE LIVES, LIVELIHOODS AND RIGHTS OF PASTORALIST COMMUNITIES","type":"report"},"uris":["http://www.mendeley.com/documents/?uuid=782841ef-8fa0-4686-951e-2dde1b609cdd"]},{"id":"ITEM-3","itemData":{"DOI":"10.1080/1369183x.2022.2066262","ISSN":"1369-183X","author":[{"dropping-particle":"","family":"Boas","given":"Ingrid","non-dropping-particle":"","parse-names":false,"suffix":""}],"container-title":"Journal of Ethnic and Migration Studies","id":"ITEM-3","issued":{"date-parts":[["2022"]]},"page":"1-17","title":"The diversification of pastoralist herding: navigating socio-climatic risk via mobile technologies","type":"article-journal"},"uris":["http://www.mendeley.com/documents/?uuid=9b1cffaf-8106-4757-b876-26b5a82bea8a"]},{"id":"ITEM-4","itemData":{"DOI":"10.1007/s42452-020-04111-0","ISBN":"4245202004111","ISSN":"25233971","abstract":"Rainfall variability is of great importance in East Africa, where small-scale farmers and pastoralists dominate. Their livestock production activities are heavily dependent on rainfall. We assessed pastoralist perceptions on climate change, particularly rainfall variability, its impact on livestock production, and the adaptive capacity of pastoralists in the Ngorongoro Conservation Area (NCA), Tanzania. We combined 241 household interviews and information from 52 participants of Participatory Rural Appraisal (PRA) with archived data from the Ngorongoro Conservation Area Authority (NCAA). We found that most (71%) pastoralists were aware of general climate change impacts, rainfall variability, and impacts of extreme events on their livestock. Most (&gt; 75%) respondents perceived erratic and reduced amounts of rainfall, prolonged and frequent periods of drought as the main climate change challenges. Mean annual rainfall accounted for only 46% (R2), (p = 0.076) and 32% (R2), (p = 0.22) of cattle, and sheep and goat population variability, respectively. Unexpectedly, cattle losses intensified by 10% when herd size increased (p &lt; 0.001) and by 98% (p = 0.049) when mobility increased, implying that increasing herd sizes and mobility do not cushion households against climate change shocks. Our study highlights the need to enhance adaptive capacity of the pastoralist communities through interventions that proactively reduce vulnerability. We recommend that future research should address the profitability of pastoral cattle production under changing environmental conditions.","author":[{"dropping-particle":"","family":"Leweri","given":"Cecilia M.","non-dropping-particle":"","parse-names":false,"suffix":""},{"dropping-particle":"","family":"Msuha","given":"Maurus J.","non-dropping-particle":"","parse-names":false,"suffix":""},{"dropping-particle":"","family":"Treydte","given":"Anna C.","non-dropping-particle":"","parse-names":false,"suffix":""}],"container-title":"SN Applied Sciences","id":"ITEM-4","issue":"1","issued":{"date-parts":[["2021"]]},"page":"1-10","publisher":"Springer International Publishing","title":"Rainfall variability and socio-economic constraints on livestock production in the Ngorongoro Conservation Area, Tanzania","type":"article-journal","volume":"3"},"uris":["http://www.mendeley.com/documents/?uuid=e414c125-b1cc-4a87-ab3e-7e08ad4bfeb7"]}],"mendeley":{"formattedCitation":"(African Union, 2013; Ani et al., 2022; Boas, 2022; Leweri et al., 2021)","manualFormatting":"(Ani, Anyika, &amp; Mutambara, 2022; Leweri et al., 2021)","plainTextFormattedCitation":"(African Union, 2013; Ani et al., 2022; Boas, 2022; Leweri et al., 2021)","previouslyFormattedCitation":"(African Union, 2013; Ani et al., 2022; Boas, 2022; Leweri et al., 2021)"},"properties":{"noteIndex":0},"schema":"https://github.com/citation-style-language/schema/raw/master/csl-citation.json"}</w:instrText>
      </w:r>
      <w:r>
        <w:rPr>
          <w:rFonts w:cs="Times New Roman"/>
          <w:szCs w:val="24"/>
        </w:rPr>
        <w:fldChar w:fldCharType="separate"/>
      </w:r>
      <w:r>
        <w:rPr>
          <w:rFonts w:cs="Times New Roman"/>
          <w:noProof/>
          <w:szCs w:val="24"/>
        </w:rPr>
        <w:t>(Ani, Anyika, &amp; Mutambara, 2022; Leweri et al., 2021)</w:t>
      </w:r>
      <w:r>
        <w:rPr>
          <w:rFonts w:cs="Times New Roman"/>
          <w:szCs w:val="24"/>
        </w:rPr>
        <w:fldChar w:fldCharType="end"/>
      </w:r>
      <w:r>
        <w:rPr>
          <w:rFonts w:cs="Times New Roman"/>
          <w:szCs w:val="24"/>
        </w:rPr>
        <w:t xml:space="preserve">. </w:t>
      </w:r>
    </w:p>
    <w:p w:rsidR="00E53882" w:rsidRDefault="00B16FF7">
      <w:pPr>
        <w:spacing w:after="0" w:line="480" w:lineRule="auto"/>
        <w:rPr>
          <w:rFonts w:cs="Times New Roman"/>
          <w:szCs w:val="24"/>
        </w:rPr>
      </w:pPr>
      <w:r>
        <w:rPr>
          <w:rFonts w:cs="Times New Roman"/>
          <w:szCs w:val="24"/>
        </w:rPr>
        <w:t>The results also shows that dry spells have a positive impact on cattle. This is contrary to the general perception that dry spells negatively affects cattle. The findings shows that during dry spells, the grasses becomes dry, resulting in healthier grazing conditions for the cattle. This viewpoint defies the conventional understanding that drought and dry spells are detrimental to cattle health. While the general consensus is that limited water and reduced vegetation availability during dry spells negatively impact cattle, the findings advocates that there may be benefits associated with these conditions. It is important to note, however, that the positive impact of dry spells on cattle should not overshadow the broader challenges posed by dry spells on other livelihood strategies, such as agriculture. While dry spells may favour grazing conditions for cattle, they can have adverse effects on crop production and water availability for other purposes. The informant's statement acknowledges the potential conflicts that may arise from the differential impact of dry spells on various livelihood activities. Further research and contextual studies are needed to explore the mechanisms and ecological dynamics behind the observed positive impact of dry spells on cattle.</w:t>
      </w:r>
    </w:p>
    <w:p w:rsidR="00E53882" w:rsidRDefault="00B16FF7">
      <w:pPr>
        <w:spacing w:after="0" w:line="480" w:lineRule="auto"/>
        <w:rPr>
          <w:rFonts w:cs="Times New Roman"/>
          <w:szCs w:val="24"/>
        </w:rPr>
      </w:pPr>
      <w:r>
        <w:rPr>
          <w:rFonts w:cs="Times New Roman"/>
          <w:b/>
          <w:vanish/>
          <w:szCs w:val="24"/>
        </w:rPr>
        <w:t>Top of FormTop of Form</w:t>
      </w:r>
    </w:p>
    <w:p w:rsidR="00E53882" w:rsidRDefault="00B16FF7">
      <w:pPr>
        <w:pStyle w:val="Heading2"/>
        <w:spacing w:line="480" w:lineRule="auto"/>
      </w:pPr>
      <w:bookmarkStart w:id="108" w:name="_Toc164261726"/>
      <w:r>
        <w:lastRenderedPageBreak/>
        <w:t>5.7 Pastoralists Adaptation Strategies</w:t>
      </w:r>
      <w:bookmarkEnd w:id="108"/>
    </w:p>
    <w:p w:rsidR="00E53882" w:rsidRDefault="00B16FF7">
      <w:pPr>
        <w:spacing w:line="480" w:lineRule="auto"/>
        <w:rPr>
          <w:rFonts w:cs="Times New Roman"/>
          <w:szCs w:val="24"/>
        </w:rPr>
      </w:pPr>
      <w:r>
        <w:rPr>
          <w:rFonts w:cs="Times New Roman"/>
          <w:szCs w:val="24"/>
        </w:rPr>
        <w:t>This section entails conducting a thorough analysis and investigation of the various strategies employed by pastoralist communities to adapt to their changing environment and sustain their livelihoods. This involves studying and understanding the specific techniques, practices, and approaches adopted by pastoralists in response to challenges such as climate variability, resource scarcity, and socio-economic factors.</w:t>
      </w:r>
    </w:p>
    <w:p w:rsidR="00E53882" w:rsidRDefault="00B16FF7">
      <w:pPr>
        <w:pStyle w:val="boxes"/>
      </w:pPr>
      <w:bookmarkStart w:id="109" w:name="_Toc156606823"/>
      <w:r>
        <w:t xml:space="preserve">Box 5.5:  Pastoralists Adaptation to lack of Grass and Water </w:t>
      </w:r>
      <w:proofErr w:type="gramStart"/>
      <w:r>
        <w:t>During</w:t>
      </w:r>
      <w:proofErr w:type="gramEnd"/>
      <w:r>
        <w:t xml:space="preserve"> Dry season</w:t>
      </w:r>
      <w:bookmarkEnd w:id="109"/>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rPr>
            </w:pPr>
            <w:r>
              <w:rPr>
                <w:rFonts w:cs="Times New Roman"/>
                <w:szCs w:val="24"/>
                <w:lang w:val="en-US"/>
              </w:rPr>
              <w:t>We move to the waterlogged area; you know this area does not dry up completely. So, the animals can still access some grass and a little water in these areas. If they do not burn the bush, we can depend on it till it starts raining again.</w:t>
            </w:r>
          </w:p>
        </w:tc>
      </w:tr>
    </w:tbl>
    <w:p w:rsidR="00E53882" w:rsidRDefault="00B16FF7">
      <w:pPr>
        <w:spacing w:line="480" w:lineRule="auto"/>
        <w:rPr>
          <w:rFonts w:cs="Times New Roman"/>
          <w:b/>
          <w:szCs w:val="24"/>
        </w:rPr>
      </w:pPr>
      <w:r>
        <w:rPr>
          <w:rFonts w:cs="Times New Roman"/>
          <w:b/>
          <w:szCs w:val="24"/>
        </w:rPr>
        <w:t>Key Informant Interview, 2023</w:t>
      </w:r>
    </w:p>
    <w:p w:rsidR="00E53882" w:rsidRDefault="00B16FF7">
      <w:pPr>
        <w:spacing w:line="480" w:lineRule="auto"/>
        <w:rPr>
          <w:rFonts w:cs="Times New Roman"/>
          <w:szCs w:val="24"/>
        </w:rPr>
      </w:pPr>
      <w:r>
        <w:rPr>
          <w:rFonts w:cs="Times New Roman"/>
          <w:szCs w:val="24"/>
        </w:rPr>
        <w:t xml:space="preserve">The statement above throws light on pastoralist’s mobility as a response to the impact of climate change. This form of climate change-related mobility can be described as a short-term response to various kinds of climate change-related disconcertion and their consequences grieved from the past. </w:t>
      </w:r>
    </w:p>
    <w:p w:rsidR="00E53882" w:rsidRDefault="00B16FF7">
      <w:pPr>
        <w:pStyle w:val="boxes"/>
      </w:pPr>
      <w:bookmarkStart w:id="110" w:name="_Toc156606824"/>
      <w:r>
        <w:t>Box 5.6: Pastoralists Adaptation to High Temperature and Intense Wind</w:t>
      </w:r>
      <w:bookmarkEnd w:id="110"/>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rPr>
            </w:pPr>
            <w:r>
              <w:rPr>
                <w:rFonts w:cs="Times New Roman"/>
                <w:szCs w:val="24"/>
                <w:lang w:val="en-US"/>
              </w:rPr>
              <w:t xml:space="preserve">During the dry season, the intense wind and heat we experience are not suitable for the animals. The wind blows dust into their eyes and noses, and the heat weakens them. Because of this, cattle do not want to feed during the daytime. You will often find them lying under </w:t>
            </w:r>
            <w:r>
              <w:rPr>
                <w:rFonts w:cs="Times New Roman"/>
                <w:szCs w:val="24"/>
                <w:lang w:val="en-US"/>
              </w:rPr>
              <w:lastRenderedPageBreak/>
              <w:t>trees until 3 p.m. or 4 p.m., after which they start looking for food. Consequently, during this period, we usually feed them at night. That is why it is said that Fulani people prefer moving at night.</w:t>
            </w:r>
          </w:p>
        </w:tc>
      </w:tr>
    </w:tbl>
    <w:p w:rsidR="00E53882" w:rsidRDefault="00B16FF7">
      <w:pPr>
        <w:spacing w:line="480" w:lineRule="auto"/>
        <w:rPr>
          <w:rFonts w:cs="Times New Roman"/>
          <w:b/>
          <w:szCs w:val="24"/>
        </w:rPr>
      </w:pPr>
      <w:r>
        <w:rPr>
          <w:rFonts w:cs="Times New Roman"/>
          <w:b/>
          <w:szCs w:val="24"/>
        </w:rPr>
        <w:lastRenderedPageBreak/>
        <w:t>Key Informant Interview &amp; FGD, 2023</w:t>
      </w:r>
    </w:p>
    <w:p w:rsidR="00E53882" w:rsidRDefault="00B16FF7">
      <w:pPr>
        <w:spacing w:line="480" w:lineRule="auto"/>
        <w:rPr>
          <w:rFonts w:cs="Times New Roman"/>
          <w:szCs w:val="24"/>
        </w:rPr>
      </w:pPr>
      <w:r>
        <w:rPr>
          <w:rFonts w:cs="Times New Roman"/>
          <w:szCs w:val="24"/>
        </w:rPr>
        <w:t>The analysis reveals a dynamic interaction between environmental challenges, animal behaviour, cultural practices, and livelihood strategies among the pastoralists. The ability to adapt feeding plans and movement patterns demonstrates an understanding of the local environment and a commitment to ensuring the well-being of their livestock during challenging periods.</w:t>
      </w:r>
    </w:p>
    <w:p w:rsidR="00E53882" w:rsidRDefault="00E53882">
      <w:pPr>
        <w:spacing w:line="480" w:lineRule="auto"/>
        <w:rPr>
          <w:rFonts w:cs="Times New Roman"/>
          <w:szCs w:val="24"/>
        </w:rPr>
      </w:pPr>
    </w:p>
    <w:p w:rsidR="00E53882" w:rsidRDefault="00E53882">
      <w:pPr>
        <w:spacing w:line="480" w:lineRule="auto"/>
        <w:rPr>
          <w:rFonts w:cs="Times New Roman"/>
          <w:szCs w:val="24"/>
        </w:rPr>
      </w:pPr>
    </w:p>
    <w:p w:rsidR="00E53882" w:rsidRDefault="00E53882">
      <w:pPr>
        <w:spacing w:line="480" w:lineRule="auto"/>
        <w:rPr>
          <w:rFonts w:cs="Times New Roman"/>
          <w:szCs w:val="24"/>
        </w:rPr>
      </w:pPr>
    </w:p>
    <w:p w:rsidR="00E53882" w:rsidRDefault="00E53882">
      <w:pPr>
        <w:spacing w:line="480" w:lineRule="auto"/>
        <w:rPr>
          <w:rFonts w:cs="Times New Roman"/>
          <w:szCs w:val="24"/>
        </w:rPr>
      </w:pPr>
    </w:p>
    <w:p w:rsidR="00E53882" w:rsidRDefault="00B16FF7">
      <w:pPr>
        <w:pStyle w:val="boxes"/>
      </w:pPr>
      <w:bookmarkStart w:id="111" w:name="_Toc156606825"/>
      <w:r>
        <w:t>Box 5.7: Pastoralists Adaptation during Hot Season</w:t>
      </w:r>
      <w:bookmarkEnd w:id="111"/>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rPr>
            </w:pPr>
            <w:r>
              <w:rPr>
                <w:rFonts w:cs="Times New Roman"/>
                <w:szCs w:val="24"/>
                <w:lang w:val="en-US"/>
              </w:rPr>
              <w:t xml:space="preserve">During the hot season, we don’t tire our cattle; instead, we seek places where they can stand under trees. Due to the intense heat, we avoid having them lie on the ground, as it causes a rise in body temperature, leading to blood running from the skin and resulting in lean meat. This is why we refrain from tiring our cattle during hot seasons, and the people here express </w:t>
            </w:r>
            <w:r>
              <w:rPr>
                <w:rFonts w:cs="Times New Roman"/>
                <w:szCs w:val="24"/>
                <w:lang w:val="en-US"/>
              </w:rPr>
              <w:lastRenderedPageBreak/>
              <w:t>their discomfort. We understand the rationale behind this approach—it's the only way to ensure the health and safety of our cattle during the scorching hot seasons.</w:t>
            </w:r>
          </w:p>
        </w:tc>
      </w:tr>
    </w:tbl>
    <w:p w:rsidR="00E53882" w:rsidRDefault="00B16FF7">
      <w:pPr>
        <w:spacing w:line="480" w:lineRule="auto"/>
        <w:rPr>
          <w:rFonts w:cs="Times New Roman"/>
          <w:b/>
          <w:szCs w:val="24"/>
        </w:rPr>
      </w:pPr>
      <w:r>
        <w:rPr>
          <w:rFonts w:cs="Times New Roman"/>
          <w:b/>
          <w:szCs w:val="24"/>
        </w:rPr>
        <w:lastRenderedPageBreak/>
        <w:t>Key Informant Interview, 2023</w:t>
      </w:r>
    </w:p>
    <w:p w:rsidR="00E53882" w:rsidRDefault="00B16FF7">
      <w:pPr>
        <w:spacing w:line="480" w:lineRule="auto"/>
        <w:rPr>
          <w:rFonts w:cs="Times New Roman"/>
          <w:szCs w:val="24"/>
        </w:rPr>
      </w:pPr>
      <w:r>
        <w:rPr>
          <w:rFonts w:cs="Times New Roman"/>
          <w:szCs w:val="24"/>
        </w:rPr>
        <w:t>The analysis reveals a thoughtful and informed approach by the pastoralists to address the challenges posed by hot seasons. Their practices are rooted in a nuanced understanding of the physiological needs of their cattle, showcasing a sustainable and adaptive approach to pastoralism in the face of environmental conditions.</w:t>
      </w:r>
    </w:p>
    <w:p w:rsidR="00E53882" w:rsidRDefault="00B16FF7">
      <w:pPr>
        <w:pStyle w:val="boxes"/>
      </w:pPr>
      <w:bookmarkStart w:id="112" w:name="_Toc156606826"/>
      <w:r>
        <w:t>Box 5.8: Pastoralists Adaptation during Rainy Season</w:t>
      </w:r>
      <w:bookmarkEnd w:id="112"/>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rPr>
            </w:pPr>
            <w:r>
              <w:rPr>
                <w:rFonts w:cs="Times New Roman"/>
                <w:szCs w:val="24"/>
                <w:lang w:val="en-US"/>
              </w:rPr>
              <w:t>During the rainy season, we don't allow our cattle to stay on the old ranch because there are a lot of their feces on the ground. When it rains and they lie on it, they will get skin rashes called '</w:t>
            </w:r>
            <w:proofErr w:type="spellStart"/>
            <w:r>
              <w:rPr>
                <w:rFonts w:cs="Times New Roman"/>
                <w:szCs w:val="24"/>
                <w:lang w:val="en-US"/>
              </w:rPr>
              <w:t>Jaga</w:t>
            </w:r>
            <w:proofErr w:type="spellEnd"/>
            <w:r>
              <w:rPr>
                <w:rFonts w:cs="Times New Roman"/>
                <w:szCs w:val="24"/>
                <w:lang w:val="en-US"/>
              </w:rPr>
              <w:t>.' Therefore, we prefer moving them to a new location."</w:t>
            </w:r>
          </w:p>
        </w:tc>
      </w:tr>
    </w:tbl>
    <w:p w:rsidR="00E53882" w:rsidRDefault="00B16FF7">
      <w:pPr>
        <w:spacing w:line="480" w:lineRule="auto"/>
        <w:rPr>
          <w:rFonts w:cs="Times New Roman"/>
          <w:b/>
          <w:szCs w:val="24"/>
        </w:rPr>
      </w:pPr>
      <w:r>
        <w:rPr>
          <w:rFonts w:cs="Times New Roman"/>
          <w:b/>
          <w:szCs w:val="24"/>
        </w:rPr>
        <w:t>In-depth Interview, 2023</w:t>
      </w:r>
    </w:p>
    <w:p w:rsidR="00E53882" w:rsidRDefault="00B16FF7">
      <w:pPr>
        <w:spacing w:line="480" w:lineRule="auto"/>
        <w:rPr>
          <w:rFonts w:cs="Times New Roman"/>
          <w:szCs w:val="24"/>
        </w:rPr>
      </w:pPr>
      <w:r>
        <w:rPr>
          <w:rFonts w:cs="Times New Roman"/>
          <w:szCs w:val="24"/>
        </w:rPr>
        <w:t>The analysis indicates that the pastoralists have a well-thought-out approach to managing their cattle during the rainy season, taking into account hygiene factors and the potential for health issues. This showcases a practical and adaptive strategy aimed at ensuring the overall well-being of the livestock in changing environmental conditions.</w:t>
      </w:r>
    </w:p>
    <w:p w:rsidR="00E53882" w:rsidRDefault="00B16FF7">
      <w:pPr>
        <w:pStyle w:val="boxes"/>
      </w:pPr>
      <w:bookmarkStart w:id="113" w:name="_Toc156606827"/>
      <w:r>
        <w:t>Box 6.9: Pastoralists Adaptation to Cattle Inhalation of Dust during Dry Season</w:t>
      </w:r>
      <w:bookmarkEnd w:id="113"/>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lang w:val="en-US"/>
              </w:rPr>
            </w:pPr>
            <w:r>
              <w:rPr>
                <w:rFonts w:cs="Times New Roman"/>
                <w:szCs w:val="24"/>
                <w:lang w:val="en-US"/>
              </w:rPr>
              <w:lastRenderedPageBreak/>
              <w:t>When it starts raining and the grass starts germinating for one to two months and they graze on it and begin to grow fat, then we call the veterinary officer to vaccinate them, and we will also make sure that we send them to any place that we can get food for them before they start farming.</w:t>
            </w:r>
          </w:p>
        </w:tc>
      </w:tr>
    </w:tbl>
    <w:p w:rsidR="00E53882" w:rsidRDefault="00B16FF7">
      <w:pPr>
        <w:spacing w:line="480" w:lineRule="auto"/>
        <w:rPr>
          <w:rFonts w:cs="Times New Roman"/>
          <w:b/>
          <w:szCs w:val="24"/>
        </w:rPr>
      </w:pPr>
      <w:r>
        <w:rPr>
          <w:rFonts w:cs="Times New Roman"/>
          <w:b/>
          <w:szCs w:val="24"/>
        </w:rPr>
        <w:t>In-depth Interview &amp; FGD, 2023</w:t>
      </w:r>
    </w:p>
    <w:p w:rsidR="00E53882" w:rsidRDefault="00B16FF7">
      <w:pPr>
        <w:spacing w:before="0" w:after="0" w:line="480" w:lineRule="auto"/>
        <w:rPr>
          <w:rFonts w:cs="Times New Roman"/>
          <w:szCs w:val="24"/>
        </w:rPr>
      </w:pPr>
      <w:r>
        <w:rPr>
          <w:rFonts w:cs="Times New Roman"/>
          <w:szCs w:val="24"/>
        </w:rPr>
        <w:t xml:space="preserve">Taking proactive measures to protect the animals' health, they minimize the risk of illness and potential negative impacts on the overall productivity and well-being of the herds. </w:t>
      </w:r>
    </w:p>
    <w:p w:rsidR="00E53882" w:rsidRDefault="00E53882">
      <w:pPr>
        <w:spacing w:before="0" w:after="0" w:line="480" w:lineRule="auto"/>
        <w:rPr>
          <w:rFonts w:cs="Times New Roman"/>
          <w:szCs w:val="24"/>
        </w:rPr>
      </w:pPr>
    </w:p>
    <w:p w:rsidR="00E53882" w:rsidRDefault="00B16FF7">
      <w:pPr>
        <w:pStyle w:val="boxes"/>
        <w:spacing w:before="0" w:after="0"/>
      </w:pPr>
      <w:bookmarkStart w:id="114" w:name="_Toc156606828"/>
      <w:r>
        <w:t>Box 5.10: Migration and Livelihood Diversification as a Coping Strategy</w:t>
      </w:r>
      <w:bookmarkEnd w:id="114"/>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rPr>
            </w:pPr>
            <w:r>
              <w:rPr>
                <w:rFonts w:cs="Times New Roman"/>
                <w:szCs w:val="24"/>
                <w:lang w:val="en-US"/>
              </w:rPr>
              <w:t>Some of us are engaged in farming, livestock trading, selling provisions, etc. because we cannot cope with the challenges we are facing. Others too have started migrating to Kumasi to do "</w:t>
            </w:r>
            <w:proofErr w:type="spellStart"/>
            <w:r>
              <w:rPr>
                <w:rFonts w:cs="Times New Roman"/>
                <w:szCs w:val="24"/>
                <w:lang w:val="en-US"/>
              </w:rPr>
              <w:t>Galamsey</w:t>
            </w:r>
            <w:proofErr w:type="spellEnd"/>
            <w:r>
              <w:rPr>
                <w:rFonts w:cs="Times New Roman"/>
                <w:szCs w:val="24"/>
                <w:lang w:val="en-US"/>
              </w:rPr>
              <w:t>.”</w:t>
            </w:r>
          </w:p>
        </w:tc>
      </w:tr>
    </w:tbl>
    <w:p w:rsidR="00E53882" w:rsidRDefault="00B16FF7">
      <w:pPr>
        <w:spacing w:line="480" w:lineRule="auto"/>
        <w:rPr>
          <w:rFonts w:cs="Times New Roman"/>
          <w:b/>
          <w:szCs w:val="24"/>
        </w:rPr>
      </w:pPr>
      <w:r>
        <w:rPr>
          <w:rFonts w:cs="Times New Roman"/>
          <w:b/>
          <w:szCs w:val="24"/>
        </w:rPr>
        <w:t>In-depth Interview, 2023</w:t>
      </w:r>
    </w:p>
    <w:p w:rsidR="00E53882" w:rsidRDefault="00B16FF7">
      <w:pPr>
        <w:spacing w:line="480" w:lineRule="auto"/>
        <w:rPr>
          <w:rFonts w:cs="Times New Roman"/>
          <w:szCs w:val="24"/>
        </w:rPr>
      </w:pPr>
      <w:r>
        <w:rPr>
          <w:rFonts w:cs="Times New Roman"/>
          <w:szCs w:val="24"/>
        </w:rPr>
        <w:t xml:space="preserve">This shift indicates an adaptive response to changing circumstances, as pastoralists explore new economic opportunities that are more viable and less dependent on livestock-based activities. Economic diversification enhances resilience and provide a buffer against the impacts of climate change, offering a means of income generation that is not solely reliant on natural resources. </w:t>
      </w:r>
    </w:p>
    <w:p w:rsidR="00E53882" w:rsidRDefault="00B16FF7">
      <w:pPr>
        <w:pStyle w:val="boxes"/>
      </w:pPr>
      <w:bookmarkStart w:id="115" w:name="_Toc156606829"/>
      <w:r>
        <w:t>Box 5.11: Grass Harvesting as an Adaptation Strategy by Pastoralists</w:t>
      </w:r>
      <w:bookmarkEnd w:id="115"/>
    </w:p>
    <w:tbl>
      <w:tblPr>
        <w:tblStyle w:val="TableGrid"/>
        <w:tblW w:w="0" w:type="auto"/>
        <w:tblLook w:val="04A0" w:firstRow="1" w:lastRow="0" w:firstColumn="1" w:lastColumn="0" w:noHBand="0" w:noVBand="1"/>
      </w:tblPr>
      <w:tblGrid>
        <w:gridCol w:w="8918"/>
      </w:tblGrid>
      <w:tr w:rsidR="00E53882">
        <w:trPr>
          <w:trHeight w:val="2960"/>
        </w:trPr>
        <w:tc>
          <w:tcPr>
            <w:tcW w:w="9350" w:type="dxa"/>
          </w:tcPr>
          <w:p w:rsidR="00E53882" w:rsidRDefault="00B16FF7">
            <w:pPr>
              <w:spacing w:line="480" w:lineRule="auto"/>
              <w:rPr>
                <w:rFonts w:cs="Times New Roman"/>
                <w:szCs w:val="24"/>
                <w:lang w:val="en-US"/>
              </w:rPr>
            </w:pPr>
            <w:r>
              <w:rPr>
                <w:rFonts w:cs="Times New Roman"/>
                <w:szCs w:val="24"/>
                <w:lang w:val="en-US"/>
              </w:rPr>
              <w:lastRenderedPageBreak/>
              <w:t>We saw in a T.V and they were teaching us to start cultivating grasses during rainy season, harvest, dry and store it for dry season. But this is not possible for those of us with large cattle. We also cut trees leaves like “</w:t>
            </w:r>
            <w:proofErr w:type="spellStart"/>
            <w:r>
              <w:rPr>
                <w:rFonts w:cs="Times New Roman"/>
                <w:szCs w:val="24"/>
                <w:lang w:val="en-US"/>
              </w:rPr>
              <w:t>Neei</w:t>
            </w:r>
            <w:proofErr w:type="spellEnd"/>
            <w:r>
              <w:rPr>
                <w:rFonts w:cs="Times New Roman"/>
                <w:szCs w:val="24"/>
                <w:lang w:val="en-US"/>
              </w:rPr>
              <w:t>”, “</w:t>
            </w:r>
            <w:proofErr w:type="spellStart"/>
            <w:r>
              <w:rPr>
                <w:rFonts w:cs="Times New Roman"/>
                <w:szCs w:val="24"/>
                <w:lang w:val="en-US"/>
              </w:rPr>
              <w:t>Kinkang</w:t>
            </w:r>
            <w:proofErr w:type="spellEnd"/>
            <w:r>
              <w:rPr>
                <w:rFonts w:cs="Times New Roman"/>
                <w:szCs w:val="24"/>
                <w:lang w:val="en-US"/>
              </w:rPr>
              <w:t>” and “</w:t>
            </w:r>
            <w:proofErr w:type="spellStart"/>
            <w:r>
              <w:rPr>
                <w:rFonts w:cs="Times New Roman"/>
                <w:szCs w:val="24"/>
                <w:lang w:val="en-US"/>
              </w:rPr>
              <w:t>Kpalsi</w:t>
            </w:r>
            <w:proofErr w:type="spellEnd"/>
            <w:r>
              <w:rPr>
                <w:rFonts w:cs="Times New Roman"/>
                <w:szCs w:val="24"/>
                <w:lang w:val="en-US"/>
              </w:rPr>
              <w:t>” for the cattle when it is difficult to find food for the animals. We also look for rice, groundnut, and soya beans straws immediately after harvesting</w:t>
            </w:r>
          </w:p>
        </w:tc>
      </w:tr>
    </w:tbl>
    <w:p w:rsidR="00E53882" w:rsidRDefault="00B16FF7">
      <w:pPr>
        <w:spacing w:line="480" w:lineRule="auto"/>
        <w:rPr>
          <w:rFonts w:cs="Times New Roman"/>
          <w:b/>
          <w:szCs w:val="24"/>
        </w:rPr>
      </w:pPr>
      <w:r>
        <w:rPr>
          <w:rFonts w:cs="Times New Roman"/>
          <w:b/>
          <w:szCs w:val="24"/>
        </w:rPr>
        <w:t>In-depth Interview and Key Informant Interview, 2023</w:t>
      </w:r>
    </w:p>
    <w:p w:rsidR="00E53882" w:rsidRDefault="00B16FF7">
      <w:pPr>
        <w:spacing w:line="480" w:lineRule="auto"/>
        <w:rPr>
          <w:rFonts w:cs="Times New Roman"/>
          <w:szCs w:val="24"/>
        </w:rPr>
      </w:pPr>
      <w:r>
        <w:rPr>
          <w:rFonts w:cs="Times New Roman"/>
          <w:szCs w:val="24"/>
        </w:rPr>
        <w:t xml:space="preserve">The main objective of cultivating and drying grass is to mitigate the scarcity of forage that occurs during the dry season. </w:t>
      </w:r>
    </w:p>
    <w:p w:rsidR="00E53882" w:rsidRDefault="00B16FF7">
      <w:pPr>
        <w:pStyle w:val="boxes"/>
      </w:pPr>
      <w:bookmarkStart w:id="116" w:name="_Toc156606830"/>
      <w:r>
        <w:t>Box 5.12: Internal Mobility as an Adaptation Strategy</w:t>
      </w:r>
      <w:bookmarkEnd w:id="116"/>
    </w:p>
    <w:tbl>
      <w:tblPr>
        <w:tblStyle w:val="TableGrid"/>
        <w:tblW w:w="0" w:type="auto"/>
        <w:tblLook w:val="04A0" w:firstRow="1" w:lastRow="0" w:firstColumn="1" w:lastColumn="0" w:noHBand="0" w:noVBand="1"/>
      </w:tblPr>
      <w:tblGrid>
        <w:gridCol w:w="8918"/>
      </w:tblGrid>
      <w:tr w:rsidR="00E53882">
        <w:tc>
          <w:tcPr>
            <w:tcW w:w="9350" w:type="dxa"/>
          </w:tcPr>
          <w:p w:rsidR="00E53882" w:rsidRDefault="00B16FF7">
            <w:pPr>
              <w:spacing w:line="480" w:lineRule="auto"/>
              <w:rPr>
                <w:rFonts w:cs="Times New Roman"/>
                <w:szCs w:val="24"/>
                <w:lang w:val="en-US"/>
              </w:rPr>
            </w:pPr>
            <w:r>
              <w:rPr>
                <w:rFonts w:cs="Times New Roman"/>
                <w:szCs w:val="24"/>
                <w:lang w:val="en-US"/>
              </w:rPr>
              <w:t>We move to communities that experienced early rainfall</w:t>
            </w:r>
          </w:p>
        </w:tc>
      </w:tr>
    </w:tbl>
    <w:p w:rsidR="00E53882" w:rsidRDefault="00B16FF7">
      <w:pPr>
        <w:spacing w:line="480" w:lineRule="auto"/>
        <w:rPr>
          <w:rFonts w:cs="Times New Roman"/>
          <w:b/>
          <w:szCs w:val="24"/>
        </w:rPr>
      </w:pPr>
      <w:r>
        <w:rPr>
          <w:rFonts w:cs="Times New Roman"/>
          <w:b/>
          <w:szCs w:val="24"/>
        </w:rPr>
        <w:t>In-depth Interview &amp; FGD, 2023</w:t>
      </w:r>
    </w:p>
    <w:p w:rsidR="00E53882" w:rsidRDefault="00B16FF7">
      <w:pPr>
        <w:spacing w:line="480" w:lineRule="auto"/>
        <w:rPr>
          <w:rFonts w:cs="Times New Roman"/>
          <w:szCs w:val="24"/>
        </w:rPr>
      </w:pPr>
      <w:r>
        <w:rPr>
          <w:rFonts w:cs="Times New Roman"/>
          <w:szCs w:val="24"/>
        </w:rPr>
        <w:t>Early rainfall often triggers the growth of grasses and other vegetation, providing ample forage for the cattle. This strategy allows the animals to access fresh grazing lands, ensuring their nutritional needs are met. It also replenishes water sources such as rivers, ponds, or groundwater, providing the cattle with access to sufficient water for drinking and other essential purposes</w:t>
      </w:r>
    </w:p>
    <w:p w:rsidR="00E53882" w:rsidRDefault="00B16FF7">
      <w:pPr>
        <w:spacing w:line="480" w:lineRule="auto"/>
        <w:rPr>
          <w:rFonts w:cs="Times New Roman"/>
          <w:szCs w:val="24"/>
        </w:rPr>
      </w:pPr>
      <w:r>
        <w:rPr>
          <w:rFonts w:cs="Times New Roman"/>
          <w:szCs w:val="24"/>
        </w:rPr>
        <w:t xml:space="preserve">The study's findings demonstrate the intricacy and dynamics of pastoralists' responses to environmental problems. This offers a unique perspective on how pastoralists address the challenges posed by climate change. Beyond the immediate context, these findings are </w:t>
      </w:r>
      <w:r>
        <w:rPr>
          <w:rFonts w:cs="Times New Roman"/>
          <w:szCs w:val="24"/>
        </w:rPr>
        <w:lastRenderedPageBreak/>
        <w:t xml:space="preserve">significant because they demonstrate how adaptable pastoralists are. The documented tactics—such as migration, feeding schedule modifications, and economic diversification—have wider ramifications for enhancing environmental resilience. These adaptation strategies support the larger conversation on climate change adaptation while also ensuring the sustainability of pastoral livelihoods. But since the data used in the results is self-reported, recall bias could exist. The limitations draw attention to the need for additional research that looks at the dynamics of adaptation in various environments and validates the patterns found using complementary techniques. This study elucidates the complex interplay among pastoralists' livelihood strategies, cultural practices, and environmental challenges. The findings support the body of research on adaptive learning while offering fresh perspectives on the particular mechanisms used during various seasons. Through economic diversification, internal mobility, and grass harvesting, we can better understand how pastoralists manage the effects of climate change </w:t>
      </w:r>
      <w:r>
        <w:rPr>
          <w:rFonts w:cs="Times New Roman"/>
          <w:szCs w:val="24"/>
        </w:rPr>
        <w:fldChar w:fldCharType="begin" w:fldLock="1"/>
      </w:r>
      <w:r w:rsidR="00900D2E">
        <w:rPr>
          <w:rFonts w:cs="Times New Roman"/>
          <w:szCs w:val="24"/>
        </w:rPr>
        <w:instrText>ADDIN CSL_CITATION {"citationItems":[{"id":"ITEM-1","itemData":{"DOI":"10.1007/s11423-020-09793-2","ISSN":"1556-6501","abstract":"This systematic review of research on adaptive learning used a strategic search process to synthesize research on adaptive learning based on publication trends, instructional context, research methodology components, research focus, adaptive strategies, and technologies. A total of 61 articles on adaptive learning were analyzed to describe the current state of research and identify gaps in the literature. Descriptive characteristics were recorded, including publication patterns, instructional context, and research methodology components. The count of adaptive learning articles published fluctuated across the decade and peaked in 2015. During this time, the largest concentration of adaptive learning articles appeared in Computers and Education. The majority of the studies occurred in higher education in Taiwan and the United States, with the highest concentration in the computer science discipline. The research focus, adaptive strategies, and adaptive technologies used in these studies were also reviewed. The research was aligned with various instructional design phases, with more studies examining design and development, and implementation and evaluation. For examining adaptive strategies, the authors examined both adaptive sources based on learner model and adaptive targets based on content and instructional model. Learning style was the most observed learner characteristic, while adaptive feedback and adaptive navigation were the most investigated adaptive targets. This study has implications for adaptive learning designers and future researchers regarding the gaps in adaptive learning research. Future studies might focus on the increasing availability and capacities of adaptive learning as a learning technology to assist individual learning and personalized growth.","author":[{"dropping-particle":"","family":"Martin","given":"Florence","non-dropping-particle":"","parse-names":false,"suffix":""},{"dropping-particle":"","family":"Chen","given":"Yan","non-dropping-particle":"","parse-names":false,"suffix":""},{"dropping-particle":"","family":"Moore","given":"Robert L","non-dropping-particle":"","parse-names":false,"suffix":""},{"dropping-particle":"","family":"Westine","given":"Carl D","non-dropping-particle":"","parse-names":false,"suffix":""}],"container-title":"Educational Technology Research and Development","id":"ITEM-1","issue":"4","issued":{"date-parts":[["2020"]]},"page":"1903-1929","title":"Systematic review of adaptive learning research designs, context, strategies, and technologies from 2009 to 2018","type":"article-journal","volume":"68"},"uris":["http://www.mendeley.com/documents/?uuid=6e8b9c53-929d-4297-ab95-2ed09e407e75"]}],"mendeley":{"formattedCitation":"(F. Martin et al., 2020)","plainTextFormattedCitation":"(F. Martin et al., 2020)","previouslyFormattedCitation":"(F. Martin et al., 2020)"},"properties":{"noteIndex":0},"schema":"https://github.com/citation-style-language/schema/raw/master/csl-citation.json"}</w:instrText>
      </w:r>
      <w:r>
        <w:rPr>
          <w:rFonts w:cs="Times New Roman"/>
          <w:szCs w:val="24"/>
        </w:rPr>
        <w:fldChar w:fldCharType="separate"/>
      </w:r>
      <w:r>
        <w:rPr>
          <w:rFonts w:cs="Times New Roman"/>
          <w:noProof/>
          <w:szCs w:val="24"/>
        </w:rPr>
        <w:t>(F. Martin et al., 2020)</w:t>
      </w:r>
      <w:r>
        <w:rPr>
          <w:rFonts w:cs="Times New Roman"/>
          <w:szCs w:val="24"/>
        </w:rPr>
        <w:fldChar w:fldCharType="end"/>
      </w:r>
      <w:r>
        <w:rPr>
          <w:rFonts w:cs="Times New Roman"/>
          <w:szCs w:val="24"/>
        </w:rPr>
        <w:t>.</w:t>
      </w:r>
    </w:p>
    <w:p w:rsidR="00E53882" w:rsidRDefault="00B16FF7">
      <w:pPr>
        <w:spacing w:line="480" w:lineRule="auto"/>
        <w:rPr>
          <w:rFonts w:cs="Times New Roman"/>
          <w:szCs w:val="24"/>
        </w:rPr>
      </w:pPr>
      <w:r>
        <w:rPr>
          <w:rFonts w:cs="Times New Roman"/>
          <w:szCs w:val="24"/>
        </w:rPr>
        <w:t xml:space="preserve">In summary, the analysis provides a comprehensive understanding of how pastoralists in the study area understand and perceive climate change. Pastoralists understand climate change to be a gradual change in weather conditions influenced by both natural factors and human activities, particularly deforestation and bushfires. Their understanding shows the connection between changing weather patterns, environmental impacts and impacts on their traditional livelihoods. Over the past 20 years, pastoralists have observed significant changes in temperature, precipitation patterns, and wind intensity. Rising temperatures and reduced rainfall have negatively impacted the environment and their cattle, leading to concerns about heat stress, reduced fertility and cattle behavioural changes. The herders attribute these changes to various factors, including human activities such as bushfires and deforestation, and </w:t>
      </w:r>
      <w:r>
        <w:rPr>
          <w:rFonts w:cs="Times New Roman"/>
          <w:szCs w:val="24"/>
        </w:rPr>
        <w:lastRenderedPageBreak/>
        <w:t xml:space="preserve">emphasize the role of environmental degradation as a precursor to climate change. The impact of climate change on pastoralists' livelihoods is evident in the challenges of livestock and crop production. Reduced water availability and unreliable rainfall impact cattle health and productivity. Crop cultivation faces challenges due to poor soil nutrients and unpredictable rainfall. To overcome these challenges, pastoralists have diversified their livelihoods and engaged in complementary activities such as poultry farming and trading. The adaptation strategies used by pastoralists reflect their deep understanding of the local environment. These strategies include strategic mobility in search of waterlogged areas during the dry season, adjusting feeding schedules to avoid intense heat, and careful management of cattle in both rainy and hot seasons. In addition, pastoralists are exploring economic diversification and engaging in activities such as farming and trading to mitigate the impacts of climate change on their traditional livelihoods. Despite the challenges posed by climate change, pastoralists demonstrate resilience and adaptability in their practice. The analysis highlights the importance of considering local knowledge and community-specific strategies when developing effective climate change adaptation and mitigation measures. The study examines the complex interactions between climate change, traditional lifestyles and adaptation strategies among pastoralists in the study area. Comprehending the subjective perspectives of pastoralists regarding climate change will contribute to the understanding of the factors influencing mobility and provide insights into effective management strategies. In the next chapter, I will discuss the influencing factors of pastoralists’ mobility. </w:t>
      </w:r>
      <w:r>
        <w:rPr>
          <w:rFonts w:cs="Times New Roman"/>
          <w:vanish/>
          <w:szCs w:val="24"/>
        </w:rPr>
        <w:t>Top of Form</w:t>
      </w:r>
    </w:p>
    <w:p w:rsidR="00E53882" w:rsidRDefault="00B16FF7">
      <w:pPr>
        <w:pStyle w:val="Heading1"/>
        <w:spacing w:before="0" w:line="480" w:lineRule="auto"/>
      </w:pPr>
      <w:bookmarkStart w:id="117" w:name="_Toc164261727"/>
      <w:r>
        <w:lastRenderedPageBreak/>
        <w:t>CHAPTER SIX</w:t>
      </w:r>
      <w:bookmarkEnd w:id="117"/>
    </w:p>
    <w:p w:rsidR="00E53882" w:rsidRDefault="00B16FF7">
      <w:pPr>
        <w:pStyle w:val="Heading1"/>
        <w:spacing w:before="0" w:line="480" w:lineRule="auto"/>
      </w:pPr>
      <w:bookmarkStart w:id="118" w:name="_Toc164261728"/>
      <w:r>
        <w:t>MOBILITY OF PASTORALISTS AND ITS ASSOCIATION WITH CLIMATE CHANGE</w:t>
      </w:r>
      <w:bookmarkEnd w:id="118"/>
    </w:p>
    <w:p w:rsidR="00E53882" w:rsidRDefault="00B16FF7">
      <w:pPr>
        <w:pStyle w:val="Heading2"/>
        <w:spacing w:line="480" w:lineRule="auto"/>
      </w:pPr>
      <w:bookmarkStart w:id="119" w:name="_Toc164261729"/>
      <w:r>
        <w:t>6.0 Introduction</w:t>
      </w:r>
      <w:bookmarkEnd w:id="119"/>
      <w:r>
        <w:t xml:space="preserve"> </w:t>
      </w:r>
    </w:p>
    <w:p w:rsidR="00E53882" w:rsidRDefault="00B16FF7">
      <w:pPr>
        <w:spacing w:before="0" w:after="0" w:line="480" w:lineRule="auto"/>
        <w:rPr>
          <w:rFonts w:cs="Times New Roman"/>
          <w:szCs w:val="24"/>
        </w:rPr>
      </w:pPr>
      <w:r>
        <w:rPr>
          <w:rFonts w:cs="Times New Roman"/>
          <w:szCs w:val="24"/>
        </w:rPr>
        <w:t>This chapter discusses the role of climate change in the mobility of pastoralists into the study area. The objective seeks to understand the relationship between climate change and the movement patterns of pastoralists. The focus is on how changes in climate conditions (e.g., droughts, floods, changes in vegetation) may impact the pastoralists' ability to move their livestock across different regions, and how these changes may affect the sustainability of pastoral livelihoods. It will also examine how pastoralist movement patterns have changed in the study area. The chapter will involve analysing mobility patterns of pastoralists’, potentially through gathering data on their movements, migration patterns, and how they respond to changes in climate conditions. Overall, the chapter highlights the importance of understanding the relationship between climate change and the mobility of pastoralist, and how their movements’ patterns have evolved in the study area.</w:t>
      </w:r>
    </w:p>
    <w:p w:rsidR="00E53882" w:rsidRDefault="00E53882">
      <w:pPr>
        <w:pStyle w:val="Heading2"/>
        <w:spacing w:before="0" w:after="0" w:line="480" w:lineRule="auto"/>
      </w:pPr>
    </w:p>
    <w:p w:rsidR="00E53882" w:rsidRDefault="00B16FF7">
      <w:pPr>
        <w:pStyle w:val="Heading2"/>
        <w:spacing w:before="0" w:after="0" w:line="480" w:lineRule="auto"/>
      </w:pPr>
      <w:bookmarkStart w:id="120" w:name="_Toc164261730"/>
      <w:r>
        <w:t>6.1 Patterns of Pastoralists Mobility</w:t>
      </w:r>
      <w:bookmarkEnd w:id="120"/>
    </w:p>
    <w:p w:rsidR="00E53882" w:rsidRDefault="00B16FF7">
      <w:pPr>
        <w:spacing w:before="0" w:after="0" w:line="480" w:lineRule="auto"/>
        <w:rPr>
          <w:rFonts w:eastAsia="Times New Roman" w:cs="Times New Roman"/>
          <w:color w:val="252525"/>
          <w:szCs w:val="24"/>
        </w:rPr>
      </w:pPr>
      <w:r>
        <w:rPr>
          <w:rFonts w:eastAsia="Times New Roman" w:cs="Times New Roman"/>
          <w:b/>
          <w:bCs/>
          <w:color w:val="252525"/>
          <w:szCs w:val="24"/>
        </w:rPr>
        <w:t>Forms of mobility</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 xml:space="preserve">Pastoralists are individuals who hinge on raising and herding cattle for their livelihoods. As such, their mobility is closely tied to the movement of their animals in search of pasture and water. Therefore, it is common to talk about mobility with regards to its classifications in the local dialect of the study area. Because pastoralists were very familiar with the concept of </w:t>
      </w:r>
      <w:r>
        <w:rPr>
          <w:rFonts w:eastAsia="Times New Roman" w:cs="Times New Roman"/>
          <w:color w:val="252525"/>
          <w:szCs w:val="24"/>
        </w:rPr>
        <w:lastRenderedPageBreak/>
        <w:t xml:space="preserve">mobility, all thanks to the past researchers who have gone through the study area to find out pastoralist’s mobility. This study therefore finds it useful to start the discussion on mobility in the study area by examining various classifications of the phenomenon provided by the pastoralists themselves. It must, however, be noted that some of their classifications do not fit into the general categorizations of pastoralist mobility in the literature. This is no problem for this research, as the categorizations are simply used to understand the context of the pastoralist’s mobility. The terms were very helpful during this study. Some forms of pastoralist mobility identified in the study area were categorized into three (3) categories. These include </w:t>
      </w:r>
      <w:proofErr w:type="spellStart"/>
      <w:r>
        <w:rPr>
          <w:rFonts w:eastAsia="Times New Roman" w:cs="Times New Roman"/>
          <w:b/>
          <w:bCs/>
          <w:color w:val="252525"/>
          <w:szCs w:val="24"/>
        </w:rPr>
        <w:t>Nigi-Daabihi</w:t>
      </w:r>
      <w:proofErr w:type="spellEnd"/>
      <w:r>
        <w:rPr>
          <w:rFonts w:eastAsia="Times New Roman" w:cs="Times New Roman"/>
          <w:color w:val="252525"/>
          <w:szCs w:val="24"/>
        </w:rPr>
        <w:t xml:space="preserve">, </w:t>
      </w:r>
      <w:r>
        <w:rPr>
          <w:rFonts w:eastAsia="Times New Roman" w:cs="Times New Roman"/>
          <w:b/>
          <w:bCs/>
          <w:color w:val="252525"/>
          <w:szCs w:val="24"/>
        </w:rPr>
        <w:t>Dang-</w:t>
      </w:r>
      <w:proofErr w:type="spellStart"/>
      <w:r>
        <w:rPr>
          <w:rFonts w:eastAsia="Times New Roman" w:cs="Times New Roman"/>
          <w:b/>
          <w:bCs/>
          <w:color w:val="252525"/>
          <w:szCs w:val="24"/>
        </w:rPr>
        <w:t>Kaabu</w:t>
      </w:r>
      <w:proofErr w:type="spellEnd"/>
      <w:r>
        <w:rPr>
          <w:rFonts w:eastAsia="Times New Roman" w:cs="Times New Roman"/>
          <w:b/>
          <w:bCs/>
          <w:color w:val="252525"/>
          <w:szCs w:val="24"/>
        </w:rPr>
        <w:t>,</w:t>
      </w:r>
      <w:r>
        <w:rPr>
          <w:rFonts w:eastAsia="Times New Roman" w:cs="Times New Roman"/>
          <w:color w:val="252525"/>
          <w:szCs w:val="24"/>
        </w:rPr>
        <w:t xml:space="preserve"> and </w:t>
      </w:r>
      <w:proofErr w:type="spellStart"/>
      <w:r>
        <w:rPr>
          <w:rFonts w:eastAsia="Times New Roman" w:cs="Times New Roman"/>
          <w:b/>
          <w:bCs/>
          <w:color w:val="252525"/>
          <w:szCs w:val="24"/>
        </w:rPr>
        <w:t>Modoo</w:t>
      </w:r>
      <w:proofErr w:type="spellEnd"/>
      <w:r>
        <w:rPr>
          <w:rFonts w:eastAsia="Times New Roman" w:cs="Times New Roman"/>
          <w:b/>
          <w:bCs/>
          <w:color w:val="252525"/>
          <w:szCs w:val="24"/>
        </w:rPr>
        <w:t xml:space="preserve">/Nzo </w:t>
      </w:r>
      <w:proofErr w:type="spellStart"/>
      <w:r>
        <w:rPr>
          <w:rFonts w:eastAsia="Times New Roman" w:cs="Times New Roman"/>
          <w:b/>
          <w:bCs/>
          <w:color w:val="252525"/>
          <w:szCs w:val="24"/>
        </w:rPr>
        <w:t>Kokpagu</w:t>
      </w:r>
      <w:proofErr w:type="spellEnd"/>
      <w:r>
        <w:rPr>
          <w:rFonts w:eastAsia="Times New Roman" w:cs="Times New Roman"/>
          <w:color w:val="252525"/>
          <w:szCs w:val="24"/>
        </w:rPr>
        <w:t xml:space="preserve"> forms of migration.</w:t>
      </w:r>
    </w:p>
    <w:p w:rsidR="00E53882" w:rsidRDefault="00B16FF7">
      <w:pPr>
        <w:spacing w:before="100" w:beforeAutospacing="1" w:after="100" w:afterAutospacing="1" w:line="480" w:lineRule="auto"/>
        <w:rPr>
          <w:rFonts w:eastAsia="Times New Roman" w:cs="Times New Roman"/>
          <w:color w:val="252525"/>
          <w:szCs w:val="24"/>
        </w:rPr>
      </w:pPr>
      <w:proofErr w:type="spellStart"/>
      <w:r>
        <w:rPr>
          <w:rFonts w:eastAsia="Times New Roman" w:cs="Times New Roman"/>
          <w:b/>
          <w:bCs/>
          <w:color w:val="252525"/>
          <w:szCs w:val="24"/>
        </w:rPr>
        <w:t>Nigi-</w:t>
      </w:r>
      <w:r>
        <w:rPr>
          <w:rFonts w:eastAsia="Times New Roman" w:cs="Times New Roman"/>
          <w:b/>
          <w:bCs/>
          <w:i/>
          <w:iCs/>
          <w:color w:val="252525"/>
          <w:szCs w:val="24"/>
        </w:rPr>
        <w:t>daabihi</w:t>
      </w:r>
      <w:proofErr w:type="spellEnd"/>
      <w:r>
        <w:rPr>
          <w:rFonts w:eastAsia="Times New Roman" w:cs="Times New Roman"/>
          <w:i/>
          <w:iCs/>
          <w:color w:val="252525"/>
          <w:szCs w:val="24"/>
        </w:rPr>
        <w:t xml:space="preserve">: </w:t>
      </w:r>
      <w:r>
        <w:rPr>
          <w:rFonts w:eastAsia="Times New Roman" w:cs="Times New Roman"/>
          <w:color w:val="252525"/>
          <w:szCs w:val="24"/>
        </w:rPr>
        <w:t>These forms of mobility are pastoralists who rear cattle and also transact business with them. Most pastoralists’ rear cattle and also do cattle business with other tribes. The study area happens to have one of the best livestock markets in Ghana. Therefore, people within and outside the country come to the market to transact business there. Pastoralists from neighbouring countries such as Togo, Burkina Faso, Nigeria, etc. come to this market to sell or buy cattle. The purpose of visiting the market is not only to buy and sell but also to establish relationships with their colleagues’ pastoralists who reside in the districts. Most mobiles found within these categories do not stay in the district for long. They go back to their place of origin immediately when they feel that they need to bring in new cattle or send new cattle home. These groups of mobile pastoralists are among the free riders in the district. They come on a regular basis and do not stay for a longer period before going back to their place of origin.</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 xml:space="preserve">Another form of mobility that was identified in the study area is </w:t>
      </w:r>
      <w:r>
        <w:rPr>
          <w:rFonts w:eastAsia="Times New Roman" w:cs="Times New Roman"/>
          <w:b/>
          <w:bCs/>
          <w:color w:val="252525"/>
          <w:szCs w:val="24"/>
        </w:rPr>
        <w:t>Dang-</w:t>
      </w:r>
      <w:proofErr w:type="spellStart"/>
      <w:r>
        <w:rPr>
          <w:rFonts w:eastAsia="Times New Roman" w:cs="Times New Roman"/>
          <w:b/>
          <w:bCs/>
          <w:color w:val="252525"/>
          <w:szCs w:val="24"/>
        </w:rPr>
        <w:t>Kaabu</w:t>
      </w:r>
      <w:proofErr w:type="spellEnd"/>
      <w:r>
        <w:rPr>
          <w:rFonts w:eastAsia="Times New Roman" w:cs="Times New Roman"/>
          <w:b/>
          <w:bCs/>
          <w:i/>
          <w:iCs/>
          <w:color w:val="252525"/>
          <w:szCs w:val="24"/>
        </w:rPr>
        <w:t xml:space="preserve">. </w:t>
      </w:r>
      <w:r>
        <w:rPr>
          <w:rFonts w:eastAsia="Times New Roman" w:cs="Times New Roman"/>
          <w:color w:val="252525"/>
          <w:szCs w:val="24"/>
        </w:rPr>
        <w:t xml:space="preserve">Pastoralists who form part of this category of mobility are pastoralists who have family members in the </w:t>
      </w:r>
      <w:r>
        <w:rPr>
          <w:rFonts w:eastAsia="Times New Roman" w:cs="Times New Roman"/>
          <w:color w:val="252525"/>
          <w:szCs w:val="24"/>
        </w:rPr>
        <w:lastRenderedPageBreak/>
        <w:t>study area. They paid visits to their family members on a regular basis. Some of them came with cattle to settle with their family members, but others also came for their family members to help them get cattle to take care of. Usually, depending on the intention of the person, their stay is long. Usually lasting more than a year, some even stay forever without going back. Family members play a key role in this form of mobility. They provided them with transportation costs and all the necessary information that they needed before coming to the area, and when they arrived, they gave them a place to settle until they got cattle to rear. At this point, they can go and settle in any place of their choice. This form of mobility also occurs on a regular basis in the study area. When the situation is hard for them and their relatives inform them about some of the opportunities that are present in the study area, they come without any hesitation.</w:t>
      </w:r>
    </w:p>
    <w:p w:rsidR="00E53882" w:rsidRDefault="00B16FF7">
      <w:pPr>
        <w:spacing w:before="100" w:beforeAutospacing="1" w:after="100" w:afterAutospacing="1" w:line="480" w:lineRule="auto"/>
        <w:rPr>
          <w:rFonts w:eastAsia="Times New Roman" w:cs="Times New Roman"/>
          <w:color w:val="252525"/>
          <w:szCs w:val="24"/>
        </w:rPr>
      </w:pPr>
      <w:r>
        <w:rPr>
          <w:rFonts w:eastAsia="Times New Roman" w:cs="Times New Roman"/>
          <w:color w:val="252525"/>
          <w:szCs w:val="24"/>
        </w:rPr>
        <w:t xml:space="preserve">Another form of mobility that was identified was </w:t>
      </w:r>
      <w:proofErr w:type="spellStart"/>
      <w:r>
        <w:rPr>
          <w:rFonts w:eastAsia="Times New Roman" w:cs="Times New Roman"/>
          <w:b/>
          <w:bCs/>
          <w:i/>
          <w:iCs/>
          <w:color w:val="252525"/>
          <w:szCs w:val="24"/>
        </w:rPr>
        <w:t>Modoo</w:t>
      </w:r>
      <w:proofErr w:type="spellEnd"/>
      <w:r>
        <w:rPr>
          <w:rFonts w:eastAsia="Times New Roman" w:cs="Times New Roman"/>
          <w:b/>
          <w:bCs/>
          <w:color w:val="252525"/>
          <w:szCs w:val="24"/>
        </w:rPr>
        <w:t xml:space="preserve">/Nzo </w:t>
      </w:r>
      <w:proofErr w:type="spellStart"/>
      <w:r>
        <w:rPr>
          <w:rFonts w:eastAsia="Times New Roman" w:cs="Times New Roman"/>
          <w:b/>
          <w:bCs/>
          <w:color w:val="252525"/>
          <w:szCs w:val="24"/>
        </w:rPr>
        <w:t>Kokpagu</w:t>
      </w:r>
      <w:proofErr w:type="spellEnd"/>
      <w:r>
        <w:rPr>
          <w:rFonts w:eastAsia="Times New Roman" w:cs="Times New Roman"/>
          <w:b/>
          <w:bCs/>
          <w:i/>
          <w:iCs/>
          <w:color w:val="252525"/>
          <w:szCs w:val="24"/>
        </w:rPr>
        <w:t>.</w:t>
      </w:r>
      <w:r>
        <w:rPr>
          <w:rFonts w:eastAsia="Times New Roman" w:cs="Times New Roman"/>
          <w:i/>
          <w:iCs/>
          <w:color w:val="252525"/>
          <w:szCs w:val="24"/>
        </w:rPr>
        <w:t xml:space="preserve"> </w:t>
      </w:r>
      <w:r>
        <w:rPr>
          <w:rFonts w:eastAsia="Times New Roman" w:cs="Times New Roman"/>
          <w:color w:val="252525"/>
          <w:szCs w:val="24"/>
        </w:rPr>
        <w:t>This form of mobility is where the pastoralists send the animals to a place where they can get access to fodder and water for the animals. This is common, especially during the dry season, when food and water are difficult to get. This category of migrants is only following a place where they can get access to resources. This form of movement usually takes place from January to June each year. Within this period, cattle food is difficult to get, and the pastoralists have no option other than to move to places where they can get access to animal food. They always go back to their place of origin when they realize that animals can get food to feed on in their place. This form of mobility is common among pastoralists from Burkina Faso. Due to the adverse effects of desertification, the whole land is covered with sand, thereby reducing pasture resources. This form of mobility occurs on a seasonal basis and does not exceed six (6) months (FGD, 2023)</w:t>
      </w:r>
    </w:p>
    <w:p w:rsidR="00E53882" w:rsidRDefault="00B16FF7">
      <w:pPr>
        <w:spacing w:after="0" w:line="480" w:lineRule="auto"/>
        <w:rPr>
          <w:rFonts w:eastAsia="Calibri" w:cs="Times New Roman"/>
          <w:iCs/>
          <w:szCs w:val="24"/>
          <w:lang w:val="en"/>
        </w:rPr>
      </w:pPr>
      <w:r>
        <w:rPr>
          <w:rFonts w:eastAsia="Calibri" w:cs="Times New Roman"/>
          <w:iCs/>
          <w:szCs w:val="24"/>
          <w:lang w:val="en"/>
        </w:rPr>
        <w:lastRenderedPageBreak/>
        <w:t xml:space="preserve">The classifications of pastoralist mobility provided by the respondents are a reflection of the complex relationship between pastoralists and their livestock, as well as their interactions with the broader community. Three distinct forms of mobility have been identified: </w:t>
      </w:r>
      <w:proofErr w:type="spellStart"/>
      <w:r>
        <w:rPr>
          <w:rFonts w:eastAsia="Calibri" w:cs="Times New Roman"/>
          <w:iCs/>
          <w:szCs w:val="24"/>
          <w:lang w:val="en"/>
        </w:rPr>
        <w:t>Nigi-Daabihi</w:t>
      </w:r>
      <w:proofErr w:type="spellEnd"/>
      <w:r>
        <w:rPr>
          <w:rFonts w:eastAsia="Calibri" w:cs="Times New Roman"/>
          <w:iCs/>
          <w:szCs w:val="24"/>
          <w:lang w:val="en"/>
        </w:rPr>
        <w:t>, Dang-</w:t>
      </w:r>
      <w:proofErr w:type="spellStart"/>
      <w:r>
        <w:rPr>
          <w:rFonts w:eastAsia="Calibri" w:cs="Times New Roman"/>
          <w:iCs/>
          <w:szCs w:val="24"/>
          <w:lang w:val="en"/>
        </w:rPr>
        <w:t>Kaabu</w:t>
      </w:r>
      <w:proofErr w:type="spellEnd"/>
      <w:r>
        <w:rPr>
          <w:rFonts w:eastAsia="Calibri" w:cs="Times New Roman"/>
          <w:iCs/>
          <w:szCs w:val="24"/>
          <w:lang w:val="en"/>
        </w:rPr>
        <w:t xml:space="preserve">, and </w:t>
      </w:r>
      <w:proofErr w:type="spellStart"/>
      <w:r>
        <w:rPr>
          <w:rFonts w:eastAsia="Calibri" w:cs="Times New Roman"/>
          <w:iCs/>
          <w:szCs w:val="24"/>
          <w:lang w:val="en"/>
        </w:rPr>
        <w:t>Modoo</w:t>
      </w:r>
      <w:proofErr w:type="spellEnd"/>
      <w:r>
        <w:rPr>
          <w:rFonts w:eastAsia="Calibri" w:cs="Times New Roman"/>
          <w:iCs/>
          <w:szCs w:val="24"/>
          <w:lang w:val="en"/>
        </w:rPr>
        <w:t xml:space="preserve">/Nzo </w:t>
      </w:r>
      <w:proofErr w:type="spellStart"/>
      <w:r>
        <w:rPr>
          <w:rFonts w:eastAsia="Calibri" w:cs="Times New Roman"/>
          <w:iCs/>
          <w:szCs w:val="24"/>
          <w:lang w:val="en"/>
        </w:rPr>
        <w:t>Kokpagu</w:t>
      </w:r>
      <w:proofErr w:type="spellEnd"/>
      <w:r>
        <w:rPr>
          <w:rFonts w:eastAsia="Calibri" w:cs="Times New Roman"/>
          <w:iCs/>
          <w:szCs w:val="24"/>
          <w:lang w:val="en"/>
        </w:rPr>
        <w:t xml:space="preserve">. These classifications provide a deeper understanding of how pastoralists traverse their nomadic lifestyle. These have a significant implication for understanding the dynamics of pastoralism. </w:t>
      </w:r>
      <w:proofErr w:type="spellStart"/>
      <w:r>
        <w:rPr>
          <w:rFonts w:eastAsia="Calibri" w:cs="Times New Roman"/>
          <w:iCs/>
          <w:szCs w:val="24"/>
          <w:lang w:val="en"/>
        </w:rPr>
        <w:t>Nigi-Daabihi</w:t>
      </w:r>
      <w:proofErr w:type="spellEnd"/>
      <w:r>
        <w:rPr>
          <w:rFonts w:eastAsia="Calibri" w:cs="Times New Roman"/>
          <w:iCs/>
          <w:szCs w:val="24"/>
          <w:lang w:val="en"/>
        </w:rPr>
        <w:t xml:space="preserve"> pastoralists, who engage in cattle business and regularly visit local livestock markets, play a crucial role in cattle trade. Their mobility connects the study area with neighboring countries, contributing to economic exchanges and cross-border relationships. Dang-</w:t>
      </w:r>
      <w:proofErr w:type="spellStart"/>
      <w:r>
        <w:rPr>
          <w:rFonts w:eastAsia="Calibri" w:cs="Times New Roman"/>
          <w:iCs/>
          <w:szCs w:val="24"/>
          <w:lang w:val="en"/>
        </w:rPr>
        <w:t>Kaabu</w:t>
      </w:r>
      <w:proofErr w:type="spellEnd"/>
      <w:r>
        <w:rPr>
          <w:rFonts w:eastAsia="Calibri" w:cs="Times New Roman"/>
          <w:iCs/>
          <w:szCs w:val="24"/>
          <w:lang w:val="en"/>
        </w:rPr>
        <w:t xml:space="preserve"> pastoralists, on the other hand, emphasize the importance of family ties and support networks in their mobility patterns. They establish long-term residence in the study area, indicating a deeper integration into the local community. </w:t>
      </w:r>
      <w:proofErr w:type="spellStart"/>
      <w:r>
        <w:rPr>
          <w:rFonts w:eastAsia="Calibri" w:cs="Times New Roman"/>
          <w:iCs/>
          <w:szCs w:val="24"/>
          <w:lang w:val="en"/>
        </w:rPr>
        <w:t>Modoo</w:t>
      </w:r>
      <w:proofErr w:type="spellEnd"/>
      <w:r>
        <w:rPr>
          <w:rFonts w:eastAsia="Calibri" w:cs="Times New Roman"/>
          <w:iCs/>
          <w:szCs w:val="24"/>
          <w:lang w:val="en"/>
        </w:rPr>
        <w:t xml:space="preserve">/Nzo </w:t>
      </w:r>
      <w:proofErr w:type="spellStart"/>
      <w:r>
        <w:rPr>
          <w:rFonts w:eastAsia="Calibri" w:cs="Times New Roman"/>
          <w:iCs/>
          <w:szCs w:val="24"/>
          <w:lang w:val="en"/>
        </w:rPr>
        <w:t>Kokpagu</w:t>
      </w:r>
      <w:proofErr w:type="spellEnd"/>
      <w:r>
        <w:rPr>
          <w:rFonts w:eastAsia="Calibri" w:cs="Times New Roman"/>
          <w:iCs/>
          <w:szCs w:val="24"/>
          <w:lang w:val="en"/>
        </w:rPr>
        <w:t xml:space="preserve"> pastoralists' seasonal movements in search of fodder and water highlight the environmental challenges faced by pastoralists, particularly those from Burkina Faso, due to desertification. While this study provides valuable understanding into pastoralist mobility, it is essential to acknowledge that the classifications of mobility presented by respondents may not align perfectly with existing literature on pastoralist mobility, as they are specific to the local context. Therefore, the results may not be directly comparable to studies conducted in different study areas. Additionally, this study does not delve into the quantitative aspects of mobility, such as the number of pastoralists involved in each category, the frequency of movements, or the economic impacts of their mobility. Future research could benefit from quantitative data to complement the qualitative insights presented in this study. These findings corroborate with the theories presented in chapter two of these study, thus the Push and Pull theory, Maximalist School of thought and Migration System and Network </w:t>
      </w:r>
      <w:r>
        <w:rPr>
          <w:rFonts w:eastAsia="Calibri" w:cs="Times New Roman"/>
          <w:iCs/>
          <w:szCs w:val="24"/>
          <w:lang w:val="en"/>
        </w:rPr>
        <w:lastRenderedPageBreak/>
        <w:t xml:space="preserve">theory. </w:t>
      </w:r>
      <w:r>
        <w:rPr>
          <w:rFonts w:eastAsia="Calibri" w:cs="Times New Roman"/>
          <w:bCs/>
          <w:iCs/>
          <w:szCs w:val="24"/>
        </w:rPr>
        <w:t xml:space="preserve">Based on the push-and-pull migration model, people migrate as a result of greater economic opportunities, such as increased revenues and better employment outcomes in destination areas, which allow them to fully realize their desire to enhance their well-being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{"citationItems":[{"id":"ITEM-1","itemData":{"author":[{"dropping-particle":"","family":"Tymore","given":"Maganga","non-dropping-particle":"","parse-names":false,"suffix":""}],"id":"ITEM-1","issued":{"date-parts":[["2020"]]},"title":"Climate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Maganga","type":"thesis"},"uris":["http://www.mendeley.com/documents/?uuid=19f7e569-3bf6-43d7-a26f-742026d16e0a"]}],"mendeley":{"formattedCitation":"(Tymore, 2020)","plainTextFormattedCitation":"(Tymore, 2020)","previouslyFormattedCitation":"(Tymore, 2020)"},"properties":{"noteIndex":0},"schema":"https://github.com/citation-style-language/schema/raw/master/csl-citation.json"}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(Tymore, 2020)</w:t>
      </w:r>
      <w:r>
        <w:rPr>
          <w:rFonts w:eastAsia="Calibri" w:cs="Times New Roman"/>
          <w:bCs/>
          <w:iCs/>
          <w:szCs w:val="24"/>
        </w:rPr>
        <w:fldChar w:fldCharType="end"/>
      </w:r>
      <w:r>
        <w:rPr>
          <w:rFonts w:eastAsia="Calibri" w:cs="Times New Roman"/>
          <w:bCs/>
          <w:iCs/>
          <w:szCs w:val="24"/>
        </w:rPr>
        <w:t xml:space="preserve">. Which is in line with </w:t>
      </w:r>
      <w:proofErr w:type="spellStart"/>
      <w:r>
        <w:rPr>
          <w:rFonts w:eastAsia="Calibri" w:cs="Times New Roman"/>
          <w:bCs/>
          <w:iCs/>
          <w:szCs w:val="24"/>
        </w:rPr>
        <w:t>Nigi-Daabihi</w:t>
      </w:r>
      <w:proofErr w:type="spellEnd"/>
      <w:r>
        <w:rPr>
          <w:rFonts w:eastAsia="Calibri" w:cs="Times New Roman"/>
          <w:bCs/>
          <w:iCs/>
          <w:szCs w:val="24"/>
        </w:rPr>
        <w:t xml:space="preserve">. The Maximalist are of the view that people migrate as a results of climate change </w:t>
      </w:r>
      <w:r>
        <w:rPr>
          <w:rFonts w:eastAsia="Calibri" w:cs="Times New Roman"/>
          <w:bCs/>
          <w:iCs/>
          <w:szCs w:val="24"/>
        </w:rPr>
        <w:fldChar w:fldCharType="begin" w:fldLock="1"/>
      </w:r>
      <w:r>
        <w:rPr>
          <w:rFonts w:eastAsia="Calibri" w:cs="Times New Roman"/>
          <w:bCs/>
          <w:iCs/>
          <w:szCs w:val="24"/>
        </w:rPr>
        <w:instrText>ADDIN CSL_CITATION {"citationItems":[{"id":"ITEM-1","itemData":{"author":[{"dropping-particle":"","family":"Castles","given":"Stephen","non-dropping-particle":"","parse-names":false,"suffix":""}],"container-title":"New Issues in Refugee Research","id":"ITEM-1","issued":{"date-parts":[["2002","1","1"]]},"title":"Environmental Change and Forced Migration: Making Sense of the Debate","type":"article-journal"},"uris":["http://www.mendeley.com/documents/?uuid=cec06087-7b07-4332-ac85-d9a45b1b3c3a"]}],"mendeley":{"formattedCitation":"(Castles, 2002)","plainTextFormattedCitation":"(Castles, 2002)","previouslyFormattedCitation":"(Castles, 2002)"},"properties":{"noteIndex":0},"schema":"https://github.com/citation-style-language/schema/raw/master/csl-citation.json"}</w:instrText>
      </w:r>
      <w:r>
        <w:rPr>
          <w:rFonts w:eastAsia="Calibri" w:cs="Times New Roman"/>
          <w:bCs/>
          <w:iCs/>
          <w:szCs w:val="24"/>
        </w:rPr>
        <w:fldChar w:fldCharType="separate"/>
      </w:r>
      <w:r>
        <w:rPr>
          <w:rFonts w:eastAsia="Calibri" w:cs="Times New Roman"/>
          <w:bCs/>
          <w:iCs/>
          <w:noProof/>
          <w:szCs w:val="24"/>
        </w:rPr>
        <w:t>(Castles, 2002)</w:t>
      </w:r>
      <w:r>
        <w:rPr>
          <w:rFonts w:eastAsia="Calibri" w:cs="Times New Roman"/>
          <w:bCs/>
          <w:iCs/>
          <w:szCs w:val="24"/>
        </w:rPr>
        <w:fldChar w:fldCharType="end"/>
      </w:r>
      <w:r>
        <w:rPr>
          <w:rFonts w:eastAsia="Calibri" w:cs="Times New Roman"/>
          <w:bCs/>
          <w:iCs/>
          <w:szCs w:val="24"/>
        </w:rPr>
        <w:t xml:space="preserve">. This is also in line with </w:t>
      </w:r>
      <w:proofErr w:type="spellStart"/>
      <w:r>
        <w:rPr>
          <w:rFonts w:eastAsia="Calibri" w:cs="Times New Roman"/>
          <w:bCs/>
          <w:iCs/>
          <w:szCs w:val="24"/>
        </w:rPr>
        <w:t>Modoo</w:t>
      </w:r>
      <w:proofErr w:type="spellEnd"/>
      <w:r>
        <w:rPr>
          <w:rFonts w:eastAsia="Calibri" w:cs="Times New Roman"/>
          <w:bCs/>
          <w:iCs/>
          <w:szCs w:val="24"/>
        </w:rPr>
        <w:t>/Nzo-</w:t>
      </w:r>
      <w:proofErr w:type="spellStart"/>
      <w:r>
        <w:rPr>
          <w:rFonts w:eastAsia="Calibri" w:cs="Times New Roman"/>
          <w:bCs/>
          <w:iCs/>
          <w:szCs w:val="24"/>
        </w:rPr>
        <w:t>Kokpagu</w:t>
      </w:r>
      <w:proofErr w:type="spellEnd"/>
      <w:r>
        <w:rPr>
          <w:rFonts w:eastAsia="Calibri" w:cs="Times New Roman"/>
          <w:bCs/>
          <w:iCs/>
          <w:szCs w:val="24"/>
        </w:rPr>
        <w:t xml:space="preserve"> and Migration System and Networks theory, which explains the role of social networks and social capital in migration. This theory is also in line with Dang-</w:t>
      </w:r>
      <w:proofErr w:type="spellStart"/>
      <w:r>
        <w:rPr>
          <w:rFonts w:eastAsia="Calibri" w:cs="Times New Roman"/>
          <w:bCs/>
          <w:iCs/>
          <w:szCs w:val="24"/>
        </w:rPr>
        <w:t>Kaabu</w:t>
      </w:r>
      <w:proofErr w:type="spellEnd"/>
      <w:r>
        <w:rPr>
          <w:rFonts w:eastAsia="Calibri" w:cs="Times New Roman"/>
          <w:bCs/>
          <w:iCs/>
          <w:szCs w:val="24"/>
        </w:rPr>
        <w:t>. Though these classifications may not fit well in these theories, but it lays a foundation for understanding various reasons behind each movement in the study area.</w:t>
      </w:r>
      <w:r>
        <w:rPr>
          <w:rFonts w:eastAsia="Calibri" w:cs="Times New Roman"/>
          <w:iCs/>
          <w:szCs w:val="24"/>
          <w:lang w:val="en"/>
        </w:rPr>
        <w:t xml:space="preserve"> However, it also challenges some conventional classifications of pastoralist mobility, emphasizing the need to consider local contexts when studying these communities. </w:t>
      </w:r>
    </w:p>
    <w:p w:rsidR="00E53882" w:rsidRDefault="00B16FF7">
      <w:pPr>
        <w:pStyle w:val="Heading2"/>
        <w:spacing w:line="480" w:lineRule="auto"/>
        <w:rPr>
          <w:rFonts w:eastAsia="Calibri"/>
          <w:lang w:val="en"/>
        </w:rPr>
      </w:pPr>
      <w:bookmarkStart w:id="121" w:name="_Toc164261731"/>
      <w:r>
        <w:rPr>
          <w:rFonts w:eastAsia="Calibri"/>
          <w:lang w:val="en"/>
        </w:rPr>
        <w:t xml:space="preserve">6.2 Annual mobility calendar for Pastoralists in </w:t>
      </w:r>
      <w:proofErr w:type="spellStart"/>
      <w:r>
        <w:rPr>
          <w:rFonts w:eastAsia="Calibri"/>
          <w:lang w:val="en"/>
        </w:rPr>
        <w:t>Gusheigu</w:t>
      </w:r>
      <w:proofErr w:type="spellEnd"/>
      <w:r>
        <w:rPr>
          <w:rFonts w:eastAsia="Calibri"/>
          <w:lang w:val="en"/>
        </w:rPr>
        <w:t xml:space="preserve"> Municipal and Cross-border Pastoralists</w:t>
      </w:r>
      <w:bookmarkEnd w:id="121"/>
    </w:p>
    <w:p w:rsidR="00E53882" w:rsidRDefault="00B16FF7">
      <w:pPr>
        <w:spacing w:after="200" w:line="480" w:lineRule="auto"/>
        <w:rPr>
          <w:rFonts w:eastAsia="Calibri" w:cs="Times New Roman"/>
          <w:iCs/>
          <w:szCs w:val="24"/>
        </w:rPr>
      </w:pPr>
      <w:r>
        <w:rPr>
          <w:rFonts w:eastAsia="Calibri" w:cs="Times New Roman"/>
          <w:iCs/>
          <w:szCs w:val="24"/>
        </w:rPr>
        <w:t xml:space="preserve">The period of mobility in </w:t>
      </w:r>
      <w:proofErr w:type="spellStart"/>
      <w:r>
        <w:rPr>
          <w:rFonts w:eastAsia="Calibri" w:cs="Times New Roman"/>
          <w:iCs/>
          <w:szCs w:val="24"/>
        </w:rPr>
        <w:t>Gusheigu</w:t>
      </w:r>
      <w:proofErr w:type="spellEnd"/>
      <w:r>
        <w:rPr>
          <w:rFonts w:eastAsia="Calibri" w:cs="Times New Roman"/>
          <w:iCs/>
          <w:szCs w:val="24"/>
        </w:rPr>
        <w:t xml:space="preserve"> municipality takes place throughout the year based on the mobility calendar of pastoralists in the study area. This calendar indicates when the pastoralists in the study area move to other villages closer to their location and the periods when other pastoralists (cross-border) come to the study area to access food and water for their animals and other purposes. Through a participatory rural appraisal technique, we were able to come out with annual mobility calendar that indicates how pastoralists move in and out of the study area throughout the year.</w:t>
      </w:r>
    </w:p>
    <w:p w:rsidR="006B6B6E" w:rsidRDefault="006B6B6E">
      <w:pPr>
        <w:spacing w:after="200" w:line="480" w:lineRule="auto"/>
        <w:rPr>
          <w:rFonts w:eastAsia="Calibri" w:cs="Times New Roman"/>
          <w:iCs/>
          <w:szCs w:val="24"/>
        </w:rPr>
      </w:pPr>
    </w:p>
    <w:p w:rsidR="006B6B6E" w:rsidRDefault="006B6B6E">
      <w:pPr>
        <w:spacing w:after="200" w:line="480" w:lineRule="auto"/>
        <w:rPr>
          <w:rFonts w:eastAsia="Calibri" w:cs="Times New Roman"/>
          <w:iCs/>
          <w:szCs w:val="24"/>
        </w:rPr>
      </w:pPr>
    </w:p>
    <w:p w:rsidR="00F83D3D" w:rsidRDefault="00F83D3D" w:rsidP="00F83D3D">
      <w:pPr>
        <w:pStyle w:val="tableyuuu"/>
        <w:spacing w:before="0" w:after="0"/>
        <w:ind w:left="7260" w:hanging="7260"/>
      </w:pPr>
      <w:bookmarkStart w:id="122" w:name="_Toc156217547"/>
      <w:r>
        <w:lastRenderedPageBreak/>
        <w:t xml:space="preserve">Table 6.1 </w:t>
      </w:r>
    </w:p>
    <w:bookmarkEnd w:id="122"/>
    <w:p w:rsidR="00E53882" w:rsidRPr="00F83D3D" w:rsidRDefault="00F83D3D" w:rsidP="00F83D3D">
      <w:pPr>
        <w:pStyle w:val="tableyuuu"/>
        <w:spacing w:before="0" w:after="0"/>
        <w:ind w:left="7260" w:hanging="7260"/>
        <w:rPr>
          <w:b w:val="0"/>
          <w:i/>
        </w:rPr>
      </w:pPr>
      <w:r>
        <w:rPr>
          <w:b w:val="0"/>
          <w:i/>
        </w:rPr>
        <w:t>P</w:t>
      </w:r>
      <w:r w:rsidR="00533CEE">
        <w:rPr>
          <w:b w:val="0"/>
          <w:i/>
        </w:rPr>
        <w:t xml:space="preserve">astoralist </w:t>
      </w:r>
      <w:r>
        <w:rPr>
          <w:b w:val="0"/>
          <w:i/>
        </w:rPr>
        <w:t xml:space="preserve">Seasonal Mobility Calendar </w:t>
      </w:r>
    </w:p>
    <w:tbl>
      <w:tblPr>
        <w:tblStyle w:val="TableGrid1"/>
        <w:tblW w:w="9445" w:type="dxa"/>
        <w:tblLook w:val="04A0" w:firstRow="1" w:lastRow="0" w:firstColumn="1" w:lastColumn="0" w:noHBand="0" w:noVBand="1"/>
      </w:tblPr>
      <w:tblGrid>
        <w:gridCol w:w="1525"/>
        <w:gridCol w:w="2736"/>
        <w:gridCol w:w="5184"/>
      </w:tblGrid>
      <w:tr w:rsidR="00E53882">
        <w:trPr>
          <w:trHeight w:val="395"/>
        </w:trPr>
        <w:tc>
          <w:tcPr>
            <w:tcW w:w="1525" w:type="dxa"/>
          </w:tcPr>
          <w:p w:rsidR="00E53882" w:rsidRDefault="00B16FF7">
            <w:pPr>
              <w:spacing w:before="0" w:after="0" w:line="480" w:lineRule="auto"/>
              <w:rPr>
                <w:rFonts w:eastAsia="Calibri" w:cs="Times New Roman"/>
                <w:b/>
                <w:iCs/>
                <w:szCs w:val="24"/>
                <w:lang w:val="en-US"/>
              </w:rPr>
            </w:pPr>
            <w:r>
              <w:rPr>
                <w:rFonts w:eastAsia="Calibri" w:cs="Times New Roman"/>
                <w:b/>
                <w:iCs/>
                <w:szCs w:val="24"/>
                <w:lang w:val="en"/>
              </w:rPr>
              <w:t>Seasonality</w:t>
            </w:r>
          </w:p>
        </w:tc>
        <w:tc>
          <w:tcPr>
            <w:tcW w:w="2736" w:type="dxa"/>
          </w:tcPr>
          <w:p w:rsidR="00E53882" w:rsidRDefault="00B16FF7">
            <w:pPr>
              <w:spacing w:before="0" w:after="0" w:line="480" w:lineRule="auto"/>
              <w:rPr>
                <w:rFonts w:eastAsia="Calibri" w:cs="Times New Roman"/>
                <w:b/>
                <w:iCs/>
                <w:szCs w:val="24"/>
                <w:lang w:val="en"/>
              </w:rPr>
            </w:pPr>
            <w:r>
              <w:rPr>
                <w:rFonts w:eastAsia="Calibri" w:cs="Times New Roman"/>
                <w:b/>
                <w:iCs/>
                <w:szCs w:val="24"/>
                <w:lang w:val="en"/>
              </w:rPr>
              <w:t>Calendar months</w:t>
            </w:r>
          </w:p>
        </w:tc>
        <w:tc>
          <w:tcPr>
            <w:tcW w:w="5184" w:type="dxa"/>
          </w:tcPr>
          <w:p w:rsidR="00E53882" w:rsidRDefault="00B16FF7">
            <w:pPr>
              <w:spacing w:before="0" w:after="0" w:line="480" w:lineRule="auto"/>
              <w:rPr>
                <w:rFonts w:eastAsia="Calibri" w:cs="Times New Roman"/>
                <w:b/>
                <w:iCs/>
                <w:szCs w:val="24"/>
                <w:lang w:val="en-US"/>
              </w:rPr>
            </w:pPr>
            <w:r>
              <w:rPr>
                <w:rFonts w:eastAsia="Calibri" w:cs="Times New Roman"/>
                <w:b/>
                <w:iCs/>
                <w:szCs w:val="24"/>
                <w:lang w:val="en"/>
              </w:rPr>
              <w:t>Places they move to</w:t>
            </w:r>
          </w:p>
        </w:tc>
      </w:tr>
      <w:tr w:rsidR="00E53882">
        <w:trPr>
          <w:trHeight w:val="2924"/>
        </w:trPr>
        <w:tc>
          <w:tcPr>
            <w:tcW w:w="1525"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
              </w:rPr>
              <w:t xml:space="preserve">Rainy season </w:t>
            </w:r>
          </w:p>
        </w:tc>
        <w:tc>
          <w:tcPr>
            <w:tcW w:w="2736"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
              </w:rPr>
              <w:t>Mid-April –September</w:t>
            </w:r>
          </w:p>
          <w:p w:rsidR="00E53882" w:rsidRDefault="00E53882">
            <w:pPr>
              <w:spacing w:before="0" w:after="0" w:line="480" w:lineRule="auto"/>
              <w:rPr>
                <w:rFonts w:eastAsia="Calibri" w:cs="Times New Roman"/>
                <w:iCs/>
                <w:szCs w:val="24"/>
                <w:lang w:val="en-US"/>
              </w:rPr>
            </w:pPr>
          </w:p>
        </w:tc>
        <w:tc>
          <w:tcPr>
            <w:tcW w:w="5184" w:type="dxa"/>
          </w:tcPr>
          <w:p w:rsidR="00E53882" w:rsidRDefault="00B16FF7">
            <w:pPr>
              <w:spacing w:before="0" w:after="0" w:line="480" w:lineRule="auto"/>
              <w:rPr>
                <w:rFonts w:eastAsia="Calibri" w:cs="Times New Roman"/>
                <w:iCs/>
                <w:szCs w:val="24"/>
                <w:lang w:val="en"/>
              </w:rPr>
            </w:pPr>
            <w:r>
              <w:rPr>
                <w:rFonts w:eastAsia="Calibri" w:cs="Times New Roman"/>
                <w:iCs/>
                <w:szCs w:val="24"/>
                <w:lang w:val="en"/>
              </w:rPr>
              <w:t xml:space="preserve">Areas use for grazing is cleared and burnt for farming and pastoralists in the study area begin to graze along farms and forest areas not far from where they are staying. They graze and return to the house on daily basis. </w:t>
            </w:r>
            <w:proofErr w:type="spellStart"/>
            <w:r>
              <w:rPr>
                <w:rFonts w:eastAsia="Calibri" w:cs="Times New Roman"/>
                <w:iCs/>
                <w:szCs w:val="24"/>
                <w:lang w:val="en"/>
              </w:rPr>
              <w:t>Nigi-Daabihi</w:t>
            </w:r>
            <w:proofErr w:type="spellEnd"/>
            <w:r>
              <w:rPr>
                <w:rFonts w:eastAsia="Calibri" w:cs="Times New Roman"/>
                <w:iCs/>
                <w:szCs w:val="24"/>
                <w:lang w:val="en"/>
              </w:rPr>
              <w:t xml:space="preserve"> and Dang-</w:t>
            </w:r>
            <w:proofErr w:type="spellStart"/>
            <w:r>
              <w:rPr>
                <w:rFonts w:eastAsia="Calibri" w:cs="Times New Roman"/>
                <w:iCs/>
                <w:szCs w:val="24"/>
                <w:lang w:val="en"/>
              </w:rPr>
              <w:t>Kaabu</w:t>
            </w:r>
            <w:proofErr w:type="spellEnd"/>
            <w:r>
              <w:rPr>
                <w:rFonts w:eastAsia="Calibri" w:cs="Times New Roman"/>
                <w:iCs/>
                <w:szCs w:val="24"/>
                <w:lang w:val="en"/>
              </w:rPr>
              <w:t xml:space="preserve"> also move to the study area within this period</w:t>
            </w:r>
          </w:p>
        </w:tc>
      </w:tr>
      <w:tr w:rsidR="00E53882">
        <w:tc>
          <w:tcPr>
            <w:tcW w:w="1525" w:type="dxa"/>
          </w:tcPr>
          <w:p w:rsidR="00E53882" w:rsidRDefault="00B16FF7">
            <w:pPr>
              <w:spacing w:before="0" w:after="0" w:line="480" w:lineRule="auto"/>
              <w:rPr>
                <w:rFonts w:eastAsia="Calibri" w:cs="Times New Roman"/>
                <w:iCs/>
                <w:szCs w:val="24"/>
                <w:lang w:val="en"/>
              </w:rPr>
            </w:pPr>
            <w:r>
              <w:rPr>
                <w:rFonts w:eastAsia="Calibri" w:cs="Times New Roman"/>
                <w:iCs/>
                <w:szCs w:val="24"/>
                <w:lang w:val="en"/>
              </w:rPr>
              <w:t>Harvest time</w:t>
            </w:r>
          </w:p>
          <w:p w:rsidR="00E53882" w:rsidRDefault="00E53882">
            <w:pPr>
              <w:spacing w:before="0" w:after="0" w:line="480" w:lineRule="auto"/>
              <w:rPr>
                <w:rFonts w:eastAsia="Calibri" w:cs="Times New Roman"/>
                <w:iCs/>
                <w:szCs w:val="24"/>
                <w:lang w:val="en-US"/>
              </w:rPr>
            </w:pPr>
          </w:p>
        </w:tc>
        <w:tc>
          <w:tcPr>
            <w:tcW w:w="2736"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
              </w:rPr>
              <w:t>October –November</w:t>
            </w:r>
          </w:p>
          <w:p w:rsidR="00E53882" w:rsidRDefault="00E53882">
            <w:pPr>
              <w:spacing w:before="0" w:after="0" w:line="480" w:lineRule="auto"/>
              <w:rPr>
                <w:rFonts w:eastAsia="Calibri" w:cs="Times New Roman"/>
                <w:iCs/>
                <w:szCs w:val="24"/>
                <w:lang w:val="en-US"/>
              </w:rPr>
            </w:pPr>
          </w:p>
        </w:tc>
        <w:tc>
          <w:tcPr>
            <w:tcW w:w="5184" w:type="dxa"/>
          </w:tcPr>
          <w:p w:rsidR="00E53882" w:rsidRDefault="00B16FF7">
            <w:pPr>
              <w:spacing w:before="0" w:after="0" w:line="480" w:lineRule="auto"/>
              <w:contextualSpacing/>
              <w:rPr>
                <w:rFonts w:eastAsia="Calibri" w:cs="Times New Roman"/>
                <w:iCs/>
                <w:szCs w:val="24"/>
                <w:lang w:val="en"/>
              </w:rPr>
            </w:pPr>
            <w:r>
              <w:rPr>
                <w:rFonts w:eastAsia="Calibri" w:cs="Times New Roman"/>
                <w:iCs/>
                <w:szCs w:val="24"/>
                <w:lang w:val="en"/>
              </w:rPr>
              <w:t xml:space="preserve">Pastoralists in the area graze on farms they have already harvested as well as places with no or little farms that are still left to be harvested. This period too they graze and return to the house on daily basis. The only difference is, some of them move to far places to access food and water. </w:t>
            </w:r>
            <w:proofErr w:type="spellStart"/>
            <w:r>
              <w:rPr>
                <w:lang w:val="en-US"/>
              </w:rPr>
              <w:t>Nigi-Daabihi</w:t>
            </w:r>
            <w:proofErr w:type="spellEnd"/>
            <w:r>
              <w:rPr>
                <w:lang w:val="en-US"/>
              </w:rPr>
              <w:t xml:space="preserve"> and Dang-</w:t>
            </w:r>
            <w:proofErr w:type="spellStart"/>
            <w:r>
              <w:rPr>
                <w:lang w:val="en-US"/>
              </w:rPr>
              <w:t>Kaabu</w:t>
            </w:r>
            <w:proofErr w:type="spellEnd"/>
            <w:r>
              <w:rPr>
                <w:lang w:val="en-US"/>
              </w:rPr>
              <w:t xml:space="preserve"> also move within this period to the study area.</w:t>
            </w:r>
          </w:p>
        </w:tc>
      </w:tr>
      <w:tr w:rsidR="00E53882">
        <w:trPr>
          <w:trHeight w:val="1250"/>
        </w:trPr>
        <w:tc>
          <w:tcPr>
            <w:tcW w:w="1525" w:type="dxa"/>
          </w:tcPr>
          <w:p w:rsidR="00E53882" w:rsidRDefault="00B16FF7">
            <w:pPr>
              <w:spacing w:before="0" w:after="0" w:line="480" w:lineRule="auto"/>
              <w:jc w:val="left"/>
              <w:rPr>
                <w:rFonts w:eastAsia="Calibri" w:cs="Times New Roman"/>
                <w:iCs/>
                <w:szCs w:val="24"/>
                <w:lang w:val="en"/>
              </w:rPr>
            </w:pPr>
            <w:r>
              <w:rPr>
                <w:rFonts w:eastAsia="Calibri" w:cs="Times New Roman"/>
                <w:iCs/>
                <w:szCs w:val="24"/>
                <w:lang w:val="en"/>
              </w:rPr>
              <w:t>Cold dry season</w:t>
            </w:r>
          </w:p>
          <w:p w:rsidR="00E53882" w:rsidRDefault="00E53882">
            <w:pPr>
              <w:spacing w:before="0" w:after="0" w:line="480" w:lineRule="auto"/>
              <w:rPr>
                <w:rFonts w:eastAsia="Calibri" w:cs="Times New Roman"/>
                <w:iCs/>
                <w:szCs w:val="24"/>
                <w:lang w:val="en"/>
              </w:rPr>
            </w:pPr>
          </w:p>
        </w:tc>
        <w:tc>
          <w:tcPr>
            <w:tcW w:w="2736"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
              </w:rPr>
              <w:t>December-Mid February</w:t>
            </w:r>
          </w:p>
          <w:p w:rsidR="00E53882" w:rsidRDefault="00E53882">
            <w:pPr>
              <w:spacing w:before="0" w:after="0" w:line="480" w:lineRule="auto"/>
              <w:rPr>
                <w:rFonts w:eastAsia="Calibri" w:cs="Times New Roman"/>
                <w:iCs/>
                <w:szCs w:val="24"/>
                <w:lang w:val="en-US"/>
              </w:rPr>
            </w:pPr>
          </w:p>
        </w:tc>
        <w:tc>
          <w:tcPr>
            <w:tcW w:w="5184"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US"/>
              </w:rPr>
              <w:t xml:space="preserve">Pastoralists having their own cattle in the study area move to forest communities to graze and stay whilst those keeping other cattle move to nearby places to graze and return late in the night. Within this period, </w:t>
            </w:r>
            <w:proofErr w:type="spellStart"/>
            <w:r>
              <w:rPr>
                <w:lang w:val="en-US"/>
              </w:rPr>
              <w:t>Nigi-Daabihi</w:t>
            </w:r>
            <w:proofErr w:type="spellEnd"/>
            <w:r>
              <w:rPr>
                <w:lang w:val="en-US"/>
              </w:rPr>
              <w:t xml:space="preserve">, </w:t>
            </w:r>
            <w:proofErr w:type="spellStart"/>
            <w:r>
              <w:rPr>
                <w:lang w:val="en-US"/>
              </w:rPr>
              <w:t>Modoo</w:t>
            </w:r>
            <w:proofErr w:type="spellEnd"/>
            <w:r>
              <w:rPr>
                <w:lang w:val="en-US"/>
              </w:rPr>
              <w:t xml:space="preserve"> and Dang-</w:t>
            </w:r>
            <w:proofErr w:type="spellStart"/>
            <w:r>
              <w:rPr>
                <w:lang w:val="en-US"/>
              </w:rPr>
              <w:t>Kaabu</w:t>
            </w:r>
            <w:proofErr w:type="spellEnd"/>
            <w:r>
              <w:rPr>
                <w:lang w:val="en-US"/>
              </w:rPr>
              <w:t xml:space="preserve"> all move to the study area</w:t>
            </w:r>
          </w:p>
        </w:tc>
      </w:tr>
      <w:tr w:rsidR="00E53882">
        <w:trPr>
          <w:trHeight w:val="5831"/>
        </w:trPr>
        <w:tc>
          <w:tcPr>
            <w:tcW w:w="1525" w:type="dxa"/>
          </w:tcPr>
          <w:p w:rsidR="00E53882" w:rsidRDefault="00B16FF7">
            <w:pPr>
              <w:spacing w:before="0" w:after="0" w:line="480" w:lineRule="auto"/>
              <w:rPr>
                <w:rFonts w:eastAsia="Calibri" w:cs="Times New Roman"/>
                <w:iCs/>
                <w:szCs w:val="24"/>
                <w:lang w:val="en"/>
              </w:rPr>
            </w:pPr>
            <w:r>
              <w:rPr>
                <w:rFonts w:eastAsia="Calibri" w:cs="Times New Roman"/>
                <w:iCs/>
                <w:szCs w:val="24"/>
                <w:lang w:val="en"/>
              </w:rPr>
              <w:lastRenderedPageBreak/>
              <w:t>Hot dry season</w:t>
            </w:r>
          </w:p>
          <w:p w:rsidR="00E53882" w:rsidRDefault="00E53882">
            <w:pPr>
              <w:spacing w:before="0" w:after="0" w:line="480" w:lineRule="auto"/>
              <w:rPr>
                <w:rFonts w:eastAsia="Calibri" w:cs="Times New Roman"/>
                <w:iCs/>
                <w:szCs w:val="24"/>
                <w:lang w:val="en-US"/>
              </w:rPr>
            </w:pPr>
          </w:p>
          <w:p w:rsidR="00E53882" w:rsidRDefault="00E53882">
            <w:pPr>
              <w:spacing w:before="0" w:after="0" w:line="480" w:lineRule="auto"/>
              <w:rPr>
                <w:rFonts w:eastAsia="Calibri" w:cs="Times New Roman"/>
                <w:iCs/>
                <w:szCs w:val="24"/>
                <w:lang w:val="en-US"/>
              </w:rPr>
            </w:pPr>
          </w:p>
        </w:tc>
        <w:tc>
          <w:tcPr>
            <w:tcW w:w="2736" w:type="dxa"/>
          </w:tcPr>
          <w:p w:rsidR="00E53882" w:rsidRDefault="00B16FF7">
            <w:pPr>
              <w:spacing w:before="0" w:after="0" w:line="480" w:lineRule="auto"/>
              <w:rPr>
                <w:rFonts w:eastAsia="Calibri" w:cs="Times New Roman"/>
                <w:iCs/>
                <w:szCs w:val="24"/>
                <w:lang w:val="en"/>
              </w:rPr>
            </w:pPr>
            <w:r>
              <w:rPr>
                <w:rFonts w:eastAsia="Calibri" w:cs="Times New Roman"/>
                <w:iCs/>
                <w:szCs w:val="24"/>
                <w:lang w:val="en"/>
              </w:rPr>
              <w:t>Mid-February-Mid-April</w:t>
            </w:r>
          </w:p>
          <w:p w:rsidR="00E53882" w:rsidRDefault="00E53882">
            <w:pPr>
              <w:spacing w:before="0" w:after="0" w:line="480" w:lineRule="auto"/>
              <w:rPr>
                <w:rFonts w:eastAsia="Calibri" w:cs="Times New Roman"/>
                <w:iCs/>
                <w:szCs w:val="24"/>
                <w:lang w:val="en-US"/>
              </w:rPr>
            </w:pPr>
          </w:p>
        </w:tc>
        <w:tc>
          <w:tcPr>
            <w:tcW w:w="5184" w:type="dxa"/>
          </w:tcPr>
          <w:p w:rsidR="00E53882" w:rsidRDefault="00B16FF7">
            <w:pPr>
              <w:spacing w:before="0" w:after="0" w:line="480" w:lineRule="auto"/>
              <w:rPr>
                <w:rFonts w:eastAsia="Calibri" w:cs="Times New Roman"/>
                <w:iCs/>
                <w:szCs w:val="24"/>
                <w:lang w:val="en-US"/>
              </w:rPr>
            </w:pPr>
            <w:r>
              <w:rPr>
                <w:rFonts w:eastAsia="Calibri" w:cs="Times New Roman"/>
                <w:iCs/>
                <w:szCs w:val="24"/>
                <w:lang w:val="en"/>
              </w:rPr>
              <w:t xml:space="preserve">Within this period most water bodies are dried and grasses are consumed by bush fire. Pastoralists staying in the study area as well as those who migrated to the area to search for communities with forest and water bodies that does not dry up. Therefore, places like </w:t>
            </w:r>
            <w:proofErr w:type="spellStart"/>
            <w:r>
              <w:rPr>
                <w:rFonts w:eastAsia="Calibri" w:cs="Times New Roman"/>
                <w:iCs/>
                <w:szCs w:val="24"/>
                <w:lang w:val="en"/>
              </w:rPr>
              <w:t>Bulugu</w:t>
            </w:r>
            <w:proofErr w:type="spellEnd"/>
            <w:r>
              <w:rPr>
                <w:rFonts w:eastAsia="Calibri" w:cs="Times New Roman"/>
                <w:iCs/>
                <w:szCs w:val="24"/>
                <w:lang w:val="en"/>
              </w:rPr>
              <w:t xml:space="preserve">, </w:t>
            </w:r>
            <w:proofErr w:type="spellStart"/>
            <w:r>
              <w:rPr>
                <w:rFonts w:eastAsia="Calibri" w:cs="Times New Roman"/>
                <w:iCs/>
                <w:szCs w:val="24"/>
                <w:lang w:val="en"/>
              </w:rPr>
              <w:t>Kpatinga</w:t>
            </w:r>
            <w:proofErr w:type="spellEnd"/>
            <w:r>
              <w:rPr>
                <w:rFonts w:eastAsia="Calibri" w:cs="Times New Roman"/>
                <w:iCs/>
                <w:szCs w:val="24"/>
                <w:lang w:val="en"/>
              </w:rPr>
              <w:t xml:space="preserve"> forest, </w:t>
            </w:r>
            <w:proofErr w:type="spellStart"/>
            <w:r>
              <w:rPr>
                <w:rFonts w:eastAsia="Calibri" w:cs="Times New Roman"/>
                <w:iCs/>
                <w:szCs w:val="24"/>
                <w:lang w:val="en"/>
              </w:rPr>
              <w:t>sawadugu</w:t>
            </w:r>
            <w:proofErr w:type="spellEnd"/>
            <w:r>
              <w:rPr>
                <w:rFonts w:eastAsia="Calibri" w:cs="Times New Roman"/>
                <w:iCs/>
                <w:szCs w:val="24"/>
                <w:lang w:val="en"/>
              </w:rPr>
              <w:t xml:space="preserve"> forest, </w:t>
            </w:r>
            <w:proofErr w:type="spellStart"/>
            <w:r>
              <w:rPr>
                <w:rFonts w:eastAsia="Calibri" w:cs="Times New Roman"/>
                <w:iCs/>
                <w:szCs w:val="24"/>
                <w:lang w:val="en"/>
              </w:rPr>
              <w:t>Nakunga</w:t>
            </w:r>
            <w:proofErr w:type="spellEnd"/>
            <w:r>
              <w:rPr>
                <w:rFonts w:eastAsia="Calibri" w:cs="Times New Roman"/>
                <w:iCs/>
                <w:szCs w:val="24"/>
                <w:lang w:val="en"/>
              </w:rPr>
              <w:t xml:space="preserve"> forest, </w:t>
            </w:r>
            <w:proofErr w:type="spellStart"/>
            <w:r>
              <w:rPr>
                <w:rFonts w:eastAsia="Calibri" w:cs="Times New Roman"/>
                <w:iCs/>
                <w:szCs w:val="24"/>
                <w:lang w:val="en"/>
              </w:rPr>
              <w:t>Naganga</w:t>
            </w:r>
            <w:proofErr w:type="spellEnd"/>
            <w:r>
              <w:rPr>
                <w:rFonts w:eastAsia="Calibri" w:cs="Times New Roman"/>
                <w:iCs/>
                <w:szCs w:val="24"/>
                <w:lang w:val="en"/>
              </w:rPr>
              <w:t xml:space="preserve"> Forest, </w:t>
            </w:r>
            <w:proofErr w:type="spellStart"/>
            <w:r>
              <w:rPr>
                <w:rFonts w:eastAsia="Calibri" w:cs="Times New Roman"/>
                <w:iCs/>
                <w:szCs w:val="24"/>
                <w:lang w:val="en"/>
              </w:rPr>
              <w:t>Kpinkpano</w:t>
            </w:r>
            <w:proofErr w:type="spellEnd"/>
            <w:r>
              <w:rPr>
                <w:rFonts w:eastAsia="Calibri" w:cs="Times New Roman"/>
                <w:iCs/>
                <w:szCs w:val="24"/>
                <w:lang w:val="en"/>
              </w:rPr>
              <w:t xml:space="preserve"> etc. became attractive places for them. </w:t>
            </w:r>
            <w:r>
              <w:rPr>
                <w:lang w:val="en-US"/>
              </w:rPr>
              <w:t>This period too all forms of mobility (</w:t>
            </w:r>
            <w:proofErr w:type="spellStart"/>
            <w:r>
              <w:rPr>
                <w:lang w:val="en-US"/>
              </w:rPr>
              <w:t>Nigi-Daabihi</w:t>
            </w:r>
            <w:proofErr w:type="spellEnd"/>
            <w:r>
              <w:rPr>
                <w:lang w:val="en-US"/>
              </w:rPr>
              <w:t xml:space="preserve">, </w:t>
            </w:r>
            <w:proofErr w:type="spellStart"/>
            <w:r>
              <w:rPr>
                <w:lang w:val="en-US"/>
              </w:rPr>
              <w:t>Modoo</w:t>
            </w:r>
            <w:proofErr w:type="spellEnd"/>
            <w:r>
              <w:rPr>
                <w:lang w:val="en-US"/>
              </w:rPr>
              <w:t xml:space="preserve"> and Dang-</w:t>
            </w:r>
            <w:proofErr w:type="spellStart"/>
            <w:r>
              <w:rPr>
                <w:lang w:val="en-US"/>
              </w:rPr>
              <w:t>Kaabu</w:t>
            </w:r>
            <w:proofErr w:type="spellEnd"/>
            <w:r>
              <w:rPr>
                <w:lang w:val="en-US"/>
              </w:rPr>
              <w:t>) all available in the study area</w:t>
            </w:r>
          </w:p>
        </w:tc>
      </w:tr>
      <w:tr w:rsidR="00E53882">
        <w:trPr>
          <w:trHeight w:val="818"/>
        </w:trPr>
        <w:tc>
          <w:tcPr>
            <w:tcW w:w="1525" w:type="dxa"/>
          </w:tcPr>
          <w:p w:rsidR="00E53882" w:rsidRDefault="00B16FF7">
            <w:pPr>
              <w:spacing w:before="0" w:after="0" w:line="480" w:lineRule="auto"/>
              <w:jc w:val="left"/>
              <w:rPr>
                <w:rFonts w:eastAsia="Calibri" w:cs="Times New Roman"/>
                <w:iCs/>
                <w:szCs w:val="24"/>
                <w:lang w:val="en"/>
              </w:rPr>
            </w:pPr>
            <w:r>
              <w:rPr>
                <w:rFonts w:eastAsia="Calibri" w:cs="Times New Roman"/>
                <w:iCs/>
                <w:szCs w:val="24"/>
                <w:lang w:val="en"/>
              </w:rPr>
              <w:t>Periods of entry into rainy season</w:t>
            </w:r>
          </w:p>
          <w:p w:rsidR="00E53882" w:rsidRDefault="00E53882">
            <w:pPr>
              <w:spacing w:before="0" w:after="0" w:line="480" w:lineRule="auto"/>
              <w:rPr>
                <w:rFonts w:eastAsia="Calibri" w:cs="Times New Roman"/>
                <w:iCs/>
                <w:szCs w:val="24"/>
                <w:lang w:val="en-US"/>
              </w:rPr>
            </w:pPr>
          </w:p>
        </w:tc>
        <w:tc>
          <w:tcPr>
            <w:tcW w:w="2736" w:type="dxa"/>
          </w:tcPr>
          <w:p w:rsidR="00E53882" w:rsidRDefault="00B16FF7">
            <w:pPr>
              <w:spacing w:before="0" w:after="0" w:line="480" w:lineRule="auto"/>
              <w:rPr>
                <w:rFonts w:eastAsia="Calibri" w:cs="Times New Roman"/>
                <w:iCs/>
                <w:szCs w:val="24"/>
                <w:lang w:val="en"/>
              </w:rPr>
            </w:pPr>
            <w:r>
              <w:rPr>
                <w:rFonts w:eastAsia="Calibri" w:cs="Times New Roman"/>
                <w:iCs/>
                <w:szCs w:val="24"/>
                <w:lang w:val="en"/>
              </w:rPr>
              <w:t>Mid-April— mid-June</w:t>
            </w:r>
          </w:p>
          <w:p w:rsidR="00E53882" w:rsidRDefault="00E53882">
            <w:pPr>
              <w:spacing w:before="0" w:after="0" w:line="480" w:lineRule="auto"/>
              <w:rPr>
                <w:rFonts w:eastAsia="Calibri" w:cs="Times New Roman"/>
                <w:iCs/>
                <w:szCs w:val="24"/>
                <w:lang w:val="en-US"/>
              </w:rPr>
            </w:pPr>
          </w:p>
        </w:tc>
        <w:tc>
          <w:tcPr>
            <w:tcW w:w="5184" w:type="dxa"/>
          </w:tcPr>
          <w:p w:rsidR="00E53882" w:rsidRDefault="00B16FF7">
            <w:pPr>
              <w:spacing w:before="0" w:after="0" w:line="480" w:lineRule="auto"/>
              <w:contextualSpacing/>
              <w:rPr>
                <w:rFonts w:eastAsia="Calibri" w:cs="Times New Roman"/>
                <w:iCs/>
                <w:szCs w:val="24"/>
                <w:lang w:val="en"/>
              </w:rPr>
            </w:pPr>
            <w:r>
              <w:rPr>
                <w:rFonts w:eastAsia="Calibri" w:cs="Times New Roman"/>
                <w:iCs/>
                <w:szCs w:val="24"/>
                <w:lang w:val="en"/>
              </w:rPr>
              <w:t xml:space="preserve">Within this period, communities having benefited from early rain became a source of destination for both internal pastoralists and cross-border pastoralists. They search for this communities and relocate there until they started experiencing rainfall in their place of origin. </w:t>
            </w:r>
            <w:r>
              <w:rPr>
                <w:lang w:val="en-US"/>
              </w:rPr>
              <w:t xml:space="preserve">This period </w:t>
            </w:r>
            <w:proofErr w:type="spellStart"/>
            <w:r>
              <w:rPr>
                <w:lang w:val="en-US"/>
              </w:rPr>
              <w:t>Nigi-Daabihi</w:t>
            </w:r>
            <w:proofErr w:type="spellEnd"/>
            <w:r>
              <w:rPr>
                <w:lang w:val="en-US"/>
              </w:rPr>
              <w:t xml:space="preserve">, </w:t>
            </w:r>
            <w:proofErr w:type="spellStart"/>
            <w:r>
              <w:rPr>
                <w:lang w:val="en-US"/>
              </w:rPr>
              <w:t>Modoo</w:t>
            </w:r>
            <w:proofErr w:type="spellEnd"/>
            <w:r>
              <w:rPr>
                <w:lang w:val="en-US"/>
              </w:rPr>
              <w:t xml:space="preserve"> and Dang-</w:t>
            </w:r>
            <w:proofErr w:type="spellStart"/>
            <w:r>
              <w:rPr>
                <w:lang w:val="en-US"/>
              </w:rPr>
              <w:t>Kaabu</w:t>
            </w:r>
            <w:proofErr w:type="spellEnd"/>
            <w:r>
              <w:rPr>
                <w:lang w:val="en-US"/>
              </w:rPr>
              <w:t xml:space="preserve"> are all present in the area</w:t>
            </w:r>
          </w:p>
        </w:tc>
      </w:tr>
    </w:tbl>
    <w:p w:rsidR="00E53882" w:rsidRDefault="00C317BD">
      <w:pPr>
        <w:spacing w:before="0" w:after="0" w:line="480" w:lineRule="auto"/>
        <w:rPr>
          <w:rFonts w:eastAsia="Calibri" w:cs="Times New Roman"/>
          <w:b/>
          <w:iCs/>
          <w:szCs w:val="24"/>
        </w:rPr>
      </w:pPr>
      <w:r>
        <w:rPr>
          <w:rFonts w:eastAsia="Calibri" w:cs="Times New Roman"/>
          <w:b/>
          <w:iCs/>
          <w:szCs w:val="24"/>
        </w:rPr>
        <w:t xml:space="preserve">Source: </w:t>
      </w:r>
      <w:r w:rsidR="00B16FF7">
        <w:rPr>
          <w:rFonts w:eastAsia="Calibri" w:cs="Times New Roman"/>
          <w:b/>
          <w:iCs/>
          <w:szCs w:val="24"/>
        </w:rPr>
        <w:t>FGD, 2023 (PRA/Seasonal Mobility Calendar)</w:t>
      </w:r>
    </w:p>
    <w:p w:rsidR="00E53882" w:rsidRDefault="00B16FF7">
      <w:pPr>
        <w:spacing w:line="480" w:lineRule="auto"/>
        <w:rPr>
          <w:rFonts w:cs="Times New Roman"/>
          <w:bCs/>
          <w:szCs w:val="24"/>
        </w:rPr>
      </w:pPr>
      <w:r>
        <w:rPr>
          <w:rFonts w:cs="Times New Roman"/>
          <w:bCs/>
          <w:szCs w:val="24"/>
        </w:rPr>
        <w:t xml:space="preserve">This table provides a broad summary of the annual mobility calendar for pastoralists in the </w:t>
      </w:r>
      <w:proofErr w:type="spellStart"/>
      <w:r>
        <w:rPr>
          <w:rFonts w:cs="Times New Roman"/>
          <w:bCs/>
          <w:szCs w:val="24"/>
        </w:rPr>
        <w:t>Gusheigu</w:t>
      </w:r>
      <w:proofErr w:type="spellEnd"/>
      <w:r>
        <w:rPr>
          <w:rFonts w:cs="Times New Roman"/>
          <w:bCs/>
          <w:szCs w:val="24"/>
        </w:rPr>
        <w:t xml:space="preserve"> Municipality and highlights the distinct seasons, calendar months, and destinations associated with their mobility patterns. From the above analysis, we have realized that, pastoralists whose movement is based on trade (</w:t>
      </w:r>
      <w:proofErr w:type="spellStart"/>
      <w:r>
        <w:rPr>
          <w:rFonts w:cs="Times New Roman"/>
          <w:bCs/>
          <w:szCs w:val="24"/>
        </w:rPr>
        <w:t>Nigi-Daabihi</w:t>
      </w:r>
      <w:proofErr w:type="spellEnd"/>
      <w:r>
        <w:rPr>
          <w:rFonts w:cs="Times New Roman"/>
          <w:bCs/>
          <w:szCs w:val="24"/>
        </w:rPr>
        <w:t>) and family visit (Dang-</w:t>
      </w:r>
      <w:proofErr w:type="spellStart"/>
      <w:r>
        <w:rPr>
          <w:rFonts w:cs="Times New Roman"/>
          <w:bCs/>
          <w:szCs w:val="24"/>
        </w:rPr>
        <w:t>Kaabu</w:t>
      </w:r>
      <w:proofErr w:type="spellEnd"/>
      <w:r>
        <w:rPr>
          <w:rFonts w:cs="Times New Roman"/>
          <w:bCs/>
          <w:szCs w:val="24"/>
        </w:rPr>
        <w:t xml:space="preserve">) </w:t>
      </w:r>
      <w:r>
        <w:rPr>
          <w:rFonts w:cs="Times New Roman"/>
          <w:bCs/>
          <w:szCs w:val="24"/>
        </w:rPr>
        <w:lastRenderedPageBreak/>
        <w:t xml:space="preserve">move throughout the calendar year. But those whose movements are based on the availability of resources, only move within a specific period of the year. These findings offer a deep understanding of the dynamics of the pastoralist movement, which are essential for understanding how they cope with environmental changes, and other socioeconomic factors. The data reveal that pastoralists' mobility is connected to the seasons, availability of resources and other opportunities. The entrance of cross-border pastoralists presents an opportunity for economic exchange and cross-cultural interactions. However, it also raises challenges related to resource depletion and environmental degradation, as both local and cross-border pastoralists seek out the same limited resources. It is important to acknowledge that the </w:t>
      </w:r>
      <w:proofErr w:type="spellStart"/>
      <w:r>
        <w:rPr>
          <w:rFonts w:cs="Times New Roman"/>
          <w:bCs/>
          <w:szCs w:val="24"/>
        </w:rPr>
        <w:t>calander</w:t>
      </w:r>
      <w:proofErr w:type="spellEnd"/>
      <w:r>
        <w:rPr>
          <w:rFonts w:cs="Times New Roman"/>
          <w:bCs/>
          <w:szCs w:val="24"/>
        </w:rPr>
        <w:t xml:space="preserve"> does not capture the quantitative aspects of mobility, such as the number of pastoralists involved in each form of mobility and the precise impact on local resources. Additionally, the study focuses on a specific geographical area (</w:t>
      </w:r>
      <w:proofErr w:type="spellStart"/>
      <w:r>
        <w:rPr>
          <w:rFonts w:cs="Times New Roman"/>
          <w:bCs/>
          <w:szCs w:val="24"/>
        </w:rPr>
        <w:t>Gusheigu</w:t>
      </w:r>
      <w:proofErr w:type="spellEnd"/>
      <w:r>
        <w:rPr>
          <w:rFonts w:cs="Times New Roman"/>
          <w:bCs/>
          <w:szCs w:val="24"/>
        </w:rPr>
        <w:t xml:space="preserve"> Municipal) and may not fully represent the diversity of pastoralist mobility patterns across different regions and ecosystems. While previous research has often focused on generalized patterns of pastoralist movement, this study delves into the temporal aspects of mobility, emphasizing the seasonality and resource-driven nature of pastoralist decisions. However, the study's unique contribution lies in its detailed exploration of the temporal dimension of pastoralist mobility within a specific geographic context</w:t>
      </w:r>
      <w:r>
        <w:rPr>
          <w:rFonts w:cs="Times New Roman"/>
          <w:szCs w:val="24"/>
        </w:rPr>
        <w:t xml:space="preserve">. </w:t>
      </w:r>
    </w:p>
    <w:p w:rsidR="00E53882" w:rsidRDefault="00B16FF7">
      <w:pPr>
        <w:pStyle w:val="Heading2"/>
        <w:spacing w:line="480" w:lineRule="auto"/>
      </w:pPr>
      <w:bookmarkStart w:id="123" w:name="_Toc164261732"/>
      <w:r>
        <w:t>6.3 Observations of Pastoralist Mobility</w:t>
      </w:r>
      <w:bookmarkEnd w:id="123"/>
      <w:r>
        <w:t xml:space="preserve"> </w:t>
      </w:r>
    </w:p>
    <w:p w:rsidR="00F83D3D" w:rsidRDefault="00B16FF7">
      <w:pPr>
        <w:spacing w:after="0" w:line="480" w:lineRule="auto"/>
        <w:rPr>
          <w:rFonts w:cs="Times New Roman"/>
          <w:szCs w:val="24"/>
        </w:rPr>
      </w:pPr>
      <w:r>
        <w:rPr>
          <w:rFonts w:cs="Times New Roman"/>
          <w:szCs w:val="24"/>
        </w:rPr>
        <w:t xml:space="preserve">The observed state of mobility among pastoralists in the study area. In the in-depth interviews, the majority of pastoralists expressed the opinion that both cross-border and internal mobility are on the rise (73.33%). Possible reasons for this include environmental and socioeconomic factors. None of the participants mentioned a decrease, but approximately a quarter (26.67%) </w:t>
      </w:r>
      <w:r>
        <w:rPr>
          <w:rFonts w:cs="Times New Roman"/>
          <w:szCs w:val="24"/>
        </w:rPr>
        <w:lastRenderedPageBreak/>
        <w:t xml:space="preserve">of the pastoralists reported stable mobility. This suggest that a subgroup of the pastoralist has not experienced significant changes in their </w:t>
      </w:r>
      <w:r w:rsidR="00F83D3D">
        <w:rPr>
          <w:rFonts w:cs="Times New Roman"/>
          <w:szCs w:val="24"/>
        </w:rPr>
        <w:t xml:space="preserve">traditional movement patterns. </w:t>
      </w:r>
    </w:p>
    <w:p w:rsidR="00F83D3D" w:rsidRDefault="00B16FF7">
      <w:pPr>
        <w:spacing w:after="0" w:line="480" w:lineRule="auto"/>
        <w:rPr>
          <w:rFonts w:cs="Times New Roman"/>
          <w:b/>
          <w:szCs w:val="24"/>
        </w:rPr>
      </w:pPr>
      <w:r w:rsidRPr="00F83D3D">
        <w:rPr>
          <w:rFonts w:cs="Times New Roman"/>
          <w:b/>
          <w:szCs w:val="24"/>
        </w:rPr>
        <w:t xml:space="preserve">Figure 6.1 </w:t>
      </w:r>
    </w:p>
    <w:p w:rsidR="00E53882" w:rsidRPr="00F83D3D" w:rsidRDefault="00F83D3D">
      <w:pPr>
        <w:spacing w:after="0" w:line="480" w:lineRule="auto"/>
        <w:rPr>
          <w:i/>
          <w:noProof/>
          <w:lang w:val="en-US"/>
        </w:rPr>
      </w:pPr>
      <w:r w:rsidRPr="00F83D3D">
        <w:rPr>
          <w:rFonts w:cs="Times New Roman"/>
          <w:i/>
          <w:szCs w:val="24"/>
        </w:rPr>
        <w:t>Observations of Pastoralists Mobility</w:t>
      </w:r>
      <w:r w:rsidR="00B16FF7" w:rsidRPr="00F83D3D">
        <w:rPr>
          <w:rFonts w:cs="Times New Roman"/>
          <w:i/>
          <w:vanish/>
          <w:szCs w:val="24"/>
        </w:rPr>
        <w:t>Top of Form</w:t>
      </w:r>
    </w:p>
    <w:p w:rsidR="00E53882" w:rsidRDefault="00B16FF7">
      <w:pPr>
        <w:spacing w:after="0" w:line="480" w:lineRule="auto"/>
        <w:rPr>
          <w:rFonts w:cs="Times New Roman"/>
          <w:szCs w:val="24"/>
        </w:rPr>
      </w:pPr>
      <w:r>
        <w:rPr>
          <w:noProof/>
          <w:lang w:val="en-US"/>
        </w:rPr>
        <w:drawing>
          <wp:inline distT="0" distB="0" distL="0" distR="0">
            <wp:extent cx="5669280" cy="2913380"/>
            <wp:effectExtent l="0" t="0" r="7620" b="127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53882" w:rsidRDefault="00F83D3D">
      <w:pPr>
        <w:pStyle w:val="figures"/>
      </w:pPr>
      <w:r>
        <w:t>Source: Field Work (2023)</w:t>
      </w:r>
    </w:p>
    <w:p w:rsidR="00E53882" w:rsidRDefault="00B16FF7">
      <w:pPr>
        <w:spacing w:before="0" w:after="0" w:line="480" w:lineRule="auto"/>
        <w:rPr>
          <w:rFonts w:cs="Times New Roman"/>
          <w:iCs/>
          <w:szCs w:val="24"/>
        </w:rPr>
      </w:pPr>
      <w:r>
        <w:rPr>
          <w:rFonts w:cs="Times New Roman"/>
          <w:iCs/>
          <w:szCs w:val="24"/>
        </w:rPr>
        <w:t>Pastoralists have also observed that there has been a significant difference between current mobility and the past. The narration of the 65-year-old pastoralist regarding pastoralism in the past, as compared to the present, is captured in Box 6.1 below:</w:t>
      </w:r>
    </w:p>
    <w:p w:rsidR="00E53882" w:rsidRDefault="00E53882">
      <w:pPr>
        <w:spacing w:before="0" w:after="0" w:line="480" w:lineRule="auto"/>
        <w:rPr>
          <w:rFonts w:cs="Times New Roman"/>
          <w:iCs/>
          <w:szCs w:val="24"/>
        </w:rPr>
      </w:pPr>
    </w:p>
    <w:p w:rsidR="00E53882" w:rsidRDefault="00B16FF7">
      <w:pPr>
        <w:pStyle w:val="boxes"/>
      </w:pPr>
      <w:bookmarkStart w:id="124" w:name="_Toc156606831"/>
      <w:r>
        <w:t>Box 6.1: Difference between Current and Past Form of Mobility</w:t>
      </w:r>
      <w:bookmarkEnd w:id="124"/>
    </w:p>
    <w:tbl>
      <w:tblPr>
        <w:tblStyle w:val="TableGrid"/>
        <w:tblW w:w="0" w:type="auto"/>
        <w:tblLook w:val="04A0" w:firstRow="1" w:lastRow="0" w:firstColumn="1" w:lastColumn="0" w:noHBand="0" w:noVBand="1"/>
      </w:tblPr>
      <w:tblGrid>
        <w:gridCol w:w="8918"/>
      </w:tblGrid>
      <w:tr w:rsidR="00E53882">
        <w:trPr>
          <w:trHeight w:val="5417"/>
        </w:trPr>
        <w:tc>
          <w:tcPr>
            <w:tcW w:w="9350" w:type="dxa"/>
          </w:tcPr>
          <w:p w:rsidR="00E53882" w:rsidRDefault="00B16FF7">
            <w:pPr>
              <w:spacing w:before="0" w:after="0" w:line="480" w:lineRule="auto"/>
              <w:rPr>
                <w:rFonts w:cs="Times New Roman"/>
                <w:iCs/>
                <w:szCs w:val="24"/>
                <w:lang w:val="en-US"/>
              </w:rPr>
            </w:pPr>
            <w:r>
              <w:rPr>
                <w:rFonts w:cs="Times New Roman"/>
                <w:iCs/>
                <w:szCs w:val="24"/>
                <w:lang w:val="en-US"/>
              </w:rPr>
              <w:lastRenderedPageBreak/>
              <w:t>In recent times, there has been an increase in the distance of mobility. Initially, we used to move within a radius of less than 50 kilometers, but now, we have to cover hundreds of kilometers. As a result of this change, sheep and goats are no longer included in the movement. These species are not strong enough to endure such long distances and may become lost along the way. Previously, conflicts were minimal and easily manageable, but the current situation is different. People even lose their lives in the process due to competition for resources. This used to be a manageable situation without anyone getting hurt. The duration of the movement has also changed, from a shorter period of about three (3) months to an extended period of six (6) months. The number of animals has increased significantly, from around 100 to thousands of cattle. There are now numerous issues to contend with, including customs procedures at the border, as well as the need to pay for water in host communities. In the past, there were designated areas for cattle during the rainy season, exclusively reserved for them, and no farmers would farm there. However, these areas are now being used for farming purposes.</w:t>
            </w:r>
            <w:r>
              <w:rPr>
                <w:rFonts w:cs="Times New Roman"/>
                <w:iCs/>
                <w:vanish/>
                <w:szCs w:val="24"/>
                <w:lang w:val="en-US"/>
              </w:rPr>
              <w:t>Top of Form</w:t>
            </w:r>
          </w:p>
        </w:tc>
      </w:tr>
    </w:tbl>
    <w:p w:rsidR="00E53882" w:rsidRDefault="00B16FF7">
      <w:pPr>
        <w:spacing w:before="0" w:after="0" w:line="480" w:lineRule="auto"/>
        <w:rPr>
          <w:rFonts w:cs="Times New Roman"/>
          <w:bCs/>
          <w:iCs/>
          <w:szCs w:val="24"/>
        </w:rPr>
      </w:pPr>
      <w:r>
        <w:rPr>
          <w:rFonts w:cs="Times New Roman"/>
          <w:b/>
          <w:iCs/>
          <w:szCs w:val="24"/>
          <w:lang w:val="en"/>
        </w:rPr>
        <w:t>Key Informant Interview, 2023</w:t>
      </w:r>
    </w:p>
    <w:p w:rsidR="00E53882" w:rsidRDefault="00B16FF7">
      <w:pPr>
        <w:spacing w:before="0" w:after="0" w:line="480" w:lineRule="auto"/>
        <w:rPr>
          <w:rFonts w:cs="Times New Roman"/>
          <w:iCs/>
          <w:szCs w:val="24"/>
          <w:lang w:val="en"/>
        </w:rPr>
      </w:pPr>
      <w:r>
        <w:rPr>
          <w:rFonts w:cs="Times New Roman"/>
          <w:iCs/>
          <w:szCs w:val="24"/>
          <w:lang w:val="en"/>
        </w:rPr>
        <w:t xml:space="preserve">The findings above show the changes in </w:t>
      </w:r>
      <w:proofErr w:type="gramStart"/>
      <w:r>
        <w:rPr>
          <w:rFonts w:cs="Times New Roman"/>
          <w:iCs/>
          <w:szCs w:val="24"/>
          <w:lang w:val="en"/>
        </w:rPr>
        <w:t>pastoralists</w:t>
      </w:r>
      <w:proofErr w:type="gramEnd"/>
      <w:r>
        <w:rPr>
          <w:rFonts w:cs="Times New Roman"/>
          <w:iCs/>
          <w:szCs w:val="24"/>
          <w:lang w:val="en"/>
        </w:rPr>
        <w:t xml:space="preserve"> mobility and the observations they have made regarding their movements.</w:t>
      </w:r>
    </w:p>
    <w:p w:rsidR="00E53882" w:rsidRDefault="00E53882">
      <w:pPr>
        <w:pStyle w:val="Heading2"/>
        <w:spacing w:before="0" w:after="0" w:line="480" w:lineRule="auto"/>
        <w:rPr>
          <w:lang w:val="en"/>
        </w:rPr>
      </w:pPr>
    </w:p>
    <w:p w:rsidR="00E53882" w:rsidRDefault="00B16FF7">
      <w:pPr>
        <w:pStyle w:val="Heading2"/>
        <w:spacing w:before="0" w:after="0" w:line="480" w:lineRule="auto"/>
        <w:rPr>
          <w:lang w:val="en"/>
        </w:rPr>
      </w:pPr>
      <w:bookmarkStart w:id="125" w:name="_Toc164261733"/>
      <w:r>
        <w:rPr>
          <w:lang w:val="en"/>
        </w:rPr>
        <w:t xml:space="preserve">6.5 Reasons for </w:t>
      </w:r>
      <w:r>
        <w:rPr>
          <w:lang w:val="en-US"/>
        </w:rPr>
        <w:t>P</w:t>
      </w:r>
      <w:proofErr w:type="spellStart"/>
      <w:r>
        <w:rPr>
          <w:lang w:val="en"/>
        </w:rPr>
        <w:t>astoralists</w:t>
      </w:r>
      <w:proofErr w:type="spellEnd"/>
      <w:r>
        <w:rPr>
          <w:lang w:val="en"/>
        </w:rPr>
        <w:t xml:space="preserve"> Mobility into the Study Area</w:t>
      </w:r>
      <w:bookmarkEnd w:id="125"/>
    </w:p>
    <w:p w:rsidR="00E53882" w:rsidRDefault="00B16FF7">
      <w:pPr>
        <w:spacing w:before="0" w:after="0" w:line="480" w:lineRule="auto"/>
        <w:rPr>
          <w:rFonts w:cs="Times New Roman"/>
          <w:iCs/>
          <w:szCs w:val="24"/>
          <w:lang w:val="en"/>
        </w:rPr>
      </w:pPr>
      <w:r>
        <w:rPr>
          <w:rFonts w:cs="Times New Roman"/>
          <w:iCs/>
          <w:szCs w:val="24"/>
          <w:lang w:val="en"/>
        </w:rPr>
        <w:t xml:space="preserve">The IDIs revealed that pastoralists’ cross-border mobility is as a result of increase in livestock numbers. Pastoralists’ animals have increased nowadays, but the space to keep them is limited. As a results, pastoralists are finding ways to keep them. This push </w:t>
      </w:r>
      <w:proofErr w:type="gramStart"/>
      <w:r>
        <w:rPr>
          <w:rFonts w:cs="Times New Roman"/>
          <w:iCs/>
          <w:szCs w:val="24"/>
          <w:lang w:val="en"/>
        </w:rPr>
        <w:t>them</w:t>
      </w:r>
      <w:proofErr w:type="gramEnd"/>
      <w:r>
        <w:rPr>
          <w:rFonts w:cs="Times New Roman"/>
          <w:iCs/>
          <w:szCs w:val="24"/>
          <w:lang w:val="en"/>
        </w:rPr>
        <w:t xml:space="preserve"> to find places that will be convenient for them and their animals. This statement was captured in our discussion;</w:t>
      </w:r>
    </w:p>
    <w:p w:rsidR="00E53882" w:rsidRDefault="00B16FF7">
      <w:pPr>
        <w:spacing w:before="0" w:after="0" w:line="480" w:lineRule="auto"/>
        <w:ind w:left="864"/>
        <w:rPr>
          <w:rFonts w:cs="Times New Roman"/>
          <w:i/>
          <w:szCs w:val="24"/>
        </w:rPr>
      </w:pPr>
      <w:r>
        <w:rPr>
          <w:rFonts w:cs="Times New Roman"/>
          <w:i/>
          <w:szCs w:val="24"/>
        </w:rPr>
        <w:lastRenderedPageBreak/>
        <w:t>“If someone says he do not have them at all, he may have 50, 60 or 100 going. If the person is going to say he do not have enough” (</w:t>
      </w:r>
      <w:proofErr w:type="spellStart"/>
      <w:r>
        <w:rPr>
          <w:rFonts w:cs="Times New Roman"/>
          <w:i/>
          <w:szCs w:val="24"/>
        </w:rPr>
        <w:t>Fulbe</w:t>
      </w:r>
      <w:proofErr w:type="spellEnd"/>
      <w:r>
        <w:rPr>
          <w:rFonts w:cs="Times New Roman"/>
          <w:i/>
          <w:szCs w:val="24"/>
        </w:rPr>
        <w:t xml:space="preserve"> Pastoralists, 65-year-old male participant on 31st December, 2022).</w:t>
      </w:r>
    </w:p>
    <w:p w:rsidR="00E53882" w:rsidRDefault="00B16FF7">
      <w:pPr>
        <w:spacing w:before="0" w:after="0" w:line="480" w:lineRule="auto"/>
        <w:rPr>
          <w:rFonts w:cs="Times New Roman"/>
          <w:iCs/>
          <w:szCs w:val="24"/>
          <w:lang w:val="en"/>
        </w:rPr>
      </w:pPr>
      <w:r>
        <w:rPr>
          <w:rFonts w:cs="Times New Roman"/>
          <w:iCs/>
          <w:szCs w:val="24"/>
          <w:lang w:val="en"/>
        </w:rPr>
        <w:t>The above narration shows that</w:t>
      </w:r>
      <w:r>
        <w:rPr>
          <w:rFonts w:cs="Times New Roman"/>
          <w:color w:val="3B3B3B"/>
          <w:szCs w:val="24"/>
          <w:shd w:val="clear" w:color="auto" w:fill="FFFFFF"/>
        </w:rPr>
        <w:t xml:space="preserve"> as livestock increases, so does the demand for more space to keep them. This often results in pastoralists moving their herds to new areas in search of places to keep them. </w:t>
      </w:r>
    </w:p>
    <w:p w:rsidR="00E53882" w:rsidRDefault="00B16FF7">
      <w:pPr>
        <w:spacing w:before="0" w:after="0" w:line="480" w:lineRule="auto"/>
        <w:rPr>
          <w:rFonts w:cs="Times New Roman"/>
          <w:iCs/>
          <w:szCs w:val="24"/>
          <w:lang w:val="en"/>
        </w:rPr>
      </w:pPr>
      <w:r>
        <w:rPr>
          <w:rFonts w:cs="Times New Roman"/>
          <w:iCs/>
          <w:szCs w:val="24"/>
          <w:lang w:val="en"/>
        </w:rPr>
        <w:t xml:space="preserve">The health of the animals is also another motivation for pastoralist mobility. The health of animals depends on how they move from one location to another. These kinds of movements increase their health status. This was what he said </w:t>
      </w:r>
    </w:p>
    <w:p w:rsidR="00E53882" w:rsidRDefault="00B16FF7">
      <w:pPr>
        <w:spacing w:before="0" w:after="0" w:line="480" w:lineRule="auto"/>
        <w:ind w:left="720"/>
        <w:rPr>
          <w:rFonts w:cs="Times New Roman"/>
          <w:i/>
          <w:iCs/>
          <w:szCs w:val="24"/>
          <w:lang w:val="en"/>
        </w:rPr>
      </w:pPr>
      <w:r>
        <w:rPr>
          <w:rFonts w:cs="Times New Roman"/>
          <w:i/>
          <w:iCs/>
          <w:szCs w:val="24"/>
          <w:lang w:val="en"/>
        </w:rPr>
        <w:t>“Animals do not like it, when they stay at one place, they prefer moving them around, that way, gives them good health” (</w:t>
      </w:r>
      <w:proofErr w:type="spellStart"/>
      <w:r>
        <w:rPr>
          <w:rFonts w:cs="Times New Roman"/>
          <w:i/>
          <w:iCs/>
          <w:szCs w:val="24"/>
          <w:lang w:val="en"/>
        </w:rPr>
        <w:t>Fulbe</w:t>
      </w:r>
      <w:proofErr w:type="spellEnd"/>
      <w:r>
        <w:rPr>
          <w:rFonts w:cs="Times New Roman"/>
          <w:i/>
          <w:iCs/>
          <w:szCs w:val="24"/>
          <w:lang w:val="en"/>
        </w:rPr>
        <w:t xml:space="preserve"> Pastoralists, 65-year-old male participant on 31st December, 2022).</w:t>
      </w:r>
    </w:p>
    <w:p w:rsidR="00E53882" w:rsidRDefault="00B16FF7">
      <w:pPr>
        <w:spacing w:before="0" w:after="0" w:line="480" w:lineRule="auto"/>
        <w:rPr>
          <w:rFonts w:cs="Times New Roman"/>
          <w:szCs w:val="24"/>
        </w:rPr>
      </w:pPr>
      <w:r>
        <w:rPr>
          <w:rFonts w:cs="Times New Roman"/>
          <w:szCs w:val="24"/>
        </w:rPr>
        <w:t>This explains that, if there is no movement, their health status decrease. Constant movement is a major contributor to the health of animals. Movement helps to reduce the risk of disease transmission and parasite infestations that can occur when cattle are confined to one area for an extended period. Changes in climate or natural disasters such as drought or floods can also affect livestock health, forcing pastoralists to move their herds to areas with more favourable conditions.</w:t>
      </w:r>
    </w:p>
    <w:p w:rsidR="00E53882" w:rsidRDefault="00B16FF7">
      <w:pPr>
        <w:spacing w:before="0" w:after="0" w:line="480" w:lineRule="auto"/>
        <w:rPr>
          <w:rFonts w:cs="Times New Roman"/>
          <w:szCs w:val="24"/>
        </w:rPr>
      </w:pPr>
      <w:r>
        <w:rPr>
          <w:rFonts w:cs="Times New Roman"/>
          <w:szCs w:val="24"/>
        </w:rPr>
        <w:t xml:space="preserve">Inadequate gazing land has been another factor that push pastoralist to move out of their comfort zone to other places with their animals. This is because, most pasture lands have been used for development projects whiles some have been covered by desert. Making it extremely difficult for pastoralist to get enough food for their animals. </w:t>
      </w:r>
    </w:p>
    <w:p w:rsidR="00E53882" w:rsidRDefault="00B16FF7">
      <w:pPr>
        <w:spacing w:before="0" w:after="0" w:line="480" w:lineRule="auto"/>
        <w:rPr>
          <w:rFonts w:cs="Times New Roman"/>
          <w:szCs w:val="24"/>
        </w:rPr>
      </w:pPr>
      <w:r>
        <w:rPr>
          <w:rFonts w:cs="Times New Roman"/>
          <w:szCs w:val="24"/>
        </w:rPr>
        <w:lastRenderedPageBreak/>
        <w:t xml:space="preserve">Pastoralist’s inability to access grass for their animals during dry season is one of the key factors that influence most of them to move. </w:t>
      </w:r>
    </w:p>
    <w:p w:rsidR="00E53882" w:rsidRDefault="00B16FF7">
      <w:pPr>
        <w:spacing w:before="0" w:after="0" w:line="480" w:lineRule="auto"/>
        <w:ind w:left="720"/>
        <w:rPr>
          <w:rFonts w:cs="Times New Roman"/>
          <w:szCs w:val="24"/>
        </w:rPr>
      </w:pPr>
      <w:r>
        <w:rPr>
          <w:rFonts w:cs="Times New Roman"/>
          <w:szCs w:val="24"/>
        </w:rPr>
        <w:t>“</w:t>
      </w:r>
      <w:r>
        <w:rPr>
          <w:rFonts w:cs="Times New Roman"/>
          <w:i/>
          <w:szCs w:val="24"/>
        </w:rPr>
        <w:t>They are no grasses; all have turn to sand. As a result nothing is there. So before dry season even set in, there is nothing for the animal to depend on”.</w:t>
      </w:r>
      <w:r>
        <w:rPr>
          <w:rFonts w:cs="Times New Roman"/>
          <w:szCs w:val="24"/>
        </w:rPr>
        <w:t xml:space="preserve"> </w:t>
      </w:r>
    </w:p>
    <w:p w:rsidR="00E53882" w:rsidRDefault="00B16FF7">
      <w:pPr>
        <w:spacing w:before="0" w:after="0" w:line="480" w:lineRule="auto"/>
        <w:rPr>
          <w:rFonts w:cs="Times New Roman"/>
          <w:szCs w:val="24"/>
        </w:rPr>
      </w:pPr>
      <w:r>
        <w:rPr>
          <w:rFonts w:cs="Times New Roman"/>
          <w:szCs w:val="24"/>
        </w:rPr>
        <w:t xml:space="preserve">The narration describes a situation where the land in question has become extremely dry and barren, with all of the grass having turned into sand. As a result of this, there is no vegetation available for animals to feed on. It was further revealed that animals have the types of grasses they like a lot and when these grasses are not available, owners maybe force to look for them. The narration of 61 years old pastoralist on the types of grasses cattle like were captured below: </w:t>
      </w:r>
    </w:p>
    <w:p w:rsidR="00E53882" w:rsidRDefault="00B16FF7">
      <w:pPr>
        <w:spacing w:before="0" w:after="0" w:line="480" w:lineRule="auto"/>
        <w:ind w:left="864"/>
        <w:rPr>
          <w:rFonts w:cs="Times New Roman"/>
          <w:i/>
          <w:szCs w:val="24"/>
        </w:rPr>
      </w:pPr>
      <w:r>
        <w:rPr>
          <w:rFonts w:cs="Times New Roman"/>
          <w:i/>
          <w:szCs w:val="24"/>
        </w:rPr>
        <w:t>“There are varieties of grasses that cattle graze on. The grasses you see around are not those that the animals want, is not all grasses that animals feed on. They select those that they want to graze on and be happy. When those grasses finished and left with those that are just growing around, you have to go and look for them.</w:t>
      </w:r>
      <w:r>
        <w:rPr>
          <w:rFonts w:cs="Times New Roman"/>
          <w:szCs w:val="24"/>
        </w:rPr>
        <w:t xml:space="preserve"> </w:t>
      </w:r>
      <w:r>
        <w:rPr>
          <w:rFonts w:cs="Times New Roman"/>
          <w:i/>
          <w:szCs w:val="24"/>
        </w:rPr>
        <w:t>We have four varieties of them. One is “</w:t>
      </w:r>
      <w:r>
        <w:rPr>
          <w:rFonts w:cs="Times New Roman"/>
          <w:b/>
          <w:i/>
          <w:szCs w:val="24"/>
        </w:rPr>
        <w:t>Prima</w:t>
      </w:r>
      <w:r>
        <w:rPr>
          <w:rFonts w:cs="Times New Roman"/>
          <w:i/>
          <w:szCs w:val="24"/>
        </w:rPr>
        <w:t>”, it gives them a lot of energy in their system, second is “</w:t>
      </w:r>
      <w:proofErr w:type="spellStart"/>
      <w:r>
        <w:rPr>
          <w:rFonts w:cs="Times New Roman"/>
          <w:b/>
          <w:i/>
          <w:szCs w:val="24"/>
        </w:rPr>
        <w:t>Chima</w:t>
      </w:r>
      <w:proofErr w:type="spellEnd"/>
      <w:r>
        <w:rPr>
          <w:rFonts w:cs="Times New Roman"/>
          <w:i/>
          <w:szCs w:val="24"/>
        </w:rPr>
        <w:t xml:space="preserve">” when it is not fully matured, </w:t>
      </w:r>
      <w:proofErr w:type="gramStart"/>
      <w:r>
        <w:rPr>
          <w:rFonts w:cs="Times New Roman"/>
          <w:i/>
          <w:szCs w:val="24"/>
        </w:rPr>
        <w:t>they</w:t>
      </w:r>
      <w:proofErr w:type="gramEnd"/>
      <w:r>
        <w:rPr>
          <w:rFonts w:cs="Times New Roman"/>
          <w:i/>
          <w:szCs w:val="24"/>
        </w:rPr>
        <w:t xml:space="preserve"> graze on it a lot. There is another grass in waterlogged areas called “</w:t>
      </w:r>
      <w:proofErr w:type="spellStart"/>
      <w:r>
        <w:rPr>
          <w:rFonts w:cs="Times New Roman"/>
          <w:b/>
          <w:i/>
          <w:szCs w:val="24"/>
        </w:rPr>
        <w:t>Gbinkpang</w:t>
      </w:r>
      <w:proofErr w:type="spellEnd"/>
      <w:r>
        <w:rPr>
          <w:rFonts w:cs="Times New Roman"/>
          <w:b/>
          <w:i/>
          <w:szCs w:val="24"/>
        </w:rPr>
        <w:t>”,</w:t>
      </w:r>
      <w:r>
        <w:rPr>
          <w:rFonts w:cs="Times New Roman"/>
          <w:i/>
          <w:szCs w:val="24"/>
        </w:rPr>
        <w:t xml:space="preserve"> when it grows to their height level and they do not have to bend and graze on it, it gives them good health. As they graze, it continues to grow until the rain stop. At that point, those grasses cannot grow above their level. And there is another grass around rivers, we call it “</w:t>
      </w:r>
      <w:proofErr w:type="spellStart"/>
      <w:r>
        <w:rPr>
          <w:rFonts w:cs="Times New Roman"/>
          <w:b/>
          <w:i/>
          <w:szCs w:val="24"/>
        </w:rPr>
        <w:t>Baaree</w:t>
      </w:r>
      <w:proofErr w:type="spellEnd"/>
      <w:r>
        <w:rPr>
          <w:rFonts w:cs="Times New Roman"/>
          <w:i/>
          <w:szCs w:val="24"/>
        </w:rPr>
        <w:t xml:space="preserve"> in </w:t>
      </w:r>
      <w:proofErr w:type="spellStart"/>
      <w:r>
        <w:rPr>
          <w:rFonts w:cs="Times New Roman"/>
          <w:i/>
          <w:szCs w:val="24"/>
        </w:rPr>
        <w:t>Fulbe</w:t>
      </w:r>
      <w:proofErr w:type="spellEnd"/>
      <w:r>
        <w:rPr>
          <w:rFonts w:cs="Times New Roman"/>
          <w:i/>
          <w:szCs w:val="24"/>
        </w:rPr>
        <w:t xml:space="preserve"> language. That one too they graze on it a lot. But when it rains and the rivers become full of water, they cannot longer go there to graze and there are some the animals graze on when the river banks get dried up”</w:t>
      </w:r>
    </w:p>
    <w:p w:rsidR="00E53882" w:rsidRDefault="00B16FF7">
      <w:pPr>
        <w:spacing w:before="0" w:line="480" w:lineRule="auto"/>
        <w:rPr>
          <w:rFonts w:cs="Times New Roman"/>
          <w:szCs w:val="24"/>
        </w:rPr>
      </w:pPr>
      <w:r>
        <w:rPr>
          <w:rFonts w:cs="Times New Roman"/>
          <w:szCs w:val="24"/>
        </w:rPr>
        <w:lastRenderedPageBreak/>
        <w:t xml:space="preserve">This suggests that the grazing behaviour of cattle is a key factor in determining the mobility patterns of pastoralists. Once the preferred grasses have been exhausted, pastoralists have to move to new locations in search of fresh grazing land. The availability of suitable grasses is dependent on the time of year and weather conditions. As the rainy season comes to an end, some types of grass may no longer be available for grazing, and cattle may need to seek out alternative sources of food. This highlights the importance of understanding the feeding behaviour of cattle in order to develop effective strategies for managing grazing land and supporting the livelihoods of pastoralists. </w:t>
      </w:r>
    </w:p>
    <w:p w:rsidR="00E53882" w:rsidRDefault="00B16FF7">
      <w:pPr>
        <w:spacing w:before="0" w:line="480" w:lineRule="auto"/>
        <w:rPr>
          <w:rFonts w:cs="Times New Roman"/>
          <w:szCs w:val="24"/>
        </w:rPr>
      </w:pPr>
      <w:r>
        <w:rPr>
          <w:rFonts w:cs="Times New Roman"/>
          <w:szCs w:val="24"/>
        </w:rPr>
        <w:t xml:space="preserve">The investigation also revealed that, rainfall is limited during rainy season and because of that pastoralist’s access to water for their livestock is difficult especially during dry season. </w:t>
      </w:r>
    </w:p>
    <w:p w:rsidR="00E53882" w:rsidRDefault="00B16FF7">
      <w:pPr>
        <w:spacing w:before="0" w:line="480" w:lineRule="auto"/>
        <w:ind w:left="720"/>
        <w:rPr>
          <w:rFonts w:cs="Times New Roman"/>
          <w:i/>
          <w:szCs w:val="24"/>
        </w:rPr>
      </w:pPr>
      <w:r>
        <w:rPr>
          <w:rFonts w:cs="Times New Roman"/>
          <w:szCs w:val="24"/>
        </w:rPr>
        <w:t>“</w:t>
      </w:r>
      <w:r>
        <w:rPr>
          <w:rFonts w:cs="Times New Roman"/>
          <w:i/>
          <w:szCs w:val="24"/>
        </w:rPr>
        <w:t>Because, water is not enough, due to insufficient rainfall, when it rains and we realized that, right now, even if water is not sufficient, but it’s better, we will go back and stay until next season then we come again”.</w:t>
      </w:r>
    </w:p>
    <w:p w:rsidR="00E53882" w:rsidRDefault="00B16FF7">
      <w:pPr>
        <w:spacing w:before="0" w:line="480" w:lineRule="auto"/>
        <w:rPr>
          <w:rFonts w:cs="Times New Roman"/>
          <w:szCs w:val="24"/>
        </w:rPr>
      </w:pPr>
      <w:r>
        <w:rPr>
          <w:rFonts w:cs="Times New Roman"/>
          <w:szCs w:val="24"/>
        </w:rPr>
        <w:t xml:space="preserve">The narration describes the difficulties that pastoralists face in accessing water for their livestock at their place of origin. This scarcity of water is attributed to insufficient rainfall, which creates challenges for livestock management, particularly during the dry season. </w:t>
      </w:r>
    </w:p>
    <w:p w:rsidR="00E53882" w:rsidRDefault="00B16FF7">
      <w:pPr>
        <w:spacing w:before="0" w:after="0" w:line="480" w:lineRule="auto"/>
        <w:rPr>
          <w:rFonts w:cs="Times New Roman"/>
          <w:szCs w:val="24"/>
        </w:rPr>
      </w:pPr>
      <w:r>
        <w:rPr>
          <w:rFonts w:cs="Times New Roman"/>
          <w:szCs w:val="24"/>
        </w:rPr>
        <w:t>Pastoralist mobility is an opportunity to initiate children to pastoralism and culture. “This practice is not only serving as a livelihood for us, for it forms part of our identity and our children have to learn it” says the 63 years old pastoralist</w:t>
      </w:r>
    </w:p>
    <w:p w:rsidR="00E53882" w:rsidRDefault="00B16FF7">
      <w:pPr>
        <w:spacing w:before="0" w:line="480" w:lineRule="auto"/>
        <w:rPr>
          <w:rFonts w:cs="Times New Roman"/>
          <w:szCs w:val="24"/>
        </w:rPr>
      </w:pPr>
      <w:r>
        <w:rPr>
          <w:rFonts w:cs="Times New Roman"/>
          <w:szCs w:val="24"/>
        </w:rPr>
        <w:t>It also a means of determining the maturity level of a child. The 52 years old pastoralist stated that:</w:t>
      </w:r>
    </w:p>
    <w:p w:rsidR="00E53882" w:rsidRDefault="00B16FF7">
      <w:pPr>
        <w:spacing w:before="0" w:after="0" w:line="480" w:lineRule="auto"/>
        <w:ind w:left="720"/>
        <w:rPr>
          <w:rFonts w:cs="Times New Roman"/>
          <w:szCs w:val="24"/>
        </w:rPr>
      </w:pPr>
      <w:r>
        <w:rPr>
          <w:rFonts w:cs="Times New Roman"/>
          <w:szCs w:val="24"/>
        </w:rPr>
        <w:lastRenderedPageBreak/>
        <w:t>“</w:t>
      </w:r>
      <w:r>
        <w:rPr>
          <w:rFonts w:cs="Times New Roman"/>
          <w:i/>
          <w:szCs w:val="24"/>
        </w:rPr>
        <w:t>When the children are able to send the cattle and come back, it signifies that, they can handle issues on their own</w:t>
      </w:r>
      <w:r>
        <w:rPr>
          <w:rFonts w:cs="Times New Roman"/>
          <w:szCs w:val="24"/>
        </w:rPr>
        <w:t>” say the 52 years old pastoralist</w:t>
      </w:r>
    </w:p>
    <w:p w:rsidR="00E53882" w:rsidRDefault="00B16FF7">
      <w:pPr>
        <w:spacing w:before="0" w:after="0" w:line="480" w:lineRule="auto"/>
        <w:rPr>
          <w:rFonts w:cs="Times New Roman"/>
          <w:i/>
          <w:szCs w:val="24"/>
        </w:rPr>
      </w:pPr>
      <w:r>
        <w:rPr>
          <w:rFonts w:cs="Times New Roman"/>
          <w:szCs w:val="24"/>
        </w:rPr>
        <w:t>Another interesting motivation for cross-border mobility is proud of being called cattle owner.</w:t>
      </w:r>
      <w:r>
        <w:rPr>
          <w:rFonts w:cs="Times New Roman"/>
          <w:i/>
          <w:szCs w:val="24"/>
        </w:rPr>
        <w:t xml:space="preserve"> </w:t>
      </w:r>
    </w:p>
    <w:p w:rsidR="00E53882" w:rsidRDefault="00B16FF7">
      <w:pPr>
        <w:spacing w:before="0" w:after="0" w:line="480" w:lineRule="auto"/>
        <w:ind w:left="720"/>
        <w:rPr>
          <w:rFonts w:cs="Times New Roman"/>
          <w:szCs w:val="24"/>
        </w:rPr>
      </w:pPr>
      <w:r>
        <w:rPr>
          <w:rFonts w:cs="Times New Roman"/>
          <w:i/>
          <w:szCs w:val="24"/>
        </w:rPr>
        <w:t>“There is so much respect attached to cattle, we believe that, is because of us that there are cattle, so you feel proud when you are moving with cattle:” says the 66 years old pastoralist</w:t>
      </w:r>
    </w:p>
    <w:p w:rsidR="00E53882" w:rsidRDefault="00B16FF7">
      <w:pPr>
        <w:spacing w:before="0" w:line="480" w:lineRule="auto"/>
        <w:rPr>
          <w:rFonts w:cs="Times New Roman"/>
          <w:szCs w:val="24"/>
        </w:rPr>
      </w:pPr>
      <w:r>
        <w:rPr>
          <w:rFonts w:cs="Times New Roman"/>
          <w:szCs w:val="24"/>
        </w:rPr>
        <w:t xml:space="preserve">By drawing from the narration, it stems from the fact that cattle are central to their culture and way of life. As such, the </w:t>
      </w:r>
      <w:proofErr w:type="spellStart"/>
      <w:r>
        <w:rPr>
          <w:rFonts w:cs="Times New Roman"/>
          <w:szCs w:val="24"/>
        </w:rPr>
        <w:t>Fulbe</w:t>
      </w:r>
      <w:proofErr w:type="spellEnd"/>
      <w:r>
        <w:rPr>
          <w:rFonts w:cs="Times New Roman"/>
          <w:szCs w:val="24"/>
        </w:rPr>
        <w:t xml:space="preserve"> have developed a deep knowledge and understanding of cattle, and their expertise in raising and caring for them is widely recognized. </w:t>
      </w:r>
    </w:p>
    <w:p w:rsidR="00E53882" w:rsidRDefault="00B16FF7">
      <w:pPr>
        <w:spacing w:before="0" w:line="480" w:lineRule="auto"/>
        <w:rPr>
          <w:rFonts w:cs="Times New Roman"/>
          <w:szCs w:val="24"/>
        </w:rPr>
      </w:pPr>
      <w:r>
        <w:rPr>
          <w:rFonts w:cs="Times New Roman"/>
          <w:szCs w:val="24"/>
        </w:rPr>
        <w:t>Some pastoralists move due to hardship, which can be defined as a condition of deprivation or suffering resulting from poverty, natural disasters, or conflict and lack of job (lack of cattle to take care of).</w:t>
      </w:r>
    </w:p>
    <w:p w:rsidR="00E53882" w:rsidRDefault="00B16FF7">
      <w:pPr>
        <w:spacing w:before="0" w:after="0" w:line="480" w:lineRule="auto"/>
        <w:ind w:left="720"/>
        <w:rPr>
          <w:rFonts w:cs="Times New Roman"/>
          <w:i/>
          <w:szCs w:val="24"/>
        </w:rPr>
      </w:pPr>
      <w:r>
        <w:rPr>
          <w:rFonts w:cs="Times New Roman"/>
          <w:i/>
          <w:szCs w:val="24"/>
        </w:rPr>
        <w:t>“There is no peace, so we move to this place in order to have our peace of mind” says the 53 years old pastoralist</w:t>
      </w:r>
    </w:p>
    <w:p w:rsidR="00E53882" w:rsidRDefault="00B16FF7">
      <w:pPr>
        <w:spacing w:before="0" w:after="0" w:line="480" w:lineRule="auto"/>
        <w:rPr>
          <w:rFonts w:cs="Times New Roman"/>
          <w:szCs w:val="24"/>
        </w:rPr>
      </w:pPr>
      <w:r>
        <w:rPr>
          <w:rFonts w:cs="Times New Roman"/>
          <w:szCs w:val="24"/>
        </w:rPr>
        <w:t>Another respondent also mentioned that</w:t>
      </w:r>
    </w:p>
    <w:p w:rsidR="00E53882" w:rsidRDefault="00B16FF7">
      <w:pPr>
        <w:spacing w:before="0" w:after="0" w:line="480" w:lineRule="auto"/>
        <w:ind w:left="720"/>
        <w:rPr>
          <w:rFonts w:cs="Times New Roman"/>
          <w:i/>
          <w:szCs w:val="24"/>
        </w:rPr>
      </w:pPr>
      <w:r>
        <w:rPr>
          <w:rFonts w:cs="Times New Roman"/>
          <w:i/>
          <w:szCs w:val="24"/>
        </w:rPr>
        <w:t>“We came here to look for jobs, because times are hard for us over there” says the 40 years old pastoralist</w:t>
      </w:r>
    </w:p>
    <w:p w:rsidR="00E53882" w:rsidRDefault="00B16FF7">
      <w:pPr>
        <w:spacing w:before="0" w:after="0" w:line="480" w:lineRule="auto"/>
        <w:rPr>
          <w:rFonts w:cs="Times New Roman"/>
          <w:iCs/>
          <w:szCs w:val="24"/>
        </w:rPr>
      </w:pPr>
      <w:r>
        <w:rPr>
          <w:rFonts w:cs="Times New Roman"/>
          <w:iCs/>
          <w:szCs w:val="24"/>
        </w:rPr>
        <w:t xml:space="preserve">The findings above emphasize the multifaceted collaboration of ecological, economic, and social factors that drive these pastoralists to move. For examples. The relationship between mobility and animal health suggests that movement is not only driven by resource availability but also by the well-being of the animals. It is worth noting that the influence of cultural and traditional factors on mobility decisions could have been explored further. The findings is in </w:t>
      </w:r>
      <w:r>
        <w:rPr>
          <w:rFonts w:cs="Times New Roman"/>
          <w:iCs/>
          <w:szCs w:val="24"/>
        </w:rPr>
        <w:lastRenderedPageBreak/>
        <w:t xml:space="preserve">line with previous research on the impact of climate change on pastoralist livelihoods but uniquely emphasize the evolving nature of mobility patterns, and the complex interplay of factors shaping mobility decisions </w:t>
      </w:r>
      <w:r>
        <w:rPr>
          <w:rFonts w:cs="Times New Roman"/>
          <w:iCs/>
          <w:szCs w:val="24"/>
        </w:rPr>
        <w:fldChar w:fldCharType="begin" w:fldLock="1"/>
      </w:r>
      <w:r w:rsidR="00900D2E">
        <w:rPr>
          <w:rFonts w:cs="Times New Roman"/>
          <w:iCs/>
          <w:szCs w:val="24"/>
        </w:rPr>
        <w:instrText>ADDIN CSL_CITATION {"citationItems":[{"id":"ITEM-1","itemData":{"DOI":"10.7176/jrdm/63-02","abstract":"… These factors resulted in rapid changes in land use and land control and compression of pastoralists … Economic Activities of Local Communities and Their Dependence on Natural Resources in the Bale Eco-Region, SHARE … Journal of Resources Development and Management …","author":[{"dropping-particle":"","family":"Ayele","given":"Tariku","non-dropping-particle":"","parse-names":false,"suffix":""},{"dropping-particle":"","family":"Dedecha","given":"Diba","non-dropping-particle":"","parse-names":false,"suffix":""}],"container-title":"Journal of Resources Development and Management","id":"ITEM-1","issue":"February","issued":{"date-parts":[["2020"]]},"title":"The Impact of Climate Change on Pastoralist Livelihoods in Ethiopia: A Review","type":"article-journal"},"uris":["http://www.mendeley.com/documents/?uuid=3faa73ee-40c9-4d5f-ba93-52a54cda1ab5"]},{"id":"ITEM-2","itemData":{"abstract":"Livestock generally serves a number of purposes to rural people. It is an asset, recognized by all, thus provides prestige and collateral for socio/economic engagements. In spite of the importance of livestock sector, pastoralists face a number of challenges that hinder their way of life and stifle their ability to adapt to changes in their external environment. The current study was directed to focus on the climate change impact on pastoralist's livelihoods in South Kordoan State, besides, assessing the socioeconomic impacts of climate change on pastoralists household. A social survey was done based on a representing sample of (264) questionnaire distributed to the household of pastoralist in three routes with the study area. Data were analyzed using descriptive statistics and regression. The results revealed that the majority of the respondents (98.2%) confirmed that the Range capacity had decreased, on other hand 91.1% indicated that livestock was the main source for their livelihood with small portion of trade and crops selling. The study also showed that more than 90% of the respondents reported deterioration and changes in their traditional routes due to many reasons including expansion of agriculture (49.8%), war and conflict (27.4%) and decrease in Range productivity (17.7), lack of drinking water (2.5). The results of regression analysis showed that the coefficient of determination R 2 was 88% which means that the factor included in the model explain 88% of the change in size of herd owned by the pastoralist. The overall test of significance of the model was significant at P (0.01.). The study recommended diversification in the activities and the animal type to cope with the impacts of climate change.","author":[{"dropping-particle":"","family":"Sabil","given":"Ogal","non-dropping-particle":"","parse-names":false,"suffix":""},{"dropping-particle":"","family":"Maalla","given":"Ali","non-dropping-particle":"","parse-names":false,"suffix":""},{"dropping-particle":"","family":"Abakar","given":"Ali Musa","non-dropping-particle":"","parse-names":false,"suffix":""},{"dropping-particle":"","family":"Hamdi","given":"Yousif M","non-dropping-particle":"","parse-names":false,"suffix":""},{"dropping-particle":"","family":"Maruod","given":"Maruod E","non-dropping-particle":"","parse-names":false,"suffix":""}],"container-title":"Journal of Novel Applied Sciences","id":"ITEM-2","issue":"11","issued":{"date-parts":[["2015"]]},"page":"1142-1148","title":"The impact of Climate change on pastoralist ' s livelihood in South Kordofan State , Sudan","type":"article-journal","volume":"4"},"uris":["http://www.mendeley.com/documents/?uuid=bab66473-b393-4446-a1d6-9761f9c785ed"]}],"mendeley":{"formattedCitation":"(Ayele &amp; Dedecha, 2020; Sabil et al., 2015)","manualFormatting":"(Ayele &amp; Dedecha, 2020)","plainTextFormattedCitation":"(Ayele &amp; Dedecha, 2020; Sabil et al., 2015)","previouslyFormattedCitation":"(Ayele &amp; Dedecha, 2020; Sabil et al., 2015)"},"properties":{"noteIndex":0},"schema":"https://github.com/citation-style-language/schema/raw/master/csl-citation.json"}</w:instrText>
      </w:r>
      <w:r>
        <w:rPr>
          <w:rFonts w:cs="Times New Roman"/>
          <w:iCs/>
          <w:szCs w:val="24"/>
        </w:rPr>
        <w:fldChar w:fldCharType="separate"/>
      </w:r>
      <w:r>
        <w:rPr>
          <w:rFonts w:cs="Times New Roman"/>
          <w:iCs/>
          <w:noProof/>
          <w:szCs w:val="24"/>
        </w:rPr>
        <w:t>(Ayele &amp; Dedecha, 2020)</w:t>
      </w:r>
      <w:r>
        <w:rPr>
          <w:rFonts w:cs="Times New Roman"/>
          <w:iCs/>
          <w:szCs w:val="24"/>
        </w:rPr>
        <w:fldChar w:fldCharType="end"/>
      </w:r>
      <w:r>
        <w:rPr>
          <w:rFonts w:cs="Times New Roman"/>
          <w:iCs/>
          <w:szCs w:val="24"/>
        </w:rPr>
        <w:t>.</w:t>
      </w:r>
    </w:p>
    <w:p w:rsidR="00E53882" w:rsidRDefault="00B16FF7">
      <w:pPr>
        <w:spacing w:before="0" w:after="0" w:line="480" w:lineRule="auto"/>
        <w:rPr>
          <w:rFonts w:cs="Times New Roman"/>
          <w:iCs/>
          <w:szCs w:val="24"/>
        </w:rPr>
      </w:pPr>
      <w:r>
        <w:rPr>
          <w:rFonts w:cs="Times New Roman"/>
          <w:b/>
          <w:iCs/>
          <w:vanish/>
          <w:szCs w:val="24"/>
        </w:rPr>
        <w:t>Top of Form</w:t>
      </w:r>
    </w:p>
    <w:p w:rsidR="00E53882" w:rsidRDefault="00B16FF7">
      <w:pPr>
        <w:pStyle w:val="Heading2"/>
        <w:spacing w:line="480" w:lineRule="auto"/>
      </w:pPr>
      <w:bookmarkStart w:id="126" w:name="_Toc164261734"/>
      <w:r>
        <w:rPr>
          <w:lang w:val="en"/>
        </w:rPr>
        <w:t xml:space="preserve">6.7 </w:t>
      </w:r>
      <w:r>
        <w:rPr>
          <w:rFonts w:cs="Times New Roman"/>
          <w:szCs w:val="24"/>
        </w:rPr>
        <w:t>Relationship between Climate Change and Pastoralist Mobility</w:t>
      </w:r>
      <w:bookmarkEnd w:id="126"/>
    </w:p>
    <w:p w:rsidR="00E53882" w:rsidRDefault="00B16FF7">
      <w:pPr>
        <w:spacing w:line="480" w:lineRule="auto"/>
        <w:rPr>
          <w:rFonts w:cs="Times New Roman"/>
          <w:szCs w:val="24"/>
        </w:rPr>
      </w:pPr>
      <w:r>
        <w:rPr>
          <w:rFonts w:cs="Times New Roman"/>
          <w:iCs/>
          <w:szCs w:val="24"/>
          <w:lang w:val="en"/>
        </w:rPr>
        <w:t xml:space="preserve">The conceptual framework drawn in chapter two of this research put forward that pastoralists mobility is influence by both climatic and non-climatic stressors which determine mobility decisions that pastoralists make. Some of the climatic stressors that were identified in the literature. These include </w:t>
      </w:r>
      <w:r>
        <w:rPr>
          <w:rFonts w:cs="Times New Roman"/>
          <w:szCs w:val="24"/>
        </w:rPr>
        <w:t xml:space="preserve">drought, flood, high temperature, increasing rainfall variability, diseases and non-climatic stressors such as an increase in population, conflicts, inequalities, unemployment, poor economic growth, human rights infringement, development of large-scale projects, and an increase in technology. Pastoralists by nature are different from each other, hence the level at which these climatic and non-climatic factors will affects them will differ </w:t>
      </w:r>
      <w:r>
        <w:rPr>
          <w:rFonts w:cs="Times New Roman"/>
          <w:szCs w:val="24"/>
        </w:rPr>
        <w:fldChar w:fldCharType="begin" w:fldLock="1"/>
      </w:r>
      <w:r w:rsidR="00900D2E">
        <w:rPr>
          <w:rFonts w:cs="Times New Roman"/>
          <w:szCs w:val="24"/>
        </w:rPr>
        <w:instrText>ADDIN CSL_CITATION {"citationItems":[{"id":"ITEM-1","itemData":{"abstract":"There is growing attention on socially differentiated stakeholder groups in understanding vulnerability and adaptation to climate change. However, empirical research on smallholder farmers in Ghana has not paid adequate attention to social differentiation among smallholder farmers. This study sought to assess the perception of vulnerability and adaptation strategies of socially differentiated groups of smallholder farmers to climate change in Lawra district, northwestern Ghana. Gender and age axis of social differentiation are the major focus of this work. The study employed a mix method study design involving 8 FGDs and 160 questionnaire surveys among smallholder farmers. Kendell's W rank correlation was used to rank constrains identified, descriptive statistics and chi-square was used to determine adaptation patterns among different social groups. Results suggest that, smallholder farmers are not homogenous. Rather, males and females and youth and older folks differ in their perception of vulnerability and subsequent adaptation strategies. The results highlight the need for adaptation interventions that pay attention to different stakeholder needs in reducing smallholder farmers' vulnerability.","author":[{"dropping-particle":"","family":"Yidana","given":"Adam","non-dropping-particle":"","parse-names":false,"suffix":""},{"dropping-particle":"","family":"Mensah","given":"Adelina","non-dropping-particle":"","parse-names":false,"suffix":""},{"dropping-particle":"","family":"Salifu","given":"Mubarik","non-dropping-particle":"","parse-names":false,"suffix":""},{"dropping-particle":"","family":"Owusu","given":"Kwadwo","non-dropping-particle":"","parse-names":false,"suffix":""}],"container-title":"Journal of Economics and Sustainable Development","id":"ITEM-1","issue":"10","issued":{"date-parts":[["2018"]]},"page":"175-187","title":"Social Differences in the Vulnerability and Adaptation Patterns among Smallholder Farmers : Evidence from Lawra District in the Upper West Region of Ghana .","type":"article-journal","volume":"9"},"uris":["http://www.mendeley.com/documents/?uuid=338da771-611d-457d-ae97-7b97e2381cf8"]},{"id":"ITEM-2","itemData":{"DOI":"10.1007/s11356-023-27638-2","ISSN":"16147499","abstract":"Livelihood diversification is an essential strategy for managing economic and environmental shocks and reducing rural poverty in developing countries. This article presents a comprehensive two-part literature review on livelihood capital and livelihood diversification strategies. Firstly, it identifies the role of livelihood capital in determining livelihood diversification strategies, and secondly, it assesses the role of livelihood diversification strategies in reducing rural poverty in developing countries. Evidence suggests that human, natural, and financial capitals are the primary determining assets of livelihood diversification strategies. However, the role of social and physical capital with livelihood diversification has not widely been studied. Education, farming experience, family size, land holding size, access to formal credit, access to market, and membership in village organizations were the major influencing factors in the adoption process of livelihood diversification strategies. The contribution of livelihood diversification in poverty reduction (SDG-1) was realized through improved food security and nutrition, increased income level, sustainability of crop production, and mitigating climatic vulnerabilities. This study suggests enhanced livelihood diversification through improved access to and availability of livelihood assets is vital in reducing rural poverty in developing countries.","author":[{"dropping-particle":"","family":"Habib","given":"Nusrat","non-dropping-particle":"","parse-names":false,"suffix":""},{"dropping-particle":"","family":"Ariyawardana","given":"Anoma","non-dropping-particle":"","parse-names":false,"suffix":""},{"dropping-particle":"","family":"Aziz","given":"Ammar Abdul","non-dropping-particle":"","parse-names":false,"suffix":""}],"container-title":"Environmental Science and Pollution Research","id":"ITEM-2","issued":{"date-parts":[["2023"]]},"title":"The influence and impact of livelihood capitals on livelihood diversification strategies in developing countries: a systematic literature review","type":"article"},"uris":["http://www.mendeley.com/documents/?uuid=8f9a53e6-90c4-4a78-8b7c-37faa283e6af"]},{"id":"ITEM-3","itemData":{"author":[{"dropping-particle":"","family":"Jarawura","given":"Francis Xavier","non-dropping-particle":"","parse-names":false,"suffix":""}],"container-title":"UGSpace","id":"ITEM-3","issue":"10359998","issued":{"date-parts":[["2013"]]},"number-of-pages":"1-210","publisher":"University of Ghana","title":"Drought And Migration In Northern Ghana","type":"thesis"},"uris":["http://www.mendeley.com/documents/?uuid=f6ba7737-471c-44e6-b731-1785f69a2b9e"]},{"id":"ITEM-4","itemData":{"DOI":"10.1080/17565529.2013.867248","ISSN":"17565537","abstract":"The impacts of rainfall variability are threatening food production systems, leading to losses of livelihood and food insecurity. The frequency and intensity of floods and drought are likely to be higher as a result of climate change. This case study presents an empirical account of the impacts of rainfall variability on agriculture, food security, livelihoods and human mobility in the Janjigir-Champa district of Chhattisgarh. The research tests the hypothesis that human migration is a major coping mechanism against climate variability. The findings confirm that a coordination mechanism exists between rainfall changes (i.e. erratic rainfall patterns in terms of delayed monsoons, seasonal shifts, drought and floods) and livelihood and food security of a number of farmers and farm labourers in the research site. Because there is only a single annual harvest of paddy rice (practiced as monoculture) in the research site, which is partly due to the non-availability of water for a second crop, marginal farmers and farm labourers are left with very few options in finding sufficient employment in and around their villages. Some people cope with the situation by seeking assistance from their relatives, friends and the government. However, seasonal and permanent migrations are the most opted-for coping strategies in the study area. © 2013 © 2013 The Author(s). Published by Taylor &amp; Francis.","author":[{"dropping-particle":"","family":"Murali","given":"Janakaraj","non-dropping-particle":"","parse-names":false,"suffix":""},{"dropping-particle":"","family":"Afifi","given":"Tamer","non-dropping-particle":"","parse-names":false,"suffix":""}],"container-title":"Climate and Development","id":"ITEM-4","issue":"1","issued":{"date-parts":[["2014"]]},"page":"28-37","publisher":"Taylor &amp; Francis","title":"Rainfall variability, food security and human mobility in the Janjgir-Champa district of Chhattisgarh state, India","type":"article-journal","volume":"6"},"uris":["http://www.mendeley.com/documents/?uuid=07bd1ba8-b324-44f2-9865-55ba3a2748d1"]}],"mendeley":{"formattedCitation":"(Habib et al., 2023; Jarawura, 2013; Murali &amp; Afifi, 2014; Yidana et al., 2018)","plainTextFormattedCitation":"(Habib et al., 2023; Jarawura, 2013; Murali &amp; Afifi, 2014; Yidana et al., 2018)","previouslyFormattedCitation":"(Habib et al., 2023; Jarawura, 2013; Murali &amp; Afifi, 2014; Yidana et al., 2018)"},"properties":{"noteIndex":0},"schema":"https://github.com/citation-style-language/schema/raw/master/csl-citation.json"}</w:instrText>
      </w:r>
      <w:r>
        <w:rPr>
          <w:rFonts w:cs="Times New Roman"/>
          <w:szCs w:val="24"/>
        </w:rPr>
        <w:fldChar w:fldCharType="separate"/>
      </w:r>
      <w:r>
        <w:rPr>
          <w:rFonts w:cs="Times New Roman"/>
          <w:noProof/>
          <w:szCs w:val="24"/>
        </w:rPr>
        <w:t>(Habib et al., 2023; Jarawura, 2013; Murali &amp; Afifi, 2014; Yidana et al., 2018)</w:t>
      </w:r>
      <w:r>
        <w:rPr>
          <w:rFonts w:cs="Times New Roman"/>
          <w:szCs w:val="24"/>
        </w:rPr>
        <w:fldChar w:fldCharType="end"/>
      </w:r>
      <w:r>
        <w:rPr>
          <w:rFonts w:cs="Times New Roman"/>
          <w:szCs w:val="24"/>
        </w:rPr>
        <w:t xml:space="preserve">. The qualitative interview conducted asserted that socio-economic factors also </w:t>
      </w:r>
      <w:r>
        <w:rPr>
          <w:rFonts w:cs="Times New Roman"/>
          <w:iCs/>
          <w:szCs w:val="24"/>
          <w:lang w:val="en"/>
        </w:rPr>
        <w:t>have the tendency to influence pastoralist’s mobility</w:t>
      </w:r>
      <w:r>
        <w:rPr>
          <w:rFonts w:cs="Times New Roman"/>
          <w:szCs w:val="24"/>
        </w:rPr>
        <w:t xml:space="preserve"> as discussed in 6.4. </w:t>
      </w:r>
    </w:p>
    <w:p w:rsidR="00E53882" w:rsidRDefault="00B16FF7">
      <w:pPr>
        <w:spacing w:line="480" w:lineRule="auto"/>
        <w:rPr>
          <w:rFonts w:cs="Times New Roman"/>
          <w:szCs w:val="24"/>
        </w:rPr>
      </w:pPr>
      <w:r>
        <w:rPr>
          <w:rFonts w:cs="Times New Roman"/>
          <w:szCs w:val="24"/>
        </w:rPr>
        <w:t xml:space="preserve">Consequently, </w:t>
      </w:r>
      <w:proofErr w:type="spellStart"/>
      <w:r>
        <w:rPr>
          <w:rFonts w:cs="Times New Roman"/>
          <w:szCs w:val="24"/>
        </w:rPr>
        <w:t>NVivo</w:t>
      </w:r>
      <w:proofErr w:type="spellEnd"/>
      <w:r>
        <w:rPr>
          <w:rFonts w:cs="Times New Roman"/>
          <w:szCs w:val="24"/>
        </w:rPr>
        <w:t xml:space="preserve"> version 14 was used to analyse the relationship between climate change and pastoralist mobility. Based on the output generated, codes related to the lack of grass and water have the highest aggregate number of coding references (118 each). This suggests that the scarcity of essential resources is a predominant factor influencing climate-related mobility among pastoralists. References to livestock numbers have a substantial aggregate count (26). This indicates that the size and management of livestock play a significant role in pastoralist </w:t>
      </w:r>
      <w:r>
        <w:rPr>
          <w:rFonts w:cs="Times New Roman"/>
          <w:szCs w:val="24"/>
        </w:rPr>
        <w:lastRenderedPageBreak/>
        <w:t>mobility decisions.</w:t>
      </w:r>
      <w:r>
        <w:t xml:space="preserve"> </w:t>
      </w:r>
      <w:r>
        <w:rPr>
          <w:rFonts w:cs="Times New Roman"/>
          <w:szCs w:val="24"/>
        </w:rPr>
        <w:t>Codes related to changes in space (46) have notable aggregate counts. This suggests that alterations in available space and overall environmental changes contribute significantly to pastoralist mobility.</w:t>
      </w:r>
      <w:r>
        <w:t xml:space="preserve"> </w:t>
      </w:r>
      <w:r>
        <w:rPr>
          <w:rFonts w:cs="Times New Roman"/>
          <w:szCs w:val="24"/>
        </w:rPr>
        <w:t>Conflict-related codes, have considerable aggregate counts (ranging from 6 to 24). Conflicts emerge as an influential factor shaping pastoralist mobility.</w:t>
      </w:r>
      <w:r>
        <w:t xml:space="preserve"> </w:t>
      </w:r>
      <w:r>
        <w:rPr>
          <w:rFonts w:cs="Times New Roman"/>
          <w:szCs w:val="24"/>
        </w:rPr>
        <w:t>Codes related to hardship, both in terms of general hardship and its association with animals, have substantial aggregate counts (ranging from 6 to 12). Economic and social hardships are notable considerations in mobility decisions.</w:t>
      </w:r>
      <w:r>
        <w:t xml:space="preserve"> </w:t>
      </w:r>
      <w:r>
        <w:rPr>
          <w:rFonts w:cs="Times New Roman"/>
          <w:szCs w:val="24"/>
        </w:rPr>
        <w:t>Health-related codes, particularly those related to animal health (42) indicate that the well-being of livestock is influential in determining pastoralist movements.</w:t>
      </w:r>
      <w:r>
        <w:t xml:space="preserve"> </w:t>
      </w:r>
      <w:r>
        <w:rPr>
          <w:rFonts w:cs="Times New Roman"/>
          <w:szCs w:val="24"/>
        </w:rPr>
        <w:t xml:space="preserve">Codes related to increase in bush burning also have substantial aggregate counts (8 to 12) in the context of environmental changes highlight the impact of human-induced activities such as bush burning and deforestation on pastoralist mobility. </w:t>
      </w:r>
    </w:p>
    <w:p w:rsidR="009D3ACF" w:rsidRDefault="00B16FF7">
      <w:pPr>
        <w:spacing w:line="480" w:lineRule="auto"/>
        <w:rPr>
          <w:rFonts w:cs="Times New Roman"/>
          <w:szCs w:val="24"/>
        </w:rPr>
      </w:pPr>
      <w:r>
        <w:rPr>
          <w:rFonts w:cs="Times New Roman"/>
          <w:szCs w:val="24"/>
        </w:rPr>
        <w:t>This means that, the most influential factors in pastoralist climate-related mobility appear to be the lack of essential resources (grass and water), livestock numbers, conflicts, environmental changes, and various forms of hardship. These factors are interconnected and collectively shape the decisions of pastoralists to move in response to changing climatic conditions. These findings contribute to our understanding of pastoralist mobility in the context of climate change. The conceptual framework establishes a holistic view by considering both climatic and non-climatic stressors. The identification of specific stressors, such as drought, flood, conflicts, and economic factors, adds to the understanding of pastoralist decision-making processes. These multiple factors are presented in Hierarchy chart to show how various factors are influencing pastoralist mobility in the face of climate change</w:t>
      </w:r>
      <w:r w:rsidR="009D3ACF">
        <w:rPr>
          <w:rFonts w:cs="Times New Roman"/>
          <w:szCs w:val="24"/>
        </w:rPr>
        <w:t>.</w:t>
      </w:r>
    </w:p>
    <w:p w:rsidR="009D3ACF" w:rsidRDefault="009D3ACF" w:rsidP="009D3ACF">
      <w:pPr>
        <w:pStyle w:val="figures"/>
      </w:pPr>
      <w:bookmarkStart w:id="127" w:name="_Toc156217571"/>
      <w:r>
        <w:lastRenderedPageBreak/>
        <w:t>Figure 6.2</w:t>
      </w:r>
    </w:p>
    <w:p w:rsidR="00E53882" w:rsidRPr="009D3ACF" w:rsidRDefault="009D3ACF" w:rsidP="009D3ACF">
      <w:pPr>
        <w:pStyle w:val="figures"/>
        <w:rPr>
          <w:b w:val="0"/>
          <w:i/>
        </w:rPr>
      </w:pPr>
      <w:r w:rsidRPr="009D3ACF">
        <w:rPr>
          <w:b w:val="0"/>
          <w:i/>
        </w:rPr>
        <w:t xml:space="preserve">Relationship </w:t>
      </w:r>
      <w:proofErr w:type="gramStart"/>
      <w:r w:rsidRPr="009D3ACF">
        <w:rPr>
          <w:b w:val="0"/>
          <w:i/>
        </w:rPr>
        <w:t>Between</w:t>
      </w:r>
      <w:proofErr w:type="gramEnd"/>
      <w:r w:rsidRPr="009D3ACF">
        <w:rPr>
          <w:b w:val="0"/>
          <w:i/>
        </w:rPr>
        <w:t xml:space="preserve"> Climate Change and Pastoralist Mobility</w:t>
      </w:r>
      <w:bookmarkEnd w:id="127"/>
    </w:p>
    <w:p w:rsidR="00E53882" w:rsidRDefault="00B16FF7">
      <w:pPr>
        <w:spacing w:line="480" w:lineRule="auto"/>
        <w:rPr>
          <w:rFonts w:cs="Times New Roman"/>
          <w:szCs w:val="24"/>
        </w:rPr>
      </w:pPr>
      <w:r>
        <w:rPr>
          <w:noProof/>
          <w:lang w:val="en-US"/>
        </w:rPr>
        <w:drawing>
          <wp:inline distT="0" distB="0" distL="0" distR="0">
            <wp:extent cx="5943600" cy="3251835"/>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15"/>
                    <a:stretch>
                      <a:fillRect/>
                    </a:stretch>
                  </pic:blipFill>
                  <pic:spPr>
                    <a:xfrm>
                      <a:off x="0" y="0"/>
                      <a:ext cx="5951841" cy="3256592"/>
                    </a:xfrm>
                    <a:prstGeom prst="rect">
                      <a:avLst/>
                    </a:prstGeom>
                  </pic:spPr>
                </pic:pic>
              </a:graphicData>
            </a:graphic>
          </wp:inline>
        </w:drawing>
      </w:r>
    </w:p>
    <w:p w:rsidR="009D3ACF" w:rsidRPr="009D3ACF" w:rsidRDefault="009D3ACF">
      <w:pPr>
        <w:spacing w:line="240" w:lineRule="auto"/>
        <w:rPr>
          <w:rFonts w:cs="Times New Roman"/>
          <w:b/>
          <w:szCs w:val="24"/>
        </w:rPr>
      </w:pPr>
      <w:r w:rsidRPr="009D3ACF">
        <w:rPr>
          <w:rFonts w:cs="Times New Roman"/>
          <w:b/>
          <w:szCs w:val="24"/>
        </w:rPr>
        <w:t>Source: Field Work (2023)</w:t>
      </w:r>
    </w:p>
    <w:p w:rsidR="009D3ACF" w:rsidRDefault="009D3ACF">
      <w:pPr>
        <w:spacing w:line="240" w:lineRule="auto"/>
        <w:rPr>
          <w:rFonts w:cs="Times New Roman"/>
          <w:i/>
          <w:szCs w:val="24"/>
        </w:rPr>
      </w:pPr>
    </w:p>
    <w:p w:rsidR="00E53882" w:rsidRDefault="00B16FF7">
      <w:pPr>
        <w:spacing w:line="240" w:lineRule="auto"/>
        <w:rPr>
          <w:rFonts w:cs="Times New Roman"/>
          <w:i/>
          <w:vanish/>
          <w:szCs w:val="24"/>
        </w:rPr>
      </w:pPr>
      <w:r>
        <w:rPr>
          <w:rFonts w:cs="Times New Roman"/>
          <w:i/>
          <w:vanish/>
          <w:szCs w:val="24"/>
        </w:rPr>
        <w:t>Top of Form</w:t>
      </w:r>
    </w:p>
    <w:p w:rsidR="00E53882" w:rsidRDefault="00B16FF7">
      <w:pPr>
        <w:spacing w:line="480" w:lineRule="auto"/>
        <w:rPr>
          <w:rFonts w:cs="Times New Roman"/>
          <w:i/>
          <w:vanish/>
          <w:szCs w:val="24"/>
        </w:rPr>
      </w:pPr>
      <w:r>
        <w:rPr>
          <w:rFonts w:cs="Times New Roman"/>
          <w:i/>
          <w:vanish/>
          <w:szCs w:val="24"/>
        </w:rPr>
        <w:t xml:space="preserve"> Top of Form</w:t>
      </w:r>
    </w:p>
    <w:p w:rsidR="00E53882" w:rsidRDefault="00B16FF7">
      <w:pPr>
        <w:pStyle w:val="Heading2"/>
        <w:spacing w:line="480" w:lineRule="auto"/>
      </w:pPr>
      <w:bookmarkStart w:id="128" w:name="_Toc164261735"/>
      <w:r>
        <w:t>6.8 Historical Evolution of Pastoralist Internal Mobility</w:t>
      </w:r>
      <w:bookmarkEnd w:id="128"/>
    </w:p>
    <w:p w:rsidR="00E53882" w:rsidRDefault="00B16FF7">
      <w:pPr>
        <w:spacing w:after="0" w:line="480" w:lineRule="auto"/>
        <w:rPr>
          <w:rFonts w:cs="Times New Roman"/>
          <w:szCs w:val="24"/>
        </w:rPr>
      </w:pPr>
      <w:r>
        <w:rPr>
          <w:rFonts w:cs="Times New Roman"/>
          <w:bCs/>
          <w:szCs w:val="24"/>
        </w:rPr>
        <w:t xml:space="preserve">Participatory mapping technique was use to gather data on the movement patterns of pastoralist in the study area.  Geographic Information Systems (GIS) was used to </w:t>
      </w:r>
      <w:r>
        <w:rPr>
          <w:rFonts w:cs="Times New Roman"/>
          <w:szCs w:val="24"/>
        </w:rPr>
        <w:t xml:space="preserve">create maps with pastoralists to document migration routes, grazing areas, and climate-related changes. GIS helps me to visualize spatial relationships. Figure 6.3 and 6.4 depicts the historical evolution of pastoralist mobility patterns within the study community. </w:t>
      </w:r>
    </w:p>
    <w:p w:rsidR="00E53882" w:rsidRDefault="00E53882">
      <w:pPr>
        <w:spacing w:after="0" w:line="480" w:lineRule="auto"/>
        <w:rPr>
          <w:rFonts w:cs="Times New Roman"/>
          <w:szCs w:val="24"/>
        </w:rPr>
      </w:pPr>
    </w:p>
    <w:p w:rsidR="009D3ACF" w:rsidRDefault="009D3ACF" w:rsidP="009D3ACF">
      <w:pPr>
        <w:pStyle w:val="figures"/>
      </w:pPr>
      <w:bookmarkStart w:id="129" w:name="_Toc156217572"/>
      <w:r>
        <w:lastRenderedPageBreak/>
        <w:t>Figure 6.3</w:t>
      </w:r>
    </w:p>
    <w:p w:rsidR="00E53882" w:rsidRPr="009D3ACF" w:rsidRDefault="009D3ACF" w:rsidP="009D3ACF">
      <w:pPr>
        <w:pStyle w:val="figures"/>
        <w:rPr>
          <w:b w:val="0"/>
          <w:i/>
          <w:lang w:bidi="en-US"/>
        </w:rPr>
      </w:pPr>
      <w:r w:rsidRPr="009D3ACF">
        <w:rPr>
          <w:b w:val="0"/>
          <w:i/>
          <w:lang w:bidi="en-US"/>
        </w:rPr>
        <w:t>Pastoralist Internal Mobility in the Study Area between a Periods of 1982-2002</w:t>
      </w:r>
      <w:bookmarkEnd w:id="129"/>
    </w:p>
    <w:p w:rsidR="00E53882" w:rsidRDefault="00B16FF7">
      <w:pPr>
        <w:spacing w:after="0" w:line="480" w:lineRule="auto"/>
        <w:rPr>
          <w:rFonts w:cs="Times New Roman"/>
          <w:b/>
          <w:szCs w:val="24"/>
        </w:rPr>
      </w:pPr>
      <w:r>
        <w:rPr>
          <w:rFonts w:cs="Times New Roman"/>
          <w:b/>
          <w:noProof/>
          <w:szCs w:val="24"/>
          <w:lang w:val="en-US"/>
        </w:rPr>
        <w:drawing>
          <wp:inline distT="0" distB="0" distL="0" distR="0">
            <wp:extent cx="5943600" cy="4203065"/>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3600" cy="4203065"/>
                    </a:xfrm>
                    <a:prstGeom prst="rect">
                      <a:avLst/>
                    </a:prstGeom>
                  </pic:spPr>
                </pic:pic>
              </a:graphicData>
            </a:graphic>
          </wp:inline>
        </w:drawing>
      </w:r>
    </w:p>
    <w:p w:rsidR="00E53882" w:rsidRDefault="00B16FF7">
      <w:pPr>
        <w:spacing w:before="0" w:after="0" w:line="480" w:lineRule="auto"/>
        <w:rPr>
          <w:rFonts w:cs="Times New Roman"/>
          <w:b/>
          <w:szCs w:val="24"/>
        </w:rPr>
      </w:pPr>
      <w:r>
        <w:rPr>
          <w:rFonts w:cs="Times New Roman"/>
          <w:b/>
          <w:szCs w:val="24"/>
        </w:rPr>
        <w:t>Author’s Construct Using GIS (PRA/Participatory Mapping</w:t>
      </w:r>
    </w:p>
    <w:p w:rsidR="00E53882" w:rsidRDefault="00B16FF7">
      <w:pPr>
        <w:spacing w:line="480" w:lineRule="auto"/>
        <w:rPr>
          <w:rFonts w:cs="Times New Roman"/>
          <w:szCs w:val="24"/>
        </w:rPr>
      </w:pPr>
      <w:r>
        <w:rPr>
          <w:rFonts w:cs="Times New Roman"/>
          <w:szCs w:val="24"/>
        </w:rPr>
        <w:t>This map offers a clear visualization of the historical mobility patterns of pastoralists within the study area. From 1982-2002, the movements of pastoralists were largely restricted to the borders of the municipality. This restricted mobility continued even when the resources within the study area (grass and water), became increasingly scarce within their immediate communities. The reasons mentioned were that, there was a cordial relationship between herders and farmers.</w:t>
      </w:r>
    </w:p>
    <w:p w:rsidR="00E53882" w:rsidRDefault="00B16FF7">
      <w:pPr>
        <w:spacing w:before="0" w:after="0" w:line="480" w:lineRule="auto"/>
        <w:ind w:left="720"/>
        <w:rPr>
          <w:rFonts w:cs="Times New Roman"/>
          <w:szCs w:val="24"/>
        </w:rPr>
      </w:pPr>
      <w:r>
        <w:rPr>
          <w:rFonts w:cs="Times New Roman"/>
          <w:szCs w:val="24"/>
        </w:rPr>
        <w:lastRenderedPageBreak/>
        <w:t xml:space="preserve"> “</w:t>
      </w:r>
      <w:r>
        <w:rPr>
          <w:rFonts w:cs="Times New Roman"/>
          <w:i/>
          <w:szCs w:val="24"/>
        </w:rPr>
        <w:t>As at the time we came here first, the relationship between us and the farmers were very good and because of this, there was no fight between us</w:t>
      </w:r>
      <w:r>
        <w:rPr>
          <w:rFonts w:cs="Times New Roman"/>
          <w:szCs w:val="24"/>
        </w:rPr>
        <w:t>” (PRA, 2023).</w:t>
      </w:r>
    </w:p>
    <w:p w:rsidR="00E53882" w:rsidRDefault="00B16FF7">
      <w:pPr>
        <w:spacing w:before="0" w:after="0" w:line="480" w:lineRule="auto"/>
        <w:rPr>
          <w:rFonts w:cs="Times New Roman"/>
          <w:szCs w:val="24"/>
        </w:rPr>
      </w:pPr>
      <w:r>
        <w:rPr>
          <w:rFonts w:cs="Times New Roman"/>
          <w:szCs w:val="24"/>
        </w:rPr>
        <w:t xml:space="preserve">There was a designated place for the livestock during raining season. </w:t>
      </w:r>
    </w:p>
    <w:p w:rsidR="00E53882" w:rsidRDefault="00B16FF7">
      <w:pPr>
        <w:spacing w:before="0" w:after="0" w:line="480" w:lineRule="auto"/>
        <w:ind w:left="720"/>
        <w:rPr>
          <w:rFonts w:cs="Times New Roman"/>
          <w:i/>
          <w:szCs w:val="24"/>
        </w:rPr>
      </w:pPr>
      <w:r>
        <w:rPr>
          <w:rFonts w:cs="Times New Roman"/>
          <w:szCs w:val="24"/>
        </w:rPr>
        <w:t>“</w:t>
      </w:r>
      <w:r>
        <w:rPr>
          <w:rFonts w:cs="Times New Roman"/>
          <w:i/>
          <w:szCs w:val="24"/>
        </w:rPr>
        <w:t xml:space="preserve">At first, we use to have places that we normal go for our cattle to graze during farming season. No farmer will go to those places and farm” </w:t>
      </w:r>
      <w:r>
        <w:rPr>
          <w:rFonts w:cs="Times New Roman"/>
          <w:szCs w:val="24"/>
        </w:rPr>
        <w:t>(PRA, 2023).</w:t>
      </w:r>
      <w:r>
        <w:rPr>
          <w:rFonts w:cs="Times New Roman"/>
          <w:i/>
          <w:szCs w:val="24"/>
        </w:rPr>
        <w:t xml:space="preserve"> </w:t>
      </w:r>
    </w:p>
    <w:p w:rsidR="00E53882" w:rsidRDefault="00B16FF7">
      <w:pPr>
        <w:spacing w:before="0" w:after="0" w:line="480" w:lineRule="auto"/>
        <w:rPr>
          <w:rFonts w:cs="Times New Roman"/>
          <w:szCs w:val="24"/>
        </w:rPr>
      </w:pPr>
      <w:r>
        <w:rPr>
          <w:rFonts w:cs="Times New Roman"/>
          <w:szCs w:val="24"/>
        </w:rPr>
        <w:t xml:space="preserve">Participant also says that during dry season bush burning was low. </w:t>
      </w:r>
    </w:p>
    <w:p w:rsidR="00E53882" w:rsidRDefault="00B16FF7">
      <w:pPr>
        <w:spacing w:before="0" w:after="0" w:line="480" w:lineRule="auto"/>
        <w:ind w:left="720"/>
        <w:rPr>
          <w:rFonts w:cs="Times New Roman"/>
          <w:szCs w:val="24"/>
        </w:rPr>
      </w:pPr>
      <w:r>
        <w:rPr>
          <w:rFonts w:cs="Times New Roman"/>
          <w:i/>
          <w:szCs w:val="24"/>
        </w:rPr>
        <w:t xml:space="preserve">“There were not burning bushes like the way they are doing it now, there were areas that will not touch fire, until rainy season” </w:t>
      </w:r>
      <w:r>
        <w:rPr>
          <w:rFonts w:cs="Times New Roman"/>
          <w:szCs w:val="24"/>
        </w:rPr>
        <w:t>(PRA, 2023).</w:t>
      </w:r>
    </w:p>
    <w:p w:rsidR="00E53882" w:rsidRDefault="00B16FF7">
      <w:pPr>
        <w:spacing w:before="0" w:after="0" w:line="480" w:lineRule="auto"/>
        <w:rPr>
          <w:rFonts w:cs="Times New Roman"/>
          <w:szCs w:val="24"/>
        </w:rPr>
      </w:pPr>
      <w:r>
        <w:rPr>
          <w:rFonts w:cs="Times New Roman"/>
          <w:szCs w:val="24"/>
        </w:rPr>
        <w:t xml:space="preserve">They are also of the view that, there was enough space to keep animals, therefore, moving around was not necessary. As stated by 61 years old participant </w:t>
      </w:r>
    </w:p>
    <w:p w:rsidR="00E53882" w:rsidRDefault="00B16FF7">
      <w:pPr>
        <w:spacing w:before="0" w:after="0" w:line="480" w:lineRule="auto"/>
        <w:ind w:left="720"/>
        <w:rPr>
          <w:rFonts w:cs="Times New Roman"/>
          <w:i/>
          <w:szCs w:val="24"/>
        </w:rPr>
      </w:pPr>
      <w:r>
        <w:rPr>
          <w:rFonts w:cs="Times New Roman"/>
          <w:szCs w:val="24"/>
        </w:rPr>
        <w:t>“</w:t>
      </w:r>
      <w:r>
        <w:rPr>
          <w:rFonts w:cs="Times New Roman"/>
          <w:i/>
          <w:szCs w:val="24"/>
        </w:rPr>
        <w:t xml:space="preserve">We were not going anywhere, the time we came to this place to settle, only few people had cattle, and most of these areas were bush. Even during dry season, we were still in this area”. </w:t>
      </w:r>
    </w:p>
    <w:p w:rsidR="00E53882" w:rsidRDefault="00B16FF7">
      <w:pPr>
        <w:spacing w:before="0" w:after="0" w:line="480" w:lineRule="auto"/>
        <w:rPr>
          <w:rFonts w:cs="Times New Roman"/>
          <w:i/>
          <w:szCs w:val="24"/>
        </w:rPr>
      </w:pPr>
      <w:r>
        <w:rPr>
          <w:rFonts w:cs="Times New Roman"/>
          <w:szCs w:val="24"/>
        </w:rPr>
        <w:t>Another participant collaborate with what he is saying and narrates that</w:t>
      </w:r>
      <w:r>
        <w:rPr>
          <w:rFonts w:cs="Times New Roman"/>
          <w:i/>
          <w:szCs w:val="24"/>
        </w:rPr>
        <w:t xml:space="preserve"> </w:t>
      </w:r>
    </w:p>
    <w:p w:rsidR="00E53882" w:rsidRDefault="00B16FF7">
      <w:pPr>
        <w:spacing w:before="0" w:after="0" w:line="480" w:lineRule="auto"/>
        <w:ind w:left="720"/>
        <w:rPr>
          <w:rFonts w:cs="Times New Roman"/>
          <w:szCs w:val="24"/>
        </w:rPr>
      </w:pPr>
      <w:r>
        <w:rPr>
          <w:rFonts w:cs="Times New Roman"/>
          <w:i/>
          <w:szCs w:val="24"/>
        </w:rPr>
        <w:t>“There were not enough large scale-farms around this area at that time, so the animals were grazing around this place, without going to bush, let alone traveling to different communities”</w:t>
      </w:r>
      <w:r>
        <w:rPr>
          <w:rFonts w:cs="Times New Roman"/>
          <w:szCs w:val="24"/>
        </w:rPr>
        <w:t xml:space="preserve"> (PRA, 2023).</w:t>
      </w:r>
      <w:r>
        <w:rPr>
          <w:rFonts w:cs="Times New Roman"/>
          <w:i/>
          <w:szCs w:val="24"/>
        </w:rPr>
        <w:t xml:space="preserve"> </w:t>
      </w:r>
    </w:p>
    <w:p w:rsidR="00E53882" w:rsidRDefault="00B16FF7">
      <w:pPr>
        <w:spacing w:before="0" w:after="0" w:line="480" w:lineRule="auto"/>
        <w:rPr>
          <w:rFonts w:cs="Times New Roman"/>
          <w:szCs w:val="24"/>
        </w:rPr>
      </w:pPr>
      <w:r>
        <w:rPr>
          <w:rFonts w:cs="Times New Roman"/>
          <w:szCs w:val="24"/>
        </w:rPr>
        <w:t xml:space="preserve">This interesting past pattern challenges conventional assumptions about pastoralist mobility, which often link their movements to climatic stressors. In this context, the map serves as compelling evidence of the complexity of pastoral decisions, suggesting that their decisions are shaped by a complex interplay of ecological conditions, community dynamics, and resource availability in their immediate surroundings. As we delve deeper into understanding these mobility patterns, it becomes clear that contemporary pastoral movements cannot be </w:t>
      </w:r>
      <w:r>
        <w:rPr>
          <w:rFonts w:cs="Times New Roman"/>
          <w:szCs w:val="24"/>
        </w:rPr>
        <w:lastRenderedPageBreak/>
        <w:t>attributed to climatic factors alone and require a more comprehensive examination of the evolving factors that influence their decisions and actions in contemporary times.</w:t>
      </w:r>
    </w:p>
    <w:p w:rsidR="009D3ACF" w:rsidRDefault="009D3ACF" w:rsidP="009D3ACF">
      <w:pPr>
        <w:pStyle w:val="figures"/>
      </w:pPr>
      <w:bookmarkStart w:id="130" w:name="_Toc156217573"/>
      <w:r>
        <w:t>Figure 6.4</w:t>
      </w:r>
    </w:p>
    <w:p w:rsidR="00E53882" w:rsidRPr="009D3ACF" w:rsidRDefault="009D3ACF" w:rsidP="009D3ACF">
      <w:pPr>
        <w:pStyle w:val="figures"/>
        <w:rPr>
          <w:b w:val="0"/>
          <w:i/>
        </w:rPr>
      </w:pPr>
      <w:r w:rsidRPr="009D3ACF">
        <w:rPr>
          <w:b w:val="0"/>
          <w:i/>
        </w:rPr>
        <w:t>Pastoralist Internal Mobility in the Study Area between a Periods of 2003-2023</w:t>
      </w:r>
      <w:bookmarkEnd w:id="130"/>
    </w:p>
    <w:p w:rsidR="00E53882" w:rsidRDefault="00B16FF7">
      <w:pPr>
        <w:spacing w:after="0" w:line="480" w:lineRule="auto"/>
        <w:rPr>
          <w:rFonts w:cs="Times New Roman"/>
          <w:b/>
          <w:szCs w:val="24"/>
        </w:rPr>
      </w:pPr>
      <w:r>
        <w:rPr>
          <w:rFonts w:cs="Times New Roman"/>
          <w:b/>
          <w:noProof/>
          <w:szCs w:val="24"/>
          <w:lang w:val="en-US"/>
        </w:rPr>
        <w:drawing>
          <wp:inline distT="0" distB="0" distL="0" distR="0">
            <wp:extent cx="5943600" cy="35623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3562350"/>
                    </a:xfrm>
                    <a:prstGeom prst="rect">
                      <a:avLst/>
                    </a:prstGeom>
                  </pic:spPr>
                </pic:pic>
              </a:graphicData>
            </a:graphic>
          </wp:inline>
        </w:drawing>
      </w:r>
    </w:p>
    <w:p w:rsidR="00E53882" w:rsidRPr="009D3ACF" w:rsidRDefault="00B16FF7">
      <w:pPr>
        <w:spacing w:after="0" w:line="480" w:lineRule="auto"/>
        <w:rPr>
          <w:rFonts w:cs="Times New Roman"/>
          <w:b/>
          <w:vanish/>
          <w:szCs w:val="24"/>
        </w:rPr>
      </w:pPr>
      <w:r w:rsidRPr="009D3ACF">
        <w:rPr>
          <w:rFonts w:cs="Times New Roman"/>
          <w:b/>
          <w:vanish/>
          <w:szCs w:val="24"/>
        </w:rPr>
        <w:t>Top of Form</w:t>
      </w:r>
    </w:p>
    <w:p w:rsidR="00E53882" w:rsidRPr="009D3ACF" w:rsidRDefault="00B16FF7">
      <w:pPr>
        <w:spacing w:after="0" w:line="480" w:lineRule="auto"/>
        <w:rPr>
          <w:rFonts w:cs="Times New Roman"/>
          <w:b/>
          <w:szCs w:val="24"/>
        </w:rPr>
      </w:pPr>
      <w:r w:rsidRPr="009D3ACF">
        <w:rPr>
          <w:rFonts w:cs="Times New Roman"/>
          <w:b/>
          <w:szCs w:val="24"/>
        </w:rPr>
        <w:t>Author’s Construct Using GIS (PRA/Participatory Mapping)</w:t>
      </w:r>
    </w:p>
    <w:p w:rsidR="00E53882" w:rsidRDefault="00B16FF7">
      <w:pPr>
        <w:spacing w:after="0" w:line="480" w:lineRule="auto"/>
        <w:rPr>
          <w:rFonts w:cs="Times New Roman"/>
          <w:szCs w:val="24"/>
        </w:rPr>
      </w:pPr>
      <w:r>
        <w:rPr>
          <w:rFonts w:cs="Times New Roman"/>
          <w:szCs w:val="24"/>
        </w:rPr>
        <w:t xml:space="preserve">The map illustrating the restricted movements of pastoralists within the study area for the past decades provides compelling evidence that their contemporary mobility is influenced by factors extending beyond purely climatic considerations. In recent times, a significant change in pastoralist mobility patterns has become evident. Unlike the historical practice of largely remaining within their familiar territory, contemporary pastoralists are increasingly moving to other districts. This change in activities is fascinating, especially given that the study area </w:t>
      </w:r>
      <w:r>
        <w:rPr>
          <w:rFonts w:cs="Times New Roman"/>
          <w:szCs w:val="24"/>
        </w:rPr>
        <w:lastRenderedPageBreak/>
        <w:t>still possesses some essential resources such as water and grazing lands. However, a closer examination reveals that this movement cannot be attributed to a single factor but rather results from a complex interplay of various elements. During my discussion with the pastoralists, the 55 years-old pastoralist narrates why they have started moving to other places to spend up four (4) months with their cattle before they come back to the study area his narration was captured below:</w:t>
      </w:r>
    </w:p>
    <w:p w:rsidR="00E53882" w:rsidRDefault="00B16FF7">
      <w:pPr>
        <w:spacing w:line="480" w:lineRule="auto"/>
        <w:ind w:left="864"/>
        <w:rPr>
          <w:rFonts w:cs="Times New Roman"/>
          <w:i/>
          <w:szCs w:val="24"/>
        </w:rPr>
      </w:pPr>
      <w:r>
        <w:rPr>
          <w:rFonts w:cs="Times New Roman"/>
          <w:i/>
          <w:szCs w:val="24"/>
        </w:rPr>
        <w:t>“When they asked you to say something, say it the way you have seen it or hear about it. There are some stories that you hear and follow it, at the end it turn out to be lies. But I have seen these happening, that one there is trust in it. It that not it? Within our surrounding, this our work, sometime ago it was an easy job or it was not difficult, but right now it is difficult. When you look at rearing of livestock and farming, we all depend on one thing. The reason why I said we are all depending on one thing is that, when there is forest (</w:t>
      </w:r>
      <w:proofErr w:type="spellStart"/>
      <w:r>
        <w:rPr>
          <w:rFonts w:cs="Times New Roman"/>
          <w:i/>
          <w:szCs w:val="24"/>
        </w:rPr>
        <w:t>yogu</w:t>
      </w:r>
      <w:proofErr w:type="spellEnd"/>
      <w:r>
        <w:rPr>
          <w:rFonts w:cs="Times New Roman"/>
          <w:i/>
          <w:szCs w:val="24"/>
        </w:rPr>
        <w:t>), and there is enough grasses and tress, and you send your animals there, you are going to enjoy. They will feed to their satisfaction, but when the soil become infertile and there are no grasses, rearing them become difficult. The same way, when a farmer is going to farm, he is looking at a place where the land is fertile (</w:t>
      </w:r>
      <w:proofErr w:type="spellStart"/>
      <w:r>
        <w:rPr>
          <w:rFonts w:cs="Times New Roman"/>
          <w:i/>
          <w:szCs w:val="24"/>
        </w:rPr>
        <w:t>nyariga</w:t>
      </w:r>
      <w:proofErr w:type="spellEnd"/>
      <w:r>
        <w:rPr>
          <w:rFonts w:cs="Times New Roman"/>
          <w:i/>
          <w:szCs w:val="24"/>
        </w:rPr>
        <w:t>). So, all of us are following these patterns and now we meet at a point that we don’t have any alternative. The reason is, when we first came to settle here, “Prima” and “</w:t>
      </w:r>
      <w:proofErr w:type="spellStart"/>
      <w:r>
        <w:rPr>
          <w:rFonts w:cs="Times New Roman"/>
          <w:i/>
          <w:szCs w:val="24"/>
        </w:rPr>
        <w:t>Molaa</w:t>
      </w:r>
      <w:proofErr w:type="spellEnd"/>
      <w:r>
        <w:rPr>
          <w:rFonts w:cs="Times New Roman"/>
          <w:i/>
          <w:szCs w:val="24"/>
        </w:rPr>
        <w:t>” were all over the place. These grasses grow in a very fertile land, not to talk about this hill. But now, unless you travel to different community. The places that the animals were grazing they have farm all those place and plant “</w:t>
      </w:r>
      <w:proofErr w:type="spellStart"/>
      <w:r>
        <w:rPr>
          <w:rFonts w:cs="Times New Roman"/>
          <w:i/>
          <w:szCs w:val="24"/>
        </w:rPr>
        <w:t>Arula</w:t>
      </w:r>
      <w:proofErr w:type="spellEnd"/>
      <w:r>
        <w:rPr>
          <w:rFonts w:cs="Times New Roman"/>
          <w:i/>
          <w:szCs w:val="24"/>
        </w:rPr>
        <w:t>” in other places and where these “</w:t>
      </w:r>
      <w:proofErr w:type="spellStart"/>
      <w:r>
        <w:rPr>
          <w:rFonts w:cs="Times New Roman"/>
          <w:i/>
          <w:szCs w:val="24"/>
        </w:rPr>
        <w:t>Arula</w:t>
      </w:r>
      <w:proofErr w:type="spellEnd"/>
      <w:r>
        <w:rPr>
          <w:rFonts w:cs="Times New Roman"/>
          <w:i/>
          <w:szCs w:val="24"/>
        </w:rPr>
        <w:t xml:space="preserve">” is growing, these grasses (Prima &amp; </w:t>
      </w:r>
      <w:proofErr w:type="spellStart"/>
      <w:r>
        <w:rPr>
          <w:rFonts w:cs="Times New Roman"/>
          <w:i/>
          <w:szCs w:val="24"/>
        </w:rPr>
        <w:t>Molaa</w:t>
      </w:r>
      <w:proofErr w:type="spellEnd"/>
      <w:r>
        <w:rPr>
          <w:rFonts w:cs="Times New Roman"/>
          <w:i/>
          <w:szCs w:val="24"/>
        </w:rPr>
        <w:t xml:space="preserve">) cannot grow there. Now there is no place to farm, </w:t>
      </w:r>
      <w:r>
        <w:rPr>
          <w:rFonts w:cs="Times New Roman"/>
          <w:i/>
          <w:szCs w:val="24"/>
        </w:rPr>
        <w:lastRenderedPageBreak/>
        <w:t xml:space="preserve">and where we use to send our animals to feed, they have taken over all those places and we are now competing for the land. Secondly, during dry season, they are going to burn the whole places that they have farm, including places they have not farm. I have witnessed a situation where we were begging a </w:t>
      </w:r>
      <w:proofErr w:type="spellStart"/>
      <w:r>
        <w:rPr>
          <w:rFonts w:cs="Times New Roman"/>
          <w:i/>
          <w:szCs w:val="24"/>
        </w:rPr>
        <w:t>Dagomba</w:t>
      </w:r>
      <w:proofErr w:type="spellEnd"/>
      <w:r>
        <w:rPr>
          <w:rFonts w:cs="Times New Roman"/>
          <w:i/>
          <w:szCs w:val="24"/>
        </w:rPr>
        <w:t xml:space="preserve"> man not burn a place because our animals are going to feed, in front of us they refuse and burn it, especially when they realized that the cattle belongs to you the </w:t>
      </w:r>
      <w:proofErr w:type="spellStart"/>
      <w:r>
        <w:rPr>
          <w:rFonts w:cs="Times New Roman"/>
          <w:i/>
          <w:szCs w:val="24"/>
        </w:rPr>
        <w:t>fulbe</w:t>
      </w:r>
      <w:proofErr w:type="spellEnd"/>
      <w:r>
        <w:rPr>
          <w:rFonts w:cs="Times New Roman"/>
          <w:i/>
          <w:szCs w:val="24"/>
        </w:rPr>
        <w:t>”.</w:t>
      </w:r>
    </w:p>
    <w:p w:rsidR="00E53882" w:rsidRDefault="00B16FF7">
      <w:pPr>
        <w:spacing w:line="480" w:lineRule="auto"/>
        <w:rPr>
          <w:rFonts w:cs="Times New Roman"/>
          <w:szCs w:val="24"/>
        </w:rPr>
      </w:pPr>
      <w:r>
        <w:rPr>
          <w:rFonts w:cs="Times New Roman"/>
          <w:szCs w:val="24"/>
        </w:rPr>
        <w:t xml:space="preserve">Apart from large-scale farming and bush burning, participants also mentioned farmer-herder conflict as part of the reason they move. </w:t>
      </w:r>
    </w:p>
    <w:p w:rsidR="00E53882" w:rsidRDefault="00B16FF7">
      <w:pPr>
        <w:spacing w:line="480" w:lineRule="auto"/>
        <w:ind w:left="864"/>
        <w:rPr>
          <w:rFonts w:cs="Times New Roman"/>
          <w:szCs w:val="24"/>
        </w:rPr>
      </w:pPr>
      <w:r>
        <w:rPr>
          <w:rFonts w:cs="Times New Roman"/>
          <w:szCs w:val="24"/>
        </w:rPr>
        <w:t>“</w:t>
      </w:r>
      <w:r>
        <w:rPr>
          <w:rFonts w:cs="Times New Roman"/>
          <w:i/>
          <w:szCs w:val="24"/>
        </w:rPr>
        <w:t>Farmers don’t want to see a pastoralist. When they see you, it occurs to them that you are a bad person. Sometimes they just catch you and beat you up without you entering the farm, especially if another pastoralist destroyed his farm and they didn't see the person. When they see you, they will just conclude it was you. Because of these misconceptions, when they start farming, we move to places where there are fewer or no farms to settle until they start harvesting to avoid this struggle”</w:t>
      </w:r>
      <w:r>
        <w:rPr>
          <w:rFonts w:cs="Times New Roman"/>
          <w:szCs w:val="24"/>
        </w:rPr>
        <w:t xml:space="preserve"> (PRA, 2023).</w:t>
      </w:r>
    </w:p>
    <w:p w:rsidR="00E53882" w:rsidRDefault="00B16FF7">
      <w:pPr>
        <w:spacing w:line="480" w:lineRule="auto"/>
        <w:rPr>
          <w:rFonts w:cs="Times New Roman"/>
          <w:szCs w:val="24"/>
        </w:rPr>
      </w:pPr>
      <w:r>
        <w:rPr>
          <w:rFonts w:cs="Times New Roman"/>
          <w:szCs w:val="24"/>
        </w:rPr>
        <w:t xml:space="preserve">They further explained that, most of the rivers gets dry up during dry season and getting access to water is difficult for them. </w:t>
      </w:r>
    </w:p>
    <w:p w:rsidR="00E53882" w:rsidRDefault="00B16FF7">
      <w:pPr>
        <w:spacing w:line="480" w:lineRule="auto"/>
        <w:ind w:left="864"/>
        <w:rPr>
          <w:rFonts w:cs="Times New Roman"/>
          <w:szCs w:val="24"/>
        </w:rPr>
      </w:pPr>
      <w:r>
        <w:rPr>
          <w:rFonts w:cs="Times New Roman"/>
          <w:i/>
          <w:szCs w:val="24"/>
        </w:rPr>
        <w:t xml:space="preserve">“Initially, most of the water bodies in these areas did not dry out easily, we drink from them in the dry season, and even before it completely dries up, it starts to rain. But now most of these waters are drying up easily, and most community members don't want us to drink from them. But if you are taking care of </w:t>
      </w:r>
      <w:proofErr w:type="spellStart"/>
      <w:r>
        <w:rPr>
          <w:rFonts w:cs="Times New Roman"/>
          <w:i/>
          <w:szCs w:val="24"/>
        </w:rPr>
        <w:t>Dagomba</w:t>
      </w:r>
      <w:proofErr w:type="spellEnd"/>
      <w:r>
        <w:rPr>
          <w:rFonts w:cs="Times New Roman"/>
          <w:i/>
          <w:szCs w:val="24"/>
        </w:rPr>
        <w:t xml:space="preserve"> cattle, the </w:t>
      </w:r>
      <w:r>
        <w:rPr>
          <w:rFonts w:cs="Times New Roman"/>
          <w:i/>
          <w:szCs w:val="24"/>
        </w:rPr>
        <w:lastRenderedPageBreak/>
        <w:t>owner can plead, so that you will be drinking from the Community River or boreholes. But if they are your own cattle, you have to go to different places”</w:t>
      </w:r>
      <w:r>
        <w:rPr>
          <w:rFonts w:cs="Times New Roman"/>
          <w:szCs w:val="24"/>
        </w:rPr>
        <w:t xml:space="preserve"> (PRA, 2023)</w:t>
      </w:r>
    </w:p>
    <w:p w:rsidR="00E53882" w:rsidRDefault="00B16FF7">
      <w:pPr>
        <w:spacing w:line="480" w:lineRule="auto"/>
        <w:rPr>
          <w:rFonts w:cs="Times New Roman"/>
          <w:szCs w:val="24"/>
        </w:rPr>
      </w:pPr>
      <w:r>
        <w:rPr>
          <w:rFonts w:cs="Times New Roman"/>
          <w:szCs w:val="24"/>
        </w:rPr>
        <w:t>All the respondents collaborates with what he said and highlight that these are the major reasons they have to move to other places. They elaborated further that;</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 xml:space="preserve">When we reached these areas, they consider us as strangers, so we have to pay for the water that our animals would be drinking in addition to other expenses like food, vaccination etc. Among us, those with large cattle can give a cow to the chief or you pay </w:t>
      </w:r>
      <w:proofErr w:type="spellStart"/>
      <w:r>
        <w:rPr>
          <w:rFonts w:cs="Times New Roman"/>
          <w:i/>
          <w:szCs w:val="24"/>
        </w:rPr>
        <w:t>Ghc</w:t>
      </w:r>
      <w:proofErr w:type="spellEnd"/>
      <w:r>
        <w:rPr>
          <w:rFonts w:cs="Times New Roman"/>
          <w:i/>
          <w:szCs w:val="24"/>
        </w:rPr>
        <w:t xml:space="preserve"> 1000. This charge varies from community to community, for instance; when there is shortage of water and we are moving with our cattle, we can pay for water in </w:t>
      </w:r>
      <w:proofErr w:type="spellStart"/>
      <w:r>
        <w:rPr>
          <w:rFonts w:cs="Times New Roman"/>
          <w:i/>
          <w:szCs w:val="24"/>
        </w:rPr>
        <w:t>Gusheigu</w:t>
      </w:r>
      <w:proofErr w:type="spellEnd"/>
      <w:r>
        <w:rPr>
          <w:rFonts w:cs="Times New Roman"/>
          <w:i/>
          <w:szCs w:val="24"/>
        </w:rPr>
        <w:t xml:space="preserve"> here and stay for two days. When there is shortage of water and food in </w:t>
      </w:r>
      <w:proofErr w:type="spellStart"/>
      <w:r>
        <w:rPr>
          <w:rFonts w:cs="Times New Roman"/>
          <w:i/>
          <w:szCs w:val="24"/>
        </w:rPr>
        <w:t>Gusheigu</w:t>
      </w:r>
      <w:proofErr w:type="spellEnd"/>
      <w:r>
        <w:rPr>
          <w:rFonts w:cs="Times New Roman"/>
          <w:i/>
          <w:szCs w:val="24"/>
        </w:rPr>
        <w:t xml:space="preserve"> and we move to </w:t>
      </w:r>
      <w:proofErr w:type="spellStart"/>
      <w:r>
        <w:rPr>
          <w:rFonts w:cs="Times New Roman"/>
          <w:i/>
          <w:szCs w:val="24"/>
        </w:rPr>
        <w:t>Kpatinga</w:t>
      </w:r>
      <w:proofErr w:type="spellEnd"/>
      <w:r>
        <w:rPr>
          <w:rFonts w:cs="Times New Roman"/>
          <w:i/>
          <w:szCs w:val="24"/>
        </w:rPr>
        <w:t xml:space="preserve">, we have to pay for it again, the payments may be different. </w:t>
      </w:r>
    </w:p>
    <w:p w:rsidR="00E53882" w:rsidRDefault="00B16FF7">
      <w:pPr>
        <w:spacing w:before="0" w:after="0" w:line="480" w:lineRule="auto"/>
        <w:rPr>
          <w:rFonts w:cs="Times New Roman"/>
          <w:szCs w:val="24"/>
        </w:rPr>
      </w:pPr>
      <w:r>
        <w:rPr>
          <w:rFonts w:cs="Times New Roman"/>
          <w:szCs w:val="24"/>
        </w:rPr>
        <w:t xml:space="preserve">Another respondent support this statement and narrates his own experience with the climate change: </w:t>
      </w:r>
    </w:p>
    <w:p w:rsidR="00E53882" w:rsidRDefault="00B16FF7">
      <w:pPr>
        <w:spacing w:before="0" w:after="0" w:line="480" w:lineRule="auto"/>
        <w:ind w:left="864"/>
        <w:rPr>
          <w:rFonts w:cs="Times New Roman"/>
          <w:i/>
          <w:szCs w:val="24"/>
        </w:rPr>
      </w:pPr>
      <w:r>
        <w:rPr>
          <w:rFonts w:cs="Times New Roman"/>
          <w:i/>
          <w:szCs w:val="24"/>
        </w:rPr>
        <w:t xml:space="preserve">This year I moved to </w:t>
      </w:r>
      <w:proofErr w:type="spellStart"/>
      <w:r>
        <w:rPr>
          <w:rFonts w:cs="Times New Roman"/>
          <w:i/>
          <w:szCs w:val="24"/>
        </w:rPr>
        <w:t>Naalua</w:t>
      </w:r>
      <w:proofErr w:type="spellEnd"/>
      <w:r>
        <w:rPr>
          <w:rFonts w:cs="Times New Roman"/>
          <w:i/>
          <w:szCs w:val="24"/>
        </w:rPr>
        <w:t xml:space="preserve"> with my cattle because there was no water for the animals to drink around this community. When I reached the community, I met the chief and inform him that I would like to settle for few months and feed my cattle. They told me that I have to pay </w:t>
      </w:r>
      <w:proofErr w:type="spellStart"/>
      <w:r>
        <w:rPr>
          <w:rFonts w:cs="Times New Roman"/>
          <w:i/>
          <w:szCs w:val="24"/>
        </w:rPr>
        <w:t>Ghc</w:t>
      </w:r>
      <w:proofErr w:type="spellEnd"/>
      <w:r>
        <w:rPr>
          <w:rFonts w:cs="Times New Roman"/>
          <w:i/>
          <w:szCs w:val="24"/>
        </w:rPr>
        <w:t xml:space="preserve"> 1,500 before they allow my cattle to drink the water. I had to pay that amount and stay in the community until it started raining here and I came back. </w:t>
      </w:r>
    </w:p>
    <w:p w:rsidR="00E53882" w:rsidRDefault="00B16FF7">
      <w:pPr>
        <w:spacing w:before="0" w:after="0" w:line="480" w:lineRule="auto"/>
        <w:rPr>
          <w:rFonts w:cs="Times New Roman"/>
          <w:szCs w:val="24"/>
        </w:rPr>
      </w:pPr>
      <w:r>
        <w:rPr>
          <w:rFonts w:cs="Times New Roman"/>
          <w:szCs w:val="24"/>
        </w:rPr>
        <w:lastRenderedPageBreak/>
        <w:t>These narrations indicates the reasons behind pastoralist internal mobility in the study area and the challenges they encounter.</w:t>
      </w:r>
    </w:p>
    <w:p w:rsidR="00E53882" w:rsidRDefault="00B16FF7">
      <w:pPr>
        <w:spacing w:before="0" w:after="0" w:line="480" w:lineRule="auto"/>
        <w:rPr>
          <w:rFonts w:cs="Times New Roman"/>
          <w:szCs w:val="24"/>
        </w:rPr>
      </w:pPr>
      <w:r>
        <w:rPr>
          <w:rFonts w:cs="Times New Roman"/>
          <w:szCs w:val="24"/>
        </w:rPr>
        <w:t xml:space="preserve">However, some of the respondent indicated that, in the mist of all these, they stay in the study area, they do not move. The reason they gave was that, if the cattle owner do not give you the permission to send them to other places to graze, you cannot do that. Because if you go something happen, you will pay the price. </w:t>
      </w:r>
    </w:p>
    <w:p w:rsidR="00E53882" w:rsidRDefault="00B16FF7">
      <w:pPr>
        <w:spacing w:before="0" w:after="0" w:line="480" w:lineRule="auto"/>
        <w:ind w:left="864"/>
        <w:rPr>
          <w:rFonts w:cs="Times New Roman"/>
          <w:szCs w:val="24"/>
        </w:rPr>
      </w:pPr>
      <w:r>
        <w:rPr>
          <w:rFonts w:cs="Times New Roman"/>
          <w:szCs w:val="24"/>
        </w:rPr>
        <w:t>“</w:t>
      </w:r>
      <w:r>
        <w:rPr>
          <w:rFonts w:cs="Times New Roman"/>
          <w:i/>
          <w:szCs w:val="24"/>
        </w:rPr>
        <w:t>You see, some of us have no cattle, we are here because our masters find this place for us and asked us to look after their cattle, so whatever happen, we do not go to any place, unless they give you the permission, and most of them do not allow it (PRA, 2023)”</w:t>
      </w:r>
    </w:p>
    <w:p w:rsidR="00E53882" w:rsidRDefault="00B16FF7">
      <w:pPr>
        <w:spacing w:before="0" w:after="0" w:line="480" w:lineRule="auto"/>
        <w:rPr>
          <w:rFonts w:cs="Times New Roman"/>
          <w:szCs w:val="24"/>
        </w:rPr>
      </w:pPr>
      <w:r>
        <w:rPr>
          <w:rFonts w:cs="Times New Roman"/>
          <w:szCs w:val="24"/>
        </w:rPr>
        <w:t xml:space="preserve">The maps provide a clear picture of how pastoralist mobility has evolved over time, offering key understanding into the factors influencing </w:t>
      </w:r>
      <w:proofErr w:type="gramStart"/>
      <w:r>
        <w:rPr>
          <w:rFonts w:cs="Times New Roman"/>
          <w:szCs w:val="24"/>
        </w:rPr>
        <w:t>pastoralists</w:t>
      </w:r>
      <w:proofErr w:type="gramEnd"/>
      <w:r>
        <w:rPr>
          <w:rFonts w:cs="Times New Roman"/>
          <w:szCs w:val="24"/>
        </w:rPr>
        <w:t xml:space="preserve"> decisions. The findings reveal a complex interplay of ecological conditions, community dynamics, and resource availability. For instance, the historical restriction of movements within the municipality, influenced by a positive relationship between herders and farmers, signifies the role of community dynamics in shaping pastoralist behaviour. However, the study does not capture the perspectives of pastoralists who chose not to move, potentially limiting the breadth of our understanding. The acknowledgment that current movements cannot be solely attributed to climatic factors resonates with current debates in pastoralism studies. The role of conflicts, changes in land use, and access to water aligns with the findings of other scholars on the multifaceted nature of pastoralist decision-making </w:t>
      </w:r>
      <w:r>
        <w:rPr>
          <w:rFonts w:cs="Times New Roman"/>
          <w:szCs w:val="24"/>
        </w:rPr>
        <w:fldChar w:fldCharType="begin" w:fldLock="1"/>
      </w:r>
      <w:r w:rsidR="00900D2E">
        <w:rPr>
          <w:rFonts w:cs="Times New Roman"/>
          <w:szCs w:val="24"/>
        </w:rPr>
        <w:instrText>ADDIN CSL_CITATION {"citationItems":[{"id":"ITEM-1","itemData":{"DOI":"10.2989/10220119.2022.2160012","ISSN":"17279380","abstract":"The Economic Community of West African States (ECOWAS) recognises transhumance pastoralism as a beneficial livestock production system that can contribute to food security together with economic and political stability. Thus, the subregional bloc put together the ECOWAS Protocol on Transhumance and supporting regulations to actualise these benefits. These policies seek to regulate transhumance pastoralism by ensuring that herd movements are along defined migratory corridors among member states. This review assesses the importance of transhumance pastoralism in West Africa, local and cross-border policies, and associated challenges, with emphasis on herder–farmer conflicts. It was realised that the movement of large numbers of livestock into rangelands (1) provides employment for many, and thus improves livelihoods; (2) improves productivity through high milk production and high fertility; (3) reduces moribund and combustible forage materials in the dry season; and (4) enhances seed dispersal, soil fertility and plant diversity on rangelands. This review shows that the ECOWAS cross-border transhumance protocols have led to infrastructural developments in some member states, but the partial enforcement of protocols has led to herder–farmer conflicts. We conclude that transhumance pastoralism and the regulatory policies have several benefits. However, to ensure policy compliance and avoid herder–farmer conflicts, the policies need to be reviewed and discernible gaps eliminated.","author":[{"dropping-particle":"","family":"Timpong-Jones","given":"Eric Cofie","non-dropping-particle":"","parse-names":false,"suffix":""},{"dropping-particle":"","family":"Samuels","given":"Igshaan","non-dropping-particle":"","parse-names":false,"suffix":""},{"dropping-particle":"","family":"Sarkwa","given":"Felix Owusu","non-dropping-particle":"","parse-names":false,"suffix":""},{"dropping-particle":"","family":"Oppong-Anane","given":"Kwame","non-dropping-particle":"","parse-names":false,"suffix":""},{"dropping-particle":"","family":"Majekodumni","given":"Ayodele Oluwakemi","non-dropping-particle":"","parse-names":false,"suffix":""}],"container-title":"African Journal of Range and Forage Science","id":"ITEM-1","issue":"1","issued":{"date-parts":[["2023"]]},"page":"114-128","title":"Transhumance pastoralism in West Africa–its importance, policies and challenges","type":"article-journal","volume":"40"},"uris":["http://www.mendeley.com/documents/?uuid=2d55fc9b-ec87-4f4c-bfea-9b8253785574"]},{"id":"ITEM-2","itemData":{"abstract":"The paper analyses the nature of pastoral activities and socialization processes and how these are associated with violence and crimes in Northern Ghana. The paper focuses on the professional requirements of pastoralists and how these are perceived and misinterpreted by the local people. The study combines socio-anthropological approaches of observation, focus group discussions and interviews with more structured in-depth and key informant interviews. The paper found that formal education results in a decrease in the numbers of local herdboys. Pastoral Fulani herdsmen have gradually replaced the local herdboys to herd cattle at very flexible terms of conditions. However, they have been perceived to be violent and this affects their relationship with the local people. The study concludes that the work of the pastoral herdsmen is very important for the cattle industry and there is the need to regulate their activities to ensure reduction of crop destruction and conflicts. This can promote a harmonious relationship between the pastoral Fulani herdsmen and their Ghanaian hosts. The paper recommends some kind of education for the herdsmen and the crop farmers, as well as demarcation of grazing land. There is the need to also control the free penetration of nomadic herds to control cattle rustling and cutting down of economic trees.","author":[{"dropping-particle":"","family":"Abubakari","given":"Abdulai","non-dropping-particle":"","parse-names":false,"suffix":""},{"dropping-particle":"","family":"Yakubu","given":"Felix","non-dropping-particle":"","parse-names":false,"suffix":""},{"dropping-particle":"","family":"Longi","given":"Tonsuglo","non-dropping-particle":"","parse-names":false,"suffix":""}],"container-title":"International Journal of Research In Social Sciences","id":"ITEM-2","issue":"5","issued":{"date-parts":[["2014"]]},"page":"102 - 111","title":"Pastoralism and Violence in Northern Ghana: Socialisation and Professional Requirement","type":"article-journal","volume":"4"},"uris":["http://www.mendeley.com/documents/?uuid=6fba5752-796c-4327-ab4f-a445d8c03145"]},{"id":"ITEM-3","itemData":{"DOI":"10.3390/su11020319","ISSN":"20711050","abstract":"Agro-pastoral dams (APDs) are an increasingly popular method of adaptation interventions improving communal water supply in ruralWest Africa. However, APDs are often constructed in areas where culturally heterogeneous pastoralists and farmers compete for similar land and water resources. Lifting open access water abundance is likely to change if not intensify ongoing tensions between farmers and settling Fulani herders. The extent of collective action and inclusivity of 6 APDs in Northern Ghana are analysed, combining theory from common-pool resource management and equity and justice in climate change adaptation into a proposed Inclusive Collective Action (ICA) model. Practically, the article demonstrates that neither fully excluding Fulani pastoralists nor making dams openly accessible results in inclusive APD usage and management where collective action is successful, and more dynamic forms of regional inclusion and exclusion are needed. Theoretically, the article identifies some of the limitations of applying the enabling conditions for collective action of common-pool resource theory as it tends to overlook negative aspects of excluding certain user groups in culturally heterogeneous contexts from managing and using a commons.","author":[{"dropping-particle":"","family":"Weesie","given":"Ruben","non-dropping-particle":"","parse-names":false,"suffix":""}],"container-title":"Sustainability (Switzerland)","id":"ITEM-3","issue":"2","issued":{"date-parts":[["2019"]]},"title":"Towards adaptive commons: A case study of agro-pastoral dams in Northern Ghana","type":"article-journal","volume":"11"},"uris":["http://www.mendeley.com/documents/?uuid=65b9c081-7d09-43d6-a6c1-8c92de65edd6"]},{"id":"ITEM-4","itemData":{"DOI":"10.2478/jesr-2018-0024","ISSN":"22400524","abstract":"This study investigated the social and economic effects of the menace of Fulani herdsmen crises in Nigeria. The study specifically examined the causes of Fulani herdsmen and farmers clashes in Nigeria, and the social and economic effects of the menace of Fulani herdsmen in Nigeria. The sample of the study consisted of 250 farmers and 150 respondents from Fulani tribe selected from affected Local Government areas in Southwest, Nigeria via purposive sampling technique. A questionnaire titled Economic and Social Effects of Herdsmen Clashes Questionnaire (ESEHCQ) was used to collect data. Descriptive statistics and inferential statistics of t-test were used to analyze the data generated from respondents. The findings revealed that the major cause of the conflict was destruction of crops. The social effect of the menace of Fulani herdsmen are loss of human life, sexual harassment of human life, acquiring of weapons/arms, reduction in quality of social relationship, reduction of social support and high cases of rape while the economic effect of the menace of Fulani herdsmen are reduction in output and income of farmers/nomads, loss of produce in storage, displacement of farmers, scarcity of agricultural products, loss of house and properties and infrastructural damages. The findings also revealed that farmers and Fulani perception of the causes of Fulani herdsmen and farmers clashes in Nigeria are not different while farmers and Fulani perception of the social effects and economic effects of Fulani herdsmen and farmers clashes in Nigeria are different. Based on the findings, it was recommended among others that representatives of the host communities and Fulani herdsmen should be conveyed under a public forum and involved in the decision making and permitted to take part actively in the planning procedure of restoring peace to most of the affected communities.","author":[{"dropping-particle":"","family":"Ajibefun","given":"M. B.","non-dropping-particle":"","parse-names":false,"suffix":""}],"container-title":"Journal of Educational and Social Research","id":"ITEM-4","issue":"2","issued":{"date-parts":[["2018"]]},"page":"133-139","title":"Social and economic effects of the menace of fulani herdsmen crises in Nigeria","type":"article-journal","volume":"8"},"uris":["http://www.mendeley.com/documents/?uuid=001162e0-aa57-4146-b6f7-75813fbbc86d"]}],"mendeley":{"formattedCitation":"(Abubakari et al., 2014; Ajibefun, 2018; Timpong-Jones et al., 2023; Weesie, 2019)","manualFormatting":"(Ajibefun, 2018; Timpong-Jones et al., 2023; Weesie, 2019)","plainTextFormattedCitation":"(Abubakari et al., 2014; Ajibefun, 2018; Timpong-Jones et al., 2023; Weesie, 2019)","previouslyFormattedCitation":"(Abubakari et al., 2014; Ajibefun, 2018; Timpong-Jones et al., 2023; Weesie, 2019)"},"properties":{"noteIndex":0},"schema":"https://github.com/citation-style-language/schema/raw/master/csl-citation.json"}</w:instrText>
      </w:r>
      <w:r>
        <w:rPr>
          <w:rFonts w:cs="Times New Roman"/>
          <w:szCs w:val="24"/>
        </w:rPr>
        <w:fldChar w:fldCharType="separate"/>
      </w:r>
      <w:r>
        <w:rPr>
          <w:rFonts w:cs="Times New Roman"/>
          <w:noProof/>
          <w:szCs w:val="24"/>
        </w:rPr>
        <w:t>(Ajibefun, 2018; Timpong-Jones et al., 2023; Weesie, 2019)</w:t>
      </w:r>
      <w:r>
        <w:rPr>
          <w:rFonts w:cs="Times New Roman"/>
          <w:szCs w:val="24"/>
        </w:rPr>
        <w:fldChar w:fldCharType="end"/>
      </w:r>
      <w:r>
        <w:rPr>
          <w:rFonts w:cs="Times New Roman"/>
          <w:szCs w:val="24"/>
        </w:rPr>
        <w:t>. The study's consistency with other research reinforces the robustness of the findings and their applicability to broader discussions on pastoralist mobility.</w:t>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szCs w:val="24"/>
        </w:rPr>
      </w:pPr>
      <w:r>
        <w:rPr>
          <w:rFonts w:cs="Times New Roman"/>
          <w:szCs w:val="24"/>
        </w:rPr>
        <w:t xml:space="preserve">In conclusion, the results of this study show a complex pattern of mobility among pastoralists in </w:t>
      </w:r>
      <w:proofErr w:type="spellStart"/>
      <w:r>
        <w:rPr>
          <w:rFonts w:cs="Times New Roman"/>
          <w:szCs w:val="24"/>
        </w:rPr>
        <w:t>Gusheigu</w:t>
      </w:r>
      <w:proofErr w:type="spellEnd"/>
      <w:r>
        <w:rPr>
          <w:rFonts w:cs="Times New Roman"/>
          <w:szCs w:val="24"/>
        </w:rPr>
        <w:t xml:space="preserve"> municipality and surrounding areas. Examining different forms of mobility, such as </w:t>
      </w:r>
      <w:proofErr w:type="spellStart"/>
      <w:r>
        <w:rPr>
          <w:rFonts w:cs="Times New Roman"/>
          <w:szCs w:val="24"/>
        </w:rPr>
        <w:t>Nigi-daabihi</w:t>
      </w:r>
      <w:proofErr w:type="spellEnd"/>
      <w:r>
        <w:rPr>
          <w:rFonts w:cs="Times New Roman"/>
          <w:szCs w:val="24"/>
        </w:rPr>
        <w:t>, Dang-</w:t>
      </w:r>
      <w:proofErr w:type="spellStart"/>
      <w:r>
        <w:rPr>
          <w:rFonts w:cs="Times New Roman"/>
          <w:szCs w:val="24"/>
        </w:rPr>
        <w:t>Kaabu</w:t>
      </w:r>
      <w:proofErr w:type="spellEnd"/>
      <w:r>
        <w:rPr>
          <w:rFonts w:cs="Times New Roman"/>
          <w:szCs w:val="24"/>
        </w:rPr>
        <w:t xml:space="preserve">, and </w:t>
      </w:r>
      <w:proofErr w:type="spellStart"/>
      <w:r>
        <w:rPr>
          <w:rFonts w:cs="Times New Roman"/>
          <w:szCs w:val="24"/>
        </w:rPr>
        <w:t>Modoo</w:t>
      </w:r>
      <w:proofErr w:type="spellEnd"/>
      <w:r>
        <w:rPr>
          <w:rFonts w:cs="Times New Roman"/>
          <w:szCs w:val="24"/>
        </w:rPr>
        <w:t xml:space="preserve">/Nzo </w:t>
      </w:r>
      <w:proofErr w:type="spellStart"/>
      <w:r>
        <w:rPr>
          <w:rFonts w:cs="Times New Roman"/>
          <w:szCs w:val="24"/>
        </w:rPr>
        <w:t>Kokpagu</w:t>
      </w:r>
      <w:proofErr w:type="spellEnd"/>
      <w:r>
        <w:rPr>
          <w:rFonts w:cs="Times New Roman"/>
          <w:szCs w:val="24"/>
        </w:rPr>
        <w:t>, revealed the diverse reasons and dynamics that drive pastoralist movements. The annual mobility calendar provides a structured understanding of when and where pastoralists move throughout the year. The study identified different seasons and corresponding destinations and emphasized the seasonal nature of pastoral mobility. The observations point to a general increase in both cross-border and internal mobility, with environmental and socio-economic factors playing a crucial role. The historical evolution of the internal mobility of pastoralists, as represented by GIS mapping, showed a change in patterns over the years. Since a period of (1982–2002) when the movement was within the boundaries of the municipal, contemporary pastoralists have exhibited a wider range of mobility (2003–2023). This shift is attributed to factors beyond climate, including changes in land use, resource competition, and environmental changes. The reasons for the mobility of pastoralists are diverse. Increased livestock numbers, limited grazing areas, animal health concerns, hardship, and climate-related challenges were identified as key motivators. Pastoralists' responses to these challenges include searching for new areas with abundant resources, leading to both internal and cross-border mobility. Climate change proved to be a major factor influencing the mobility of herders. The lack of vital resources such as grass and water, changes in available space, conflict, and various forms of hardship have been identified as interrelated factors influencing mobility decisions. Essentially, the results highlight the need for a comprehensive understanding of pastoral mobility that goes beyond traditional climatic consideration.</w:t>
      </w:r>
    </w:p>
    <w:p w:rsidR="00E53882" w:rsidRDefault="00B16FF7">
      <w:pPr>
        <w:pStyle w:val="Heading1"/>
        <w:spacing w:before="0" w:line="480" w:lineRule="auto"/>
      </w:pPr>
      <w:bookmarkStart w:id="131" w:name="_Toc164261736"/>
      <w:r>
        <w:lastRenderedPageBreak/>
        <w:t>CHAPTER SEVEN</w:t>
      </w:r>
      <w:bookmarkEnd w:id="131"/>
    </w:p>
    <w:p w:rsidR="00E53882" w:rsidRDefault="00B16FF7">
      <w:pPr>
        <w:pStyle w:val="Heading1"/>
        <w:spacing w:before="0" w:line="480" w:lineRule="auto"/>
      </w:pPr>
      <w:bookmarkStart w:id="132" w:name="_Toc164261737"/>
      <w:r>
        <w:t>CONCLUSION AND RECOMMENDATION</w:t>
      </w:r>
      <w:bookmarkEnd w:id="132"/>
    </w:p>
    <w:p w:rsidR="00E53882" w:rsidRDefault="00B16FF7">
      <w:pPr>
        <w:spacing w:before="0" w:line="480" w:lineRule="auto"/>
        <w:rPr>
          <w:rFonts w:cs="Times New Roman"/>
          <w:vanish/>
          <w:szCs w:val="24"/>
        </w:rPr>
      </w:pPr>
      <w:r>
        <w:rPr>
          <w:rFonts w:cs="Times New Roman"/>
          <w:vanish/>
          <w:szCs w:val="24"/>
        </w:rPr>
        <w:t>Top of Form</w:t>
      </w:r>
    </w:p>
    <w:p w:rsidR="00E53882" w:rsidRDefault="00B16FF7">
      <w:pPr>
        <w:numPr>
          <w:ilvl w:val="0"/>
          <w:numId w:val="9"/>
        </w:numPr>
        <w:spacing w:before="0" w:line="480" w:lineRule="auto"/>
        <w:rPr>
          <w:rFonts w:cs="Times New Roman"/>
          <w:vanish/>
          <w:szCs w:val="24"/>
        </w:rPr>
      </w:pPr>
      <w:r>
        <w:rPr>
          <w:rFonts w:cs="Times New Roman"/>
          <w:vanish/>
          <w:szCs w:val="24"/>
        </w:rPr>
        <w:t>Top of Form</w:t>
      </w:r>
    </w:p>
    <w:p w:rsidR="00E53882" w:rsidRDefault="00B16FF7">
      <w:pPr>
        <w:numPr>
          <w:ilvl w:val="0"/>
          <w:numId w:val="9"/>
        </w:numPr>
        <w:spacing w:before="0" w:line="480" w:lineRule="auto"/>
        <w:rPr>
          <w:rFonts w:cs="Times New Roman"/>
          <w:vanish/>
          <w:szCs w:val="24"/>
        </w:rPr>
      </w:pPr>
      <w:r>
        <w:rPr>
          <w:rFonts w:cs="Times New Roman"/>
          <w:vanish/>
          <w:szCs w:val="24"/>
        </w:rPr>
        <w:t>Top of Form</w:t>
      </w:r>
    </w:p>
    <w:p w:rsidR="00E53882" w:rsidRDefault="00B16FF7">
      <w:pPr>
        <w:numPr>
          <w:ilvl w:val="0"/>
          <w:numId w:val="9"/>
        </w:numPr>
        <w:spacing w:before="0" w:line="480" w:lineRule="auto"/>
        <w:rPr>
          <w:rFonts w:cs="Times New Roman"/>
          <w:vanish/>
          <w:szCs w:val="24"/>
        </w:rPr>
      </w:pPr>
      <w:r>
        <w:rPr>
          <w:rFonts w:cs="Times New Roman"/>
          <w:vanish/>
          <w:szCs w:val="24"/>
        </w:rPr>
        <w:t>Top of Form</w:t>
      </w:r>
    </w:p>
    <w:p w:rsidR="00E53882" w:rsidRDefault="00B16FF7">
      <w:pPr>
        <w:numPr>
          <w:ilvl w:val="0"/>
          <w:numId w:val="9"/>
        </w:numPr>
        <w:spacing w:before="0" w:line="480" w:lineRule="auto"/>
        <w:rPr>
          <w:rFonts w:cs="Times New Roman"/>
          <w:vanish/>
          <w:szCs w:val="24"/>
        </w:rPr>
      </w:pPr>
      <w:r>
        <w:rPr>
          <w:rFonts w:cs="Times New Roman"/>
          <w:vanish/>
          <w:szCs w:val="24"/>
        </w:rPr>
        <w:t>Top of Form</w:t>
      </w:r>
    </w:p>
    <w:p w:rsidR="00E53882" w:rsidRDefault="00B16FF7">
      <w:pPr>
        <w:numPr>
          <w:ilvl w:val="0"/>
          <w:numId w:val="9"/>
        </w:numPr>
        <w:spacing w:before="0" w:line="480" w:lineRule="auto"/>
        <w:rPr>
          <w:rFonts w:cs="Times New Roman"/>
          <w:vanish/>
          <w:szCs w:val="24"/>
        </w:rPr>
      </w:pPr>
      <w:r>
        <w:rPr>
          <w:rFonts w:cs="Times New Roman"/>
          <w:vanish/>
          <w:szCs w:val="24"/>
        </w:rPr>
        <w:t>Top of Form</w:t>
      </w:r>
    </w:p>
    <w:p w:rsidR="00E53882" w:rsidRDefault="00B16FF7">
      <w:pPr>
        <w:pStyle w:val="Heading2"/>
        <w:spacing w:before="0" w:line="480" w:lineRule="auto"/>
      </w:pPr>
      <w:r>
        <w:rPr>
          <w:vanish/>
        </w:rPr>
        <w:t>Top of Form</w:t>
      </w:r>
      <w:bookmarkStart w:id="133" w:name="_Toc164261738"/>
      <w:r>
        <w:t>8.0: Introduction</w:t>
      </w:r>
      <w:bookmarkEnd w:id="133"/>
      <w:r>
        <w:t xml:space="preserve"> </w:t>
      </w:r>
    </w:p>
    <w:p w:rsidR="00E53882" w:rsidRDefault="00B16FF7">
      <w:pPr>
        <w:spacing w:before="0" w:after="0" w:line="480" w:lineRule="auto"/>
        <w:rPr>
          <w:rFonts w:cs="Times New Roman"/>
          <w:szCs w:val="24"/>
        </w:rPr>
      </w:pPr>
      <w:r>
        <w:rPr>
          <w:rFonts w:cs="Times New Roman"/>
          <w:szCs w:val="24"/>
        </w:rPr>
        <w:t>The research has sought to provide an answer to the question: What is the relationship between climate change and pastoralist mobility and how have their internal mobility patterns evolved in the study area? In pursuit of the answers to this question, several other research questions were posed. This chapter provides a summary of the major findings of the research and some policy and research recommendations.</w:t>
      </w:r>
    </w:p>
    <w:p w:rsidR="00E53882" w:rsidRDefault="00E53882">
      <w:pPr>
        <w:pStyle w:val="Heading2"/>
        <w:spacing w:before="0" w:after="0" w:line="480" w:lineRule="auto"/>
      </w:pPr>
    </w:p>
    <w:p w:rsidR="00E53882" w:rsidRDefault="00B16FF7">
      <w:pPr>
        <w:pStyle w:val="Heading2"/>
        <w:spacing w:before="0" w:after="0" w:line="480" w:lineRule="auto"/>
      </w:pPr>
      <w:bookmarkStart w:id="134" w:name="_Toc164261739"/>
      <w:r>
        <w:t>8.1 Summary of Findings</w:t>
      </w:r>
      <w:bookmarkEnd w:id="134"/>
    </w:p>
    <w:p w:rsidR="00E53882" w:rsidRDefault="00B16FF7">
      <w:pPr>
        <w:spacing w:before="0" w:after="0" w:line="480" w:lineRule="auto"/>
        <w:rPr>
          <w:rFonts w:cs="Times New Roman"/>
          <w:b/>
          <w:szCs w:val="24"/>
        </w:rPr>
      </w:pPr>
      <w:r>
        <w:rPr>
          <w:rFonts w:cs="Times New Roman"/>
          <w:b/>
          <w:szCs w:val="24"/>
        </w:rPr>
        <w:t>Characteristics of Pastoralist in the study Area</w:t>
      </w:r>
    </w:p>
    <w:p w:rsidR="00E53882" w:rsidRDefault="00B16FF7">
      <w:pPr>
        <w:spacing w:line="480" w:lineRule="auto"/>
        <w:rPr>
          <w:rFonts w:cs="Times New Roman"/>
          <w:szCs w:val="24"/>
        </w:rPr>
      </w:pPr>
      <w:r>
        <w:rPr>
          <w:rFonts w:cs="Times New Roman"/>
          <w:szCs w:val="24"/>
        </w:rPr>
        <w:t xml:space="preserve">In objective one, the findings of this study shows the various ethnic groups involved in pastoralism in the study area, with a primary focus on the </w:t>
      </w:r>
      <w:proofErr w:type="spellStart"/>
      <w:r>
        <w:rPr>
          <w:rFonts w:cs="Times New Roman"/>
          <w:szCs w:val="24"/>
        </w:rPr>
        <w:t>Fulbe</w:t>
      </w:r>
      <w:proofErr w:type="spellEnd"/>
      <w:r>
        <w:rPr>
          <w:rFonts w:cs="Times New Roman"/>
          <w:szCs w:val="24"/>
        </w:rPr>
        <w:t xml:space="preserve"> pastoralists. The study identified five distinct ethnic groups, including the </w:t>
      </w:r>
      <w:proofErr w:type="spellStart"/>
      <w:r>
        <w:rPr>
          <w:rFonts w:cs="Times New Roman"/>
          <w:szCs w:val="24"/>
        </w:rPr>
        <w:t>Fulbe</w:t>
      </w:r>
      <w:proofErr w:type="spellEnd"/>
      <w:r>
        <w:rPr>
          <w:rFonts w:cs="Times New Roman"/>
          <w:szCs w:val="24"/>
        </w:rPr>
        <w:t xml:space="preserve">, </w:t>
      </w:r>
      <w:proofErr w:type="spellStart"/>
      <w:r>
        <w:rPr>
          <w:rFonts w:cs="Times New Roman"/>
          <w:szCs w:val="24"/>
        </w:rPr>
        <w:t>Jerigonji</w:t>
      </w:r>
      <w:proofErr w:type="spellEnd"/>
      <w:r>
        <w:rPr>
          <w:rFonts w:cs="Times New Roman"/>
          <w:szCs w:val="24"/>
        </w:rPr>
        <w:t xml:space="preserve"> (</w:t>
      </w:r>
      <w:proofErr w:type="spellStart"/>
      <w:r>
        <w:rPr>
          <w:rFonts w:cs="Times New Roman"/>
          <w:szCs w:val="24"/>
        </w:rPr>
        <w:t>Maasai</w:t>
      </w:r>
      <w:proofErr w:type="spellEnd"/>
      <w:r>
        <w:rPr>
          <w:rFonts w:cs="Times New Roman"/>
          <w:szCs w:val="24"/>
        </w:rPr>
        <w:t xml:space="preserve">), Moshi, </w:t>
      </w:r>
      <w:proofErr w:type="spellStart"/>
      <w:r>
        <w:rPr>
          <w:rFonts w:cs="Times New Roman"/>
          <w:szCs w:val="24"/>
        </w:rPr>
        <w:t>Busansi</w:t>
      </w:r>
      <w:proofErr w:type="spellEnd"/>
      <w:r>
        <w:rPr>
          <w:rFonts w:cs="Times New Roman"/>
          <w:szCs w:val="24"/>
        </w:rPr>
        <w:t xml:space="preserve">, and </w:t>
      </w:r>
      <w:proofErr w:type="spellStart"/>
      <w:r>
        <w:rPr>
          <w:rFonts w:cs="Times New Roman"/>
          <w:szCs w:val="24"/>
        </w:rPr>
        <w:t>Gruma</w:t>
      </w:r>
      <w:proofErr w:type="spellEnd"/>
      <w:r>
        <w:rPr>
          <w:rFonts w:cs="Times New Roman"/>
          <w:szCs w:val="24"/>
        </w:rPr>
        <w:t xml:space="preserve"> people, all of whom engage in pastoralism in the study area. Firstly, the study revealed that language serves as a unifying factor among these diverse ethnic groups, with </w:t>
      </w:r>
      <w:proofErr w:type="spellStart"/>
      <w:r>
        <w:rPr>
          <w:rFonts w:cs="Times New Roman"/>
          <w:szCs w:val="24"/>
        </w:rPr>
        <w:t>Fulbe</w:t>
      </w:r>
      <w:proofErr w:type="spellEnd"/>
      <w:r>
        <w:rPr>
          <w:rFonts w:cs="Times New Roman"/>
          <w:szCs w:val="24"/>
        </w:rPr>
        <w:t xml:space="preserve"> language being the predominant mode of communication. This linguistic convergence contributes to the perception of these groups as </w:t>
      </w:r>
      <w:proofErr w:type="spellStart"/>
      <w:r>
        <w:rPr>
          <w:rFonts w:cs="Times New Roman"/>
          <w:szCs w:val="24"/>
        </w:rPr>
        <w:t>Fulbe</w:t>
      </w:r>
      <w:proofErr w:type="spellEnd"/>
      <w:r>
        <w:rPr>
          <w:rFonts w:cs="Times New Roman"/>
          <w:szCs w:val="24"/>
        </w:rPr>
        <w:t xml:space="preserve">, even though they belong to different ethnic backgrounds. Secondly, the mode of dressing, characterized by specific attire, accessories, and tools like sticks and whistles, further blurs the lines between these ethnic groups. Their similar dressing makes it challenging for outsiders to distinguish between them, reinforcing the perception of a shared identity. This is consistent with the literature on Pastoralism and Ethnic Diversity </w:t>
      </w:r>
      <w:r>
        <w:rPr>
          <w:rFonts w:cs="Times New Roman"/>
          <w:szCs w:val="24"/>
        </w:rPr>
        <w:fldChar w:fldCharType="begin" w:fldLock="1"/>
      </w:r>
      <w:r>
        <w:rPr>
          <w:rFonts w:cs="Times New Roman"/>
          <w:szCs w:val="24"/>
        </w:rPr>
        <w:instrText>ADDIN CSL_CITATION {"citationItems":[{"id":"ITEM-1","itemData":{"abstract":"… caused pastoralists to make cyclic movements into arable and agropastoral areas in … must have representation from the different actors concerned (pastoralists, farmers, agropastoralists) … and the host countries, while fully involving subregional pastoral organisations; • Develop …","author":[{"dropping-particle":"","family":"Alidou","given":"S M","non-dropping-particle":"","parse-names":false,"suffix":""}],"container-title":"CapEx in supporting pastoral development","id":"ITEM-1","issue":"February","issued":{"date-parts":[["2016"]]},"page":"8","title":"Cross-border transhumance corridors in West Africa","type":"article-journal"},"uris":["http://www.mendeley.com/documents/?uuid=c5ac5242-1fe8-4a94-952e-3d2ffa7d82cd"]},{"id":"ITEM-2","itemData":{"DOI":"10.3197/np.2020.240102","author":[{"dropping-particle":"","family":"Bukari","given":"Kaderi","non-dropping-particle":"","parse-names":false,"suffix":""},{"dropping-particle":"","family":"Bukari","given":"Shaibu","non-dropping-particle":"","parse-names":false,"suffix":""},{"dropping-particle":"","family":"Sow","given":"Papa","non-dropping-particle":"","parse-names":false,"suffix":""},{"dropping-particle":"","family":"Scheffran","given":"Jürgen","non-dropping-particle":"","parse-names":false,"suffix":""}],"container-title":"Nomadic Peoples","id":"ITEM-2","issued":{"date-parts":[["2020","3","1"]]},"page":"4-31","title":"Diversity and Multiple Drivers of Pastoral Fulani Migration to Ghana","type":"article-journal","volume":"24"},"uris":["http://www.mendeley.com/documents/?uuid=63cd46e9-cafe-40d3-bcc1-99b22ea09773"]},{"id":"ITEM-3","itemData":{"abstract":"Despite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Africa","id":"ITEM-3","issue":"2","issued":{"date-parts":[["2017"]]},"page":"51-55","title":"SUSTAINABLE PASTORALISM AND RANGELANDS IN AFRICA","type":"article-journal","volume":"31"},"uris":["http://www.mendeley.com/documents/?uuid=7111be2c-d8fe-4652-9aad-a1008e384fd1"]},{"id":"ITEM-4","itemData":{"ISBN":"9789177974109","author":[{"dropping-particle":"","family":"Pas Schrijver","given":"Annemiek","non-dropping-particle":"","parse-names":false,"suffix":""}],"id":"ITEM-4","issued":{"date-parts":[["2019"]]},"number-of-pages":"139","title":"Pastoralists, mobility and conservation","type":"book"},"uris":["http://www.mendeley.com/documents/?uuid=c6268015-0c94-4be1-bbbc-daa35d9c716b"]},{"id":"ITEM-5","itemData":{"DOI":"10.2307/525591","author":[{"dropping-particle":"","family":"Fratkin","given":"Elliot","non-dropping-particle":"","parse-names":false,"suffix":""}],"container-title":"African Studies Review","id":"ITEM-5","issued":{"date-parts":[["2001","12","1"]]},"page":"1","title":"East African Pastoralism in Transition: Maasai, Boran, and Rendille Cases","type":"article-journal","volume":"44"},"uris":["http://www.mendeley.com/documents/?uuid=e002b6dd-ac2c-4b2c-8fab-87b56d42a643"]},{"id":"ITEM-6","itemData":{"ISBN":"9781443881715","abstract":"Ethnic diversity and solidarity are often thought to be at odds with each other. In an increasingly diverse society, individuals find it more difficult to identify with other citizens and, therefore, are less willing to show solidarity. Empirical tests of the relationship between diversity and solidarity are, however, inconclusive. This book tests the hypothesis that diversity undermines solidarity in various ways. It discusses the meaning of social solidarity and the different motives that people can have to act solidary, and it examines the relationship between ethnic diversity and solidarity at the national, regional and local levels. These empirical tests use multiple methods, such as an international survey, a vignette study among the Dutch population, and a field experiment involving visitors to a popular market in Amsterdam. The role of the mass media is examined by studying the images of different ethnic groups that are presented in some popular newspapers, TV programmes and a news provider on the Internet. The collection concludes that, although ethnicity is certainly an important factor in understanding patterns of solidarity, there is not a simple linear relationship between ethnic diversity and solidarity. Even though ethnic difference in itself may be a source of discrimination, one cannot conclude from this that increasing ethnic diversity will necessarily result in less solidarity.","author":[{"dropping-particle":"De","family":"Beer","given":"Paul T","non-dropping-particle":"","parse-names":false,"suffix":""}],"container-title":"Ethnic Diversity and Solidarity: A Study of theit Complex Relationship","id":"ITEM-6","issue":"June 2017","issued":{"date-parts":[["2017"]]},"number-of-pages":"1-13","title":"Ethnic Diversity and Solidarity","type":"book"},"uris":["http://www.mendeley.com/documents/?uuid=160bbc9b-48c6-4a7f-b395-415ecf456ba4"]}],"mendeley":{"formattedCitation":"(Alidou, 2016; Beer, 2017; K. Bukari et al., 2020; FAO, 2017; Fratkin, 2001; Pas Schrijver, 2019)","manualFormatting":"(Alidou, 2016; Beer, 2017; FAO, 2017; Fratkin, 2001; Pas Schrijver, 2019)","plainTextFormattedCitation":"(Alidou, 2016; Beer, 2017; K. Bukari et al., 2020; FAO, 2017; Fratkin, 2001; Pas Schrijver, 2019)","previouslyFormattedCitation":"(Alidou, 2016; Beer, 2017; K. Bukari et al., 2020; FAO, 2017; Fratkin, 2001; Pas Schrijver, 2019)"},"properties":{"noteIndex":0},"schema":"https://github.com/citation-style-language/schema/raw/master/csl-citation.json"}</w:instrText>
      </w:r>
      <w:r>
        <w:rPr>
          <w:rFonts w:cs="Times New Roman"/>
          <w:szCs w:val="24"/>
        </w:rPr>
        <w:fldChar w:fldCharType="separate"/>
      </w:r>
      <w:r>
        <w:rPr>
          <w:rFonts w:cs="Times New Roman"/>
          <w:noProof/>
          <w:szCs w:val="24"/>
          <w:lang w:val="fr-FR"/>
        </w:rPr>
        <w:t xml:space="preserve">(Alidou, 2016; Beer, 2017; FAO, 2017; Fratkin, 2001; Pas </w:t>
      </w:r>
      <w:r>
        <w:rPr>
          <w:rFonts w:cs="Times New Roman"/>
          <w:noProof/>
          <w:szCs w:val="24"/>
          <w:lang w:val="fr-FR"/>
        </w:rPr>
        <w:lastRenderedPageBreak/>
        <w:t>Schrijver, 2019)</w:t>
      </w:r>
      <w:r>
        <w:rPr>
          <w:rFonts w:cs="Times New Roman"/>
          <w:szCs w:val="24"/>
        </w:rPr>
        <w:fldChar w:fldCharType="end"/>
      </w:r>
      <w:r>
        <w:rPr>
          <w:rFonts w:cs="Times New Roman"/>
          <w:szCs w:val="24"/>
          <w:lang w:val="fr-FR"/>
        </w:rPr>
        <w:t xml:space="preserve">. </w:t>
      </w:r>
      <w:r>
        <w:rPr>
          <w:rFonts w:cs="Times New Roman"/>
          <w:szCs w:val="24"/>
        </w:rPr>
        <w:t xml:space="preserve">Furthermore, pastoralism emerged as the central occupation for these pastoralists, emphasizing their common reliance on cattle rearing, livestock trading, and related activities. While some have transitioned to other livelihoods like farming, the core occupation remains consistent across these groups. This finding is consistent with the literature on pastoralist livelihoods </w:t>
      </w:r>
      <w:r>
        <w:rPr>
          <w:rFonts w:cs="Times New Roman"/>
          <w:szCs w:val="24"/>
        </w:rPr>
        <w:fldChar w:fldCharType="begin" w:fldLock="1"/>
      </w:r>
      <w:r w:rsidR="007215E1">
        <w:rPr>
          <w:rFonts w:cs="Times New Roman"/>
          <w:szCs w:val="24"/>
        </w:rPr>
        <w:instrText>ADDIN CSL_CITATION {"citationItems":[{"id":"ITEM-1","itemData":{"author":[{"dropping-particle":"","family":"FAO","given":"","non-dropping-particle":"","parse-names":false,"suffix":""}],"id":"ITEM-1","issued":{"date-parts":[["2019"]]},"title":"Cross-border coordination of livestock movements and sharing of natural resources among pastoralist communities in the Greater Karamoja Cluster","type":"article"},"uris":["http://www.mendeley.com/documents/?uuid=2033c7ea-7964-400f-8c8e-b6ac53d2822f"]},{"id":"ITEM-2","itemData":{"abstract":"Despite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Africa","id":"ITEM-2","issue":"2","issued":{"date-parts":[["2017"]]},"page":"51-55","title":"SUSTAINABLE PASTORALISM AND RANGELANDS IN AFRICA","type":"article-journal","volume":"31"},"uris":["http://www.mendeley.com/documents/?uuid=7111be2c-d8fe-4652-9aad-a1008e384fd1"]},{"id":"ITEM-3","itemData":{"author":[{"dropping-particle":"","family":"Herbert","given":"Siân","non-dropping-particle":"","parse-names":false,"suffix":""},{"dropping-particle":"","family":"Birch","given":"Izzy","non-dropping-particle":"","parse-names":false,"suffix":""}],"id":"ITEM-3","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Birmingham.","type":"article-journal"},"uris":["http://www.mendeley.com/documents/?uuid=1a598de7-0b9a-40ad-ad96-afe5a753c43a"]},{"id":"ITEM-4","itemData":{"ISBN":"9789177974109","author":[{"dropping-particle":"","family":"Pas Schrijver","given":"Annemiek","non-dropping-particle":"","parse-names":false,"suffix":""}],"id":"ITEM-4","issued":{"date-parts":[["2019"]]},"number-of-pages":"139","title":"Pastoralists, mobility and conservation","type":"book"},"uris":["http://www.mendeley.com/documents/?uuid=c6268015-0c94-4be1-bbbc-daa35d9c716b"]}],"mendeley":{"formattedCitation":"(FAO, 2017, 2019; Herbert &amp; Birch, 2022; Pas Schrijver, 2019)","manualFormatting":"(FAO, 2017; Herbert &amp; Birch, 2022; Pas Schrijver, 2019)","plainTextFormattedCitation":"(FAO, 2017, 2019; Herbert &amp; Birch, 2022; Pas Schrijver, 2019)","previouslyFormattedCitation":"(FAO, 2017, 2019; Herbert &amp; Birch, 2022; Pas Schrijver, 2019)"},"properties":{"noteIndex":0},"schema":"https://github.com/citation-style-language/schema/raw/master/csl-citation.json"}</w:instrText>
      </w:r>
      <w:r>
        <w:rPr>
          <w:rFonts w:cs="Times New Roman"/>
          <w:szCs w:val="24"/>
        </w:rPr>
        <w:fldChar w:fldCharType="separate"/>
      </w:r>
      <w:r>
        <w:rPr>
          <w:rFonts w:cs="Times New Roman"/>
          <w:noProof/>
          <w:szCs w:val="24"/>
        </w:rPr>
        <w:t>(FAO, 2017; Herbert &amp; Birch, 2022; Pas Schrijver, 2019)</w:t>
      </w:r>
      <w:r>
        <w:rPr>
          <w:rFonts w:cs="Times New Roman"/>
          <w:szCs w:val="24"/>
        </w:rPr>
        <w:fldChar w:fldCharType="end"/>
      </w:r>
      <w:r>
        <w:rPr>
          <w:rFonts w:cs="Times New Roman"/>
          <w:szCs w:val="24"/>
        </w:rPr>
        <w:t>.</w:t>
      </w:r>
    </w:p>
    <w:p w:rsidR="00E53882" w:rsidRDefault="00B16FF7">
      <w:pPr>
        <w:spacing w:before="0" w:after="0" w:line="480" w:lineRule="auto"/>
        <w:rPr>
          <w:rFonts w:cs="Times New Roman"/>
          <w:szCs w:val="24"/>
        </w:rPr>
      </w:pPr>
      <w:r>
        <w:rPr>
          <w:rFonts w:cs="Times New Roman"/>
          <w:szCs w:val="24"/>
        </w:rPr>
        <w:t xml:space="preserve">The study uncovered distinctive marriage practices, highlighting the </w:t>
      </w:r>
      <w:proofErr w:type="spellStart"/>
      <w:r>
        <w:rPr>
          <w:rFonts w:cs="Times New Roman"/>
          <w:szCs w:val="24"/>
        </w:rPr>
        <w:t>Fulbe</w:t>
      </w:r>
      <w:proofErr w:type="spellEnd"/>
      <w:r>
        <w:rPr>
          <w:rFonts w:cs="Times New Roman"/>
          <w:szCs w:val="24"/>
        </w:rPr>
        <w:t xml:space="preserve"> pastoralists' preference for endogamy, where they tend to marry within their own ethnic group or the </w:t>
      </w:r>
      <w:proofErr w:type="spellStart"/>
      <w:r>
        <w:rPr>
          <w:rFonts w:cs="Times New Roman"/>
          <w:szCs w:val="24"/>
        </w:rPr>
        <w:t>Fulbe</w:t>
      </w:r>
      <w:proofErr w:type="spellEnd"/>
      <w:r>
        <w:rPr>
          <w:rFonts w:cs="Times New Roman"/>
          <w:szCs w:val="24"/>
        </w:rPr>
        <w:t xml:space="preserve"> tribe. This practice contributes to their distinct identity and may explain why they are often perceived as outsiders in host communities. The transmission of specific knowledge and skills related to pastoralism from one generation to the next underscores the cultural significance of this profession. However, the introduction of alternative skills among pastoralist children may pose challenges to the sustainability of their traditional way of life. Additionally, the </w:t>
      </w:r>
      <w:proofErr w:type="spellStart"/>
      <w:r>
        <w:rPr>
          <w:rFonts w:cs="Times New Roman"/>
          <w:szCs w:val="24"/>
        </w:rPr>
        <w:t>Fulbe</w:t>
      </w:r>
      <w:proofErr w:type="spellEnd"/>
      <w:r>
        <w:rPr>
          <w:rFonts w:cs="Times New Roman"/>
          <w:szCs w:val="24"/>
        </w:rPr>
        <w:t xml:space="preserve"> pastoralists possess unique symbolic beliefs regarding livestock, particularly their ability to interpret the future based on the appearance of cattle. This knowledge is considered valuable in safeguarding the well-being of the herd and the owner, reflecting their deep connection to their livestock. Furthermore, the study provided insights into </w:t>
      </w:r>
      <w:proofErr w:type="spellStart"/>
      <w:r>
        <w:rPr>
          <w:rFonts w:cs="Times New Roman"/>
          <w:szCs w:val="24"/>
        </w:rPr>
        <w:t>Fulbe</w:t>
      </w:r>
      <w:proofErr w:type="spellEnd"/>
      <w:r>
        <w:rPr>
          <w:rFonts w:cs="Times New Roman"/>
          <w:szCs w:val="24"/>
        </w:rPr>
        <w:t xml:space="preserve"> marriage traditions, which prioritize the consent of the daughter and adherence to Islamic practices. These customs emphasize mutual respect, autonomy, and familial support within the community. The historical account of </w:t>
      </w:r>
      <w:proofErr w:type="spellStart"/>
      <w:r>
        <w:rPr>
          <w:rFonts w:cs="Times New Roman"/>
          <w:szCs w:val="24"/>
        </w:rPr>
        <w:t>Fulbe</w:t>
      </w:r>
      <w:proofErr w:type="spellEnd"/>
      <w:r>
        <w:rPr>
          <w:rFonts w:cs="Times New Roman"/>
          <w:szCs w:val="24"/>
        </w:rPr>
        <w:t xml:space="preserve"> origins in the study area traced their roots to </w:t>
      </w:r>
      <w:proofErr w:type="spellStart"/>
      <w:r>
        <w:rPr>
          <w:rFonts w:cs="Times New Roman"/>
          <w:szCs w:val="24"/>
        </w:rPr>
        <w:t>Hudu</w:t>
      </w:r>
      <w:proofErr w:type="spellEnd"/>
      <w:r>
        <w:rPr>
          <w:rFonts w:cs="Times New Roman"/>
          <w:szCs w:val="24"/>
        </w:rPr>
        <w:t xml:space="preserve"> Bata, an Arabian who migrated to Senegambia to propagate Islam. This historical narrative underscores the cultural and religious influences that have shaped the </w:t>
      </w:r>
      <w:proofErr w:type="spellStart"/>
      <w:r>
        <w:rPr>
          <w:rFonts w:cs="Times New Roman"/>
          <w:szCs w:val="24"/>
        </w:rPr>
        <w:t>Fulbe</w:t>
      </w:r>
      <w:proofErr w:type="spellEnd"/>
      <w:r>
        <w:rPr>
          <w:rFonts w:cs="Times New Roman"/>
          <w:szCs w:val="24"/>
        </w:rPr>
        <w:t xml:space="preserve"> identity. Lastly, the chieftaincy system among </w:t>
      </w:r>
      <w:proofErr w:type="spellStart"/>
      <w:r>
        <w:rPr>
          <w:rFonts w:cs="Times New Roman"/>
          <w:szCs w:val="24"/>
        </w:rPr>
        <w:t>Fulbe</w:t>
      </w:r>
      <w:proofErr w:type="spellEnd"/>
      <w:r>
        <w:rPr>
          <w:rFonts w:cs="Times New Roman"/>
          <w:szCs w:val="24"/>
        </w:rPr>
        <w:t xml:space="preserve"> pastoralists, based on lineage and succession through the first male child of the deceased chief, sets them apart from neighbouring tribes. This practice reflects their </w:t>
      </w:r>
      <w:r>
        <w:rPr>
          <w:rFonts w:cs="Times New Roman"/>
          <w:szCs w:val="24"/>
        </w:rPr>
        <w:lastRenderedPageBreak/>
        <w:t xml:space="preserve">commitment to tradition and respect for family ties.  These findings are consistent with the literature on pastoralism </w:t>
      </w:r>
      <w:r>
        <w:rPr>
          <w:rFonts w:cs="Times New Roman"/>
          <w:szCs w:val="24"/>
        </w:rPr>
        <w:fldChar w:fldCharType="begin" w:fldLock="1"/>
      </w:r>
      <w:r>
        <w:rPr>
          <w:rFonts w:cs="Times New Roman"/>
          <w:szCs w:val="24"/>
        </w:rPr>
        <w:instrText>ADDIN CSL_CITATION {"citationItems":[{"id":"ITEM-1","itemData":{"DOI":"10.4314/ijah.v8i4.12","ISSN":"2225-8590","abstract":"Recent history of Fulani migrants in Nigeria is inundated with pastoral nomadic violence exacerbated by the increase in the influx of migrating herders within the context of ecological history and Geopolitics. Drawing extensively from the ECOWAS protocol on free movement within the sub region, the Fulani pastoralist have unrestrained access to the nook and crannies of the Nigeria state with attendance violence in contest for scarce resources between local farmers and herders. This is occasioned by deepening environmental dynamics, climate change and climate induced constrictions, altering the age long concentric pattern of coexistence and cooperation to competition and conflict. This work seeks to interrogate this violent trend while trailing the pattern with the view to unraveling the cause of the conflict. The work takes a critical look at the subsisting ECOWAS protocol on free movement within the sub region of West Africa, and it consequences for sub-regional security amongst member states. Anchored on the political ecology perspective, the paper posits, the conflicts have been informed by the desperate struggle for competitive survival and subsistence in an environment characterized by ecological scarcity and livelihood insecurity and the unchallenged culture of arms bearing by the Fulani herders over the years. The work concludes that an urgent constitutional provision is necessary that will provide for private Ranching as a panacea to the perennial conflict between herders and local farmers in Nigeria.Key Words: Fulani Herders, Conflict, Migration, Local Farmers, Ecological Scarcity","author":[{"dropping-particle":"","family":"Idehen","given":"Roosevelt Osazenaye","non-dropping-particle":"","parse-names":false,"suffix":""},{"dropping-particle":"","family":"Ikuru","given":"Ubelejit Renner","non-dropping-particle":"","parse-names":false,"suffix":""}],"container-title":"AFRREV IJAH: An International Journal of Arts and Humanities","id":"ITEM-1","issue":"4","issued":{"date-parts":[["2019"]]},"page":"128-137","title":"Migration and the Emerging Security Challenges in West Africa: Case of Fulani Herders/Sedentary Farmers Conflicts in Nigeria","type":"article-journal","volume":"8"},"uris":["http://www.mendeley.com/documents/?uuid=e294da59-ee2d-4856-ad18-41c8fd8aca77"]},{"id":"ITEM-2","itemData":{"author":[{"dropping-particle":"","family":"Okoli","given":"Al Chukwuma","non-dropping-particle":"","parse-names":false,"suffix":""}],"container-title":"Journal of Humanities and Social Policy","id":"ITEM-2","issue":"1","issued":{"date-parts":[["2016"]]},"page":"22-30","title":"The Trajectories and Dynamics of Herdsmen Militancy in Central Nigeria","type":"article-journal","volume":"2"},"uris":["http://www.mendeley.com/documents/?uuid=0f19cb00-9c2e-45ec-83ec-948bd92d572a"]}],"mendeley":{"formattedCitation":"(Idehen &amp; Ikuru, 2019; Okoli, 2016)","plainTextFormattedCitation":"(Idehen &amp; Ikuru, 2019; Okoli, 2016)","previouslyFormattedCitation":"(Idehen &amp; Ikuru, 2019; Okoli, 2016)"},"properties":{"noteIndex":0},"schema":"https://github.com/citation-style-language/schema/raw/master/csl-citation.json"}</w:instrText>
      </w:r>
      <w:r>
        <w:rPr>
          <w:rFonts w:cs="Times New Roman"/>
          <w:szCs w:val="24"/>
        </w:rPr>
        <w:fldChar w:fldCharType="separate"/>
      </w:r>
      <w:r>
        <w:rPr>
          <w:rFonts w:cs="Times New Roman"/>
          <w:noProof/>
          <w:szCs w:val="24"/>
        </w:rPr>
        <w:t>(Idehen &amp; Ikuru, 2019; Okoli, 2016)</w:t>
      </w:r>
      <w:r>
        <w:rPr>
          <w:rFonts w:cs="Times New Roman"/>
          <w:szCs w:val="24"/>
        </w:rPr>
        <w:fldChar w:fldCharType="end"/>
      </w:r>
      <w:r>
        <w:rPr>
          <w:rFonts w:cs="Times New Roman"/>
          <w:szCs w:val="24"/>
        </w:rPr>
        <w:t xml:space="preserve">. </w:t>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b/>
          <w:vanish/>
          <w:szCs w:val="24"/>
        </w:rPr>
      </w:pPr>
      <w:r>
        <w:rPr>
          <w:rFonts w:cs="Times New Roman"/>
          <w:b/>
          <w:szCs w:val="24"/>
        </w:rPr>
        <w:t>Perception of Pastoralists on Climate Change</w:t>
      </w:r>
      <w:r>
        <w:rPr>
          <w:rFonts w:cs="Times New Roman"/>
          <w:b/>
          <w:vanish/>
          <w:szCs w:val="24"/>
        </w:rPr>
        <w:t>Top of Form</w:t>
      </w:r>
    </w:p>
    <w:p w:rsidR="00E53882" w:rsidRDefault="00E53882">
      <w:pPr>
        <w:spacing w:before="0" w:after="0" w:line="480" w:lineRule="auto"/>
        <w:rPr>
          <w:rFonts w:cs="Times New Roman"/>
          <w:b/>
          <w:szCs w:val="24"/>
        </w:rPr>
      </w:pPr>
    </w:p>
    <w:p w:rsidR="00E53882" w:rsidRDefault="00B16FF7">
      <w:pPr>
        <w:spacing w:before="0" w:after="0" w:line="480" w:lineRule="auto"/>
        <w:rPr>
          <w:rFonts w:cs="Times New Roman"/>
          <w:szCs w:val="24"/>
        </w:rPr>
      </w:pPr>
      <w:r>
        <w:rPr>
          <w:rFonts w:cs="Times New Roman"/>
          <w:szCs w:val="24"/>
        </w:rPr>
        <w:t xml:space="preserve">Pastoralists in the study area understand climate change as alterations in weather conditions over an extended period caused by both natural factors and human activities. This includes an increase in wind speed, temperature rise, and changes in rainfall patterns. Human activities, such as tree cutting and bush burning, are identified as contributing factors. Climate change affects animals and humans, impacting their lives and livelihoods. Pastoralists highlight the role of nature and human activities in these changes. This is consistent with literature on climate change and mobility </w:t>
      </w:r>
      <w:r>
        <w:rPr>
          <w:rFonts w:cs="Times New Roman"/>
          <w:szCs w:val="24"/>
        </w:rPr>
        <w:fldChar w:fldCharType="begin" w:fldLock="1"/>
      </w:r>
      <w:r>
        <w:rPr>
          <w:rFonts w:cs="Times New Roman"/>
          <w:szCs w:val="24"/>
        </w:rPr>
        <w:instrText>ADDIN CSL_CITATION {"citationItems":[{"id":"ITEM-1","itemData":{"DOI":"10.4324/9781315270326-109","ISBN":"9783031162770","abstract":"The Fourth Assessment Report of the Intergovernmental Panel on Climate Change (IPCC) provide the most comprehensive and balanced assessment of climate change available. This IPCC Working Group III volume is a state-of-the-art assessment of the scientific, technical, environmental, economic, and social aspects of the mitigation of climate change. Written by the world's leading experts, the IPCC volumes will again prove to be invaluable for researchers, students, and policymakers, and will form the standard reference works for policy decisions for government and industry worldwide.","author":[{"dropping-particle":"","family":"Lewis","given":"Elizabeth","non-dropping-particle":"","parse-names":false,"suffix":""},{"dropping-particle":"","family":"Chamel","given":"Olivier","non-dropping-particle":"","parse-names":false,"suffix":""},{"dropping-particle":"","family":"Mohsenin","given":"Mahsan","non-dropping-particle":"","parse-names":false,"suffix":""},{"dropping-particle":"","family":"Ots","given":"Enn","non-dropping-particle":"","parse-names":false,"suffix":""},{"dropping-particle":"","family":"White","given":"Edward T.","non-dropping-particle":"","parse-names":false,"suffix":""}],"container-title":"Sustainaspeak","id":"ITEM-1","issued":{"date-parts":[["2018"]]},"number-of-pages":"153-154","title":"Intergovernmental Panel on Climate Change","type":"book"},"uris":["http://www.mendeley.com/documents/?uuid=99f6f359-4b7c-43e1-8114-868f0f873f3f"]},{"id":"ITEM-2","itemData":{"DOI":"10.2307/j.ctvr43k9j.13","ISBN":"9781009157988","abstract":"An IPCC special report on climate change, desertification, land degradation, sustainable land management, food security, and greenhouse gas fluxes in terrestrial ecosystems","author":[{"dropping-particle":"","family":"Couzin","given":"Robert","non-dropping-particle":"","parse-names":false,"suffix":""}],"container-title":"The Traditio Legis: Anatomy of an Image","id":"ITEM-2","issued":{"date-parts":[["2019"]]},"number-of-pages":"46-54","title":"Framing and context","type":"book"},"uris":["http://www.mendeley.com/documents/?uuid=7eb26f58-11c9-4db4-b34f-75c2aeb8cc22"]},{"id":"ITEM-3","itemData":{"DOI":"10.1017/9781009157896","ISBN":"9781009157896","abstract":"This Summary for Policymakers should be cited as: IPCC, 2013: Summary for Policymakers.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USA.","author":[{"dropping-particle":"","family":"IPCC","given":"","non-dropping-particle":"","parse-names":false,"suffix":""}],"container-title":"Climate Change 2021 – The Physical Science Basis","id":"ITEM-3","issued":{"date-parts":[["2021"]]},"title":"Climate Change 2021 – The Physical Science Basis","type":"book"},"uris":["http://www.mendeley.com/documents/?uuid=63086c08-fedc-4b2d-94e3-596cb92fc366"]},{"id":"ITEM-4","itemData":{"author":[{"dropping-particle":"","family":"Jarawura","given":"Francis Xavier","non-dropping-particle":"","parse-names":false,"suffix":""}],"container-title":"UGSpace","id":"ITEM-4","issue":"10359998","issued":{"date-parts":[["2013"]]},"number-of-pages":"1-210","publisher":"University of Ghana","title":"Drought And Migration In Northern Ghana","type":"thesis"},"uris":["http://www.mendeley.com/documents/?uuid=f6ba7737-471c-44e6-b731-1785f69a2b9e"]},{"id":"ITEM-5","itemData":{"author":[{"dropping-particle":"","family":"USAID","given":"","non-dropping-particle":"","parse-names":false,"suffix":""}],"id":"ITEM-5","issue":"January","issued":{"date-parts":[["2017"]]},"title":"Climate Change Risk Profile: GHANA","type":"article-journal"},"uris":["http://www.mendeley.com/documents/?uuid=bca2ec2a-1f38-4a01-957c-ab81bd97f20e"]}],"mendeley":{"formattedCitation":"(Couzin, 2019; IPCC, 2021; Jarawura, 2013; Lewis et al., 2018; USAID, 2017)","plainTextFormattedCitation":"(Couzin, 2019; IPCC, 2021; Jarawura, 2013; Lewis et al., 2018; USAID, 2017)","previouslyFormattedCitation":"(Couzin, 2019; IPCC, 2021; Jarawura, 2013; Lewis et al., 2018; USAID, 2017)"},"properties":{"noteIndex":0},"schema":"https://github.com/citation-style-language/schema/raw/master/csl-citation.json"}</w:instrText>
      </w:r>
      <w:r>
        <w:rPr>
          <w:rFonts w:cs="Times New Roman"/>
          <w:szCs w:val="24"/>
        </w:rPr>
        <w:fldChar w:fldCharType="separate"/>
      </w:r>
      <w:r>
        <w:rPr>
          <w:rFonts w:cs="Times New Roman"/>
          <w:noProof/>
          <w:szCs w:val="24"/>
        </w:rPr>
        <w:t>(Couzin, 2019; IPCC, 2021; Jarawura, 2013; Lewis et al., 2018; USAID, 2017)</w:t>
      </w:r>
      <w:r>
        <w:rPr>
          <w:rFonts w:cs="Times New Roman"/>
          <w:szCs w:val="24"/>
        </w:rPr>
        <w:fldChar w:fldCharType="end"/>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szCs w:val="24"/>
        </w:rPr>
      </w:pPr>
      <w:r>
        <w:rPr>
          <w:rFonts w:cs="Times New Roman"/>
          <w:szCs w:val="24"/>
        </w:rPr>
        <w:t xml:space="preserve">Pastoralists perceive rising temperatures, changes in rainfall patterns, and increased wind intensity over the past two decades. They observe a change from reliable rainfall to unpredictable patterns, affecting their traditional way of life. Concerns are raised about drought, reduced water supply, and the impact on cattle, including reduced fertility and weight gain. They attribute rising temperature, low rainfall, late start of rainfall, and high wind to bush burning, deforestation, the will of God, destruction of shrines, killing of crocodiles, and signs of the end time. They emphasize the ecological importance of trees and how their absence contributes to adverse climate changes this is consistent with literature on climate change-related mobility </w:t>
      </w:r>
      <w:r>
        <w:rPr>
          <w:rFonts w:cs="Times New Roman"/>
          <w:szCs w:val="24"/>
        </w:rPr>
        <w:fldChar w:fldCharType="begin" w:fldLock="1"/>
      </w:r>
      <w:r>
        <w:rPr>
          <w:rFonts w:cs="Times New Roman"/>
          <w:szCs w:val="24"/>
        </w:rPr>
        <w:instrText>ADDIN CSL_CITATION {"citationItems":[{"id":"ITEM-1","itemData":{"DOI":"10.1017/9781009157896","ISBN":"9781009157896","abstract":"This Summary for Policymakers should be cited as: IPCC, 2013: Summary for Policymakers. In: Climate Change 2013: The Physical Science Basis. Contribution of Working Group I to the Fifth Assessment Report of the Intergovernmental Panel on Climate Change [Stocker, T.F., D. Qin, G.-K. Plattner, M. Tignor, S.K. Allen, J. Boschung, A. Nauels, Y. Xia, V. Bex and P.M. Midgley (eds.)]. Cambridge University Press, Cambridge, United Kingdom and New York, NY, USA.","author":[{"dropping-particle":"","family":"IPCC","given":"","non-dropping-particle":"","parse-names":false,"suffix":""}],"container-title":"Climate Change 2021 – The Physical Science Basis","id":"ITEM-1","issued":{"date-parts":[["2021"]]},"title":"Climate Change 2021 – The Physical Science Basis","type":"book"},"uris":["http://www.mendeley.com/documents/?uuid=63086c08-fedc-4b2d-94e3-596cb92fc366"]},{"id":"ITEM-2","itemData":{"author":[{"dropping-particle":"","family":"IPCC","given":"","non-dropping-particle":"","parse-names":false,"suffix":""}],"id":"ITEM-2","issued":{"date-parts":[["2023"]]},"title":"IPCC_AR6_SYR_SPM.pdf","type":"article"},"uris":["http://www.mendeley.com/documents/?uuid=4839fd95-4acb-4402-a857-ddd943b22e0c"]},{"id":"ITEM-3","itemData":{"DOI":"10.5194/essd-12-3269-2020","ISSN":"18663516","abstract":"Accurate assessment of anthropogenic carbon dioxide (CO2) emissions and their redistribution among the atmosphere, ocean, and terrestrial biosphere in a changing climate the \"global carbon budget\" is important to better understand the global carbon cycle, support the development of climate policies, and project future climate change. Here we describe and synthesize data sets and methodology to quantify the five major components of the global carbon budget and their uncertainties. Fossil CO2 emissions (EFOS) are based on energy statistics and cement production data, while emissions from land-use change (ELUC), mainly deforestation, are based on land use and land-use change data and bookkeeping models. Atmospheric CO2 concentration is measured directly and its growth rate (GATM) is computed from the annual changes in concentration. The ocean CO2 sink (SOCEAN) and terrestrial CO2 sink (SLAND) are estimated with global process models constrained by observations. The resulting carbon budget imbalance (BIM), the difference between the estimated total emissions and the estimated changes in the atmosphere, ocean, and terrestrial biosphere, is a measure of imperfect data and understanding of the contemporary carbon cycle. All uncertainties are reported as ±1s. For the last decade available (2010 2019), EFOS was 9.6 ± 0.5 GtC yr-1 excluding the cement carbonation sink (9.4 ± 0.5 GtC yr-1 when the cement carbonation sink is included), and ELUC was 1.6 ± 0.7 GtC yr-1. For the same decade, GATM was 5.1 ± 0.02 GtC yr-1 (2.4 ± 0.01 ppm yr-1), SOCEAN 2.5 ± 0.6 GtC yr-1, and SLAND 3.4 ± 0.9 GtC yr-1, with a budget imbalance BIM of -0.1 GtC yr-1 indicating a near balance between estimated sources and sinks over the last decade. For the year 2019 alone, the growth in EFOS was only about 0.1 % with fossil emissions increasing to 9.9 ± 0.5 GtC yr-1 excluding the cement carbonation sink (9.7 ± 0.5 GtC yr-1 when cement carbonation sink is included), and ELUC was 1.8 ± 0.7 GtC yr-1, for total anthropogenic CO2 emissions of 11.5 ± 0.9 GtC yr-1 (42.2 ± 3.3 GtCO2). Also for 2019, GATM was 5.4 ± 0.2 GtC yr-1 (2.5 ± 0.1 ppm yr-1), SOCEAN was 2.6 ± 0.6 GtC yr-1, and SLAND was 3.1 ± 1.2 GtC yr-1, with a BIM of 0.3 GtC. The global atmospheric CO2 concentration reached 409.85 ± 0.1 ppm averaged over 2019. Preliminary data for 2020, accounting for the COVID-19-induced changes in emissions, suggest a decrease in EFOS relative to 2019 of about -7 % (median estimate) based on individual es…","author":[{"dropping-particle":"","family":"Friedlingstein","given":"Pierre","non-dropping-particle":"","parse-names":false,"suffix":""},{"dropping-particle":"","family":"O'Sullivan","given":"Michael","non-dropping-particle":"","parse-names":false,"suffix":""},{"dropping-particle":"","family":"Jones","given":"Matthew W.","non-dropping-particle":"","parse-names":false,"suffix":""},{"dropping-particle":"","family":"Andrew","given":"Robbie M.","non-dropping-particle":"","parse-names":false,"suffix":""},{"dropping-particle":"","family":"Hauck","given":"Judith","non-dropping-particle":"","parse-names":false,"suffix":""},{"dropping-particle":"","family":"Olsen","given":"Are","non-dropping-particle":"","parse-names":false,"suffix":""},{"dropping-particle":"","family":"Peters","given":"Glen P.","non-dropping-particle":"","parse-names":false,"suffix":""},{"dropping-particle":"","family":"Peters","given":"Wouter","non-dropping-particle":"","parse-names":false,"suffix":""},{"dropping-particle":"","family":"Pongratz","given":"Julia","non-dropping-particle":"","parse-names":false,"suffix":""},{"dropping-particle":"","family":"Sitch","given":"Stephen","non-dropping-particle":"","parse-names":false,"suffix":""},{"dropping-particle":"","family":"Quéré","given":"Corinne","non-dropping-particle":"Le","parse-names":false,"suffix":""},{"dropping-particle":"","family":"Canadell","given":"Josep G.","non-dropping-particle":"","parse-names":false,"suffix":""},{"dropping-particle":"","family":"Ciais","given":"Philippe","non-dropping-particle":"","parse-names":false,"suffix":""},{"dropping-particle":"","family":"Jackson","given":"Robert B.","non-dropping-particle":"","parse-names":false,"suffix":""},{"dropping-particle":"","family":"Alin","given":"Simone","non-dropping-particle":"","parse-names":false,"suffix":""},{"dropping-particle":"","family":"Aragão","given":"Luiz E.O.C.","non-dropping-particle":"","parse-names":false,"suffix":""},{"dropping-particle":"","family":"Arneth","given":"Almut","non-dropping-particle":"","parse-names":false,"suffix":""},{"dropping-particle":"","family":"Arora","given":"Vivek","non-dropping-particle":"","parse-names":false,"suffix":""},{"dropping-particle":"","family":"Bates","given":"Nicholas R.","non-dropping-particle":"","parse-names":false,"suffix":""},{"dropping-particle":"","family":"Becker","given":"Meike","non-dropping-particle":"","parse-names":false,"suffix":""},{"dropping-particle":"","family":"Benoit-Cattin","given":"Alice","non-dropping-particle":"","parse-names":false,"suffix":""},{"dropping-particle":"","family":"Bittig","given":"Henry C.","non-dropping-particle":"","parse-names":false,"suffix":""},{"dropping-particle":"","family":"Bopp","given":"Laurent","non-dropping-particle":"","parse-names":false,"suffix":""},{"dropping-particle":"","family":"Bultan","given":"Selma","non-dropping-particle":"","parse-names":false,"suffix":""},{"dropping-particle":"","family":"Chandra","given":"Naveen","non-dropping-particle":"","parse-names":false,"suffix":""},{"dropping-particle":"","family":"Chevallier","given":"Frédéric","non-dropping-particle":"","parse-names":false,"suffix":""},{"dropping-particle":"","family":"Chini","given":"Louise P.","non-dropping-particle":"","parse-names":false,"suffix":""},{"dropping-particle":"","family":"Evans","given":"Wiley","non-dropping-particle":"","parse-names":false,"suffix":""},{"dropping-particle":"","family":"Florentie","given":"Liesbeth","non-dropping-particle":"","parse-names":false,"suffix":""},{"dropping-particle":"","family":"Forster","given":"Piers M.","non-dropping-particle":"","parse-names":false,"suffix":""},{"dropping-particle":"","family":"Gasser","given":"Thomas","non-dropping-particle":"","parse-names":false,"suffix":""},{"dropping-particle":"","family":"Gehlen","given":"Marion","non-dropping-particle":"","parse-names":false,"suffix":""},{"dropping-particle":"","family":"Gilfillan","given":"Dennis","non-dropping-particle":"","parse-names":false,"suffix":""},{"dropping-particle":"","family":"Gkritzalis","given":"Thanos","non-dropping-particle":"","parse-names":false,"suffix":""},{"dropping-particle":"","family":"Gregor","given":"Luke","non-dropping-particle":"","parse-names":false,"suffix":""},{"dropping-particle":"","family":"Gruber","given":"Nicolas","non-dropping-particle":"","parse-names":false,"suffix":""},{"dropping-particle":"","family":"Harris","given":"Ian","non-dropping-particle":"","parse-names":false,"suffix":""},{"dropping-particle":"","family":"Hartung","given":"Kerstin","non-dropping-particle":"","parse-names":false,"suffix":""},{"dropping-particle":"","family":"Haverd","given":"Vanessa","non-dropping-particle":"","parse-names":false,"suffix":""},{"dropping-particle":"","family":"Houghton","given":"Richard A.","non-dropping-particle":"","parse-names":false,"suffix":""},{"dropping-particle":"","family":"Ilyina","given":"Tatiana","non-dropping-particle":"","parse-names":false,"suffix":""},{"dropping-particle":"","family":"Jain","given":"Atul K.","non-dropping-particle":"","parse-names":false,"suffix":""},{"dropping-particle":"","family":"Joetzjer","given":"Emilie","non-dropping-particle":"","parse-names":false,"suffix":""},{"dropping-particle":"","family":"Kadono","given":"Koji","non-dropping-particle":"","parse-names":false,"suffix":""},{"dropping-particle":"","family":"Kato","given":"Etsushi","non-dropping-particle":"","parse-names":false,"suffix":""},{"dropping-particle":"","family":"Kitidis","given":"Vassilis","non-dropping-particle":"","parse-names":false,"suffix":""},{"dropping-particle":"","family":"Korsbakken","given":"Jan Ivar","non-dropping-particle":"","parse-names":false,"suffix":""},{"dropping-particle":"","family":"Landschützer","given":"Peter","non-dropping-particle":"","parse-names":false,"suffix":""},{"dropping-particle":"","family":"Lefèvre","given":"Nathalie","non-dropping-particle":"","parse-names":false,"suffix":""},{"dropping-particle":"","family":"Lenton","given":"Andrew","non-dropping-particle":"","parse-names":false,"suffix":""},{"dropping-particle":"","family":"Lienert","given":"Sebastian","non-dropping-particle":"","parse-names":false,"suffix":""},{"dropping-particle":"","family":"Liu","given":"Zhu","non-dropping-particle":"","parse-names":false,"suffix":""},{"dropping-particle":"","family":"Lombardozzi","given":"Danica","non-dropping-particle":"","parse-names":false,"suffix":""},{"dropping-particle":"","family":"Marland","given":"Gregg","non-dropping-particle":"","parse-names":false,"suffix":""},{"dropping-particle":"","family":"Metzl","given":"Nicolas","non-dropping-particle":"","parse-names":false,"suffix":""},{"dropping-particle":"","family":"Munro","given":"David R.","non-dropping-particle":"","parse-names":false,"suffix":""},{"dropping-particle":"","family":"Nabel","given":"Julia E.M.S.","non-dropping-particle":"","parse-names":false,"suffix":""},{"dropping-particle":"","family":"Nakaoka","given":"Shin Ichiro","non-dropping-particle":"","parse-names":false,"suffix":""},{"dropping-particle":"","family":"Niwa","given":"Yosuke","non-dropping-particle":"","parse-names":false,"suffix":""},{"dropping-particle":"","family":"O'Brien","given":"Kevin","non-dropping-particle":"","parse-names":false,"suffix":""},{"dropping-particle":"","family":"Ono","given":"Tsuneo","non-dropping-particle":"","parse-names":false,"suffix":""},{"dropping-particle":"","family":"Palmer","given":"Paul I.","non-dropping-particle":"","parse-names":false,"suffix":""},{"dropping-particle":"","family":"Pierrot","given":"Denis","non-dropping-particle":"","parse-names":false,"suffix":""},{"dropping-particle":"","family":"Poulter","given":"Benjamin","non-dropping-particle":"","parse-names":false,"suffix":""},{"dropping-particle":"","family":"Resplandy","given":"Laure","non-dropping-particle":"","parse-names":false,"suffix":""},{"dropping-particle":"","family":"Robertson","given":"Eddy","non-dropping-particle":"","parse-names":false,"suffix":""},{"dropping-particle":"","family":"Rödenbeck","given":"Christian","non-dropping-particle":"","parse-names":false,"suffix":""},{"dropping-particle":"","family":"Schwinger","given":"Jörg","non-dropping-particle":"","parse-names":false,"suffix":""},{"dropping-particle":"","family":"Séférian","given":"Roland","non-dropping-particle":"","parse-names":false,"suffix":""},{"dropping-particle":"","family":"Skjelvan","given":"Ingunn","non-dropping-particle":"","parse-names":false,"suffix":""},{"dropping-particle":"","family":"Smith","given":"Adam J.P.","non-dropping-particle":"","parse-names":false,"suffix":""},{"dropping-particle":"","family":"Sutton","given":"Adrienne J.","non-dropping-particle":"","parse-names":false,"suffix":""},{"dropping-particle":"","family":"Tanhua","given":"Toste","non-dropping-particle":"","parse-names":false,"suffix":""},{"dropping-particle":"","family":"Tans","given":"Pieter P.","non-dropping-particle":"","parse-names":false,"suffix":""},{"dropping-particle":"","family":"Tian","given":"Hanqin","non-dropping-particle":"","parse-names":false,"suffix":""},{"dropping-particle":"","family":"Tilbrook","given":"Bronte","non-dropping-particle":"","parse-names":false,"suffix":""},{"dropping-particle":"","family":"Werf","given":"Guido","non-dropping-particle":"Van Der","parse-names":false,"suffix":""},{"dropping-particle":"","family":"Vuichard","given":"Nicolas","non-dropping-particle":"","parse-names":false,"suffix":""},{"dropping-particle":"","family":"Walker","given":"Anthony P.","non-dropping-particle":"","parse-names":false,"suffix":""},{"dropping-particle":"","family":"Wanninkhof","given":"Rik","non-dropping-particle":"","parse-names":false,"suffix":""},{"dropping-particle":"","family":"Watson","given":"Andrew J.","non-dropping-particle":"","parse-names":false,"suffix":""},{"dropping-particle":"","family":"Willis","given":"David","non-dropping-particle":"","parse-names":false,"suffix":""},{"dropping-particle":"","family":"Wiltshire","given":"Andrew J.","non-dropping-particle":"","parse-names":false,"suffix":""},{"dropping-particle":"","family":"Yuan","given":"Wenping","non-dropping-particle":"","parse-names":false,"suffix":""},{"dropping-particle":"","family":"Yue","given":"Xu","non-dropping-particle":"","parse-names":false,"suffix":""},{"dropping-particle":"","family":"Zaehle","given":"Sönke","non-dropping-particle":"","parse-names":false,"suffix":""}],"container-title":"Earth System Science Data","id":"ITEM-3","issue":"4","issued":{"date-parts":[["2020"]]},"page":"3269-3340","title":"Global Carbon Budget 2020","type":"article-journal","volume":"12"},"uris":["http://www.mendeley.com/documents/?uuid=5e69f740-1a33-4a22-9eea-1e1354cbcb7b"]},{"id":"ITEM-4","itemData":{"DOI":"10.1177/1070496519835895","ISBN":"1070496519835","ISSN":"15525465","abstract":"Small Island Developing States (SIDS) share a common vulnerability to climate change. Adaptation to climate change and variability is urgently needed yet, while some is already occurring in SIDS, research on the nature and efficacy of adaptation across SIDS is fragmentary. In this article, we systematically review academic literature to identify where adaptation in SIDS is documented; what type of adaptation strategies are taken, and in response to which climate change impacts; and the extent to which this adaptation has been judged as successful. Our analysis indicates that much adaptation research is concentrated on the Pacific, on independent island states, and on core areas within SIDS. Research documents a wide array of adaptation strategies across SIDS, notably structural or physical and behavioral changes. Yet, evaluation of concrete adaptation interventions is lacking; it thus remains unclear to what extent documented adaptation effectively and sustainably reduces SIDS’ vulnerability and increases their resilience.","author":[{"dropping-particle":"","family":"Klöck","given":"Carola","non-dropping-particle":"","parse-names":false,"suffix":""},{"dropping-particle":"","family":"Nunn","given":"Patrick D.","non-dropping-particle":"","parse-names":false,"suffix":""}],"container-title":"Journal of Environment and Development","id":"ITEM-4","issue":"2","issued":{"date-parts":[["2019"]]},"page":"196-218","title":"Adaptation to Climate Change in Small Island Developing States: A Systematic Literature Review of Academic Research","type":"article-journal","volume":"28"},"uris":["http://www.mendeley.com/documents/?uuid=e9b382de-9ab7-4129-97bc-04fd55d607d5"]},{"id":"ITEM-5","itemData":{"DOI":"10.1007/s42452-020-04111-0","ISBN":"4245202004111","ISSN":"25233971","abstract":"Rainfall variability is of great importance in East Africa, where small-scale farmers and pastoralists dominate. Their livestock production activities are heavily dependent on rainfall. We assessed pastoralist perceptions on climate change, particularly rainfall variability, its impact on livestock production, and the adaptive capacity of pastoralists in the Ngorongoro Conservation Area (NCA), Tanzania. We combined 241 household interviews and information from 52 participants of Participatory Rural Appraisal (PRA) with archived data from the Ngorongoro Conservation Area Authority (NCAA). We found that most (71%) pastoralists were aware of general climate change impacts, rainfall variability, and impacts of extreme events on their livestock. Most (&gt; 75%) respondents perceived erratic and reduced amounts of rainfall, prolonged and frequent periods of drought as the main climate change challenges. Mean annual rainfall accounted for only 46% (R2), (p = 0.076) and 32% (R2), (p = 0.22) of cattle, and sheep and goat population variability, respectively. Unexpectedly, cattle losses intensified by 10% when herd size increased (p &lt; 0.001) and by 98% (p = 0.049) when mobility increased, implying that increasing herd sizes and mobility do not cushion households against climate change shocks. Our study highlights the need to enhance adaptive capacity of the pastoralist communities through interventions that proactively reduce vulnerability. We recommend that future research should address the profitability of pastoral cattle production under changing environmental conditions.","author":[{"dropping-particle":"","family":"Leweri","given":"Cecilia M.","non-dropping-particle":"","parse-names":false,"suffix":""},{"dropping-particle":"","family":"Msuha","given":"Maurus J.","non-dropping-particle":"","parse-names":false,"suffix":""},{"dropping-particle":"","family":"Treydte","given":"Anna C.","non-dropping-particle":"","parse-names":false,"suffix":""}],"container-title":"SN Applied Sciences","id":"ITEM-5","issue":"1","issued":{"date-parts":[["2021"]]},"page":"1-10","publisher":"Springer International Publishing","title":"Rainfall variability and socio-economic constraints on livestock production in the Ngorongoro Conservation Area, Tanzania","type":"article-journal","volume":"3"},"uris":["http://www.mendeley.com/documents/?uuid=e414c125-b1cc-4a87-ab3e-7e08ad4bfeb7"]}],"mendeley":{"formattedCitation":"(Friedlingstein et al., 2020; IPCC, 2021, 2023; Klöck &amp; Nunn, 2019; Leweri et al., 2021)","plainTextFormattedCitation":"(Friedlingstein et al., 2020; IPCC, 2021, 2023; Klöck &amp; Nunn, 2019; Leweri et al., 2021)","previouslyFormattedCitation":"(Friedlingstein et al., 2020; IPCC, 2021, 2023; Klöck &amp; Nunn, 2019; Leweri et al., 2021)"},"properties":{"noteIndex":0},"schema":"https://github.com/citation-style-language/schema/raw/master/csl-citation.json"}</w:instrText>
      </w:r>
      <w:r>
        <w:rPr>
          <w:rFonts w:cs="Times New Roman"/>
          <w:szCs w:val="24"/>
        </w:rPr>
        <w:fldChar w:fldCharType="separate"/>
      </w:r>
      <w:r>
        <w:rPr>
          <w:rFonts w:cs="Times New Roman"/>
          <w:noProof/>
          <w:szCs w:val="24"/>
        </w:rPr>
        <w:t>(Friedlingstein et al., 2020; IPCC, 2021, 2023; Klöck &amp; Nunn, 2019; Leweri et al., 2021)</w:t>
      </w:r>
      <w:r>
        <w:rPr>
          <w:rFonts w:cs="Times New Roman"/>
          <w:szCs w:val="24"/>
        </w:rPr>
        <w:fldChar w:fldCharType="end"/>
      </w:r>
      <w:r>
        <w:rPr>
          <w:rFonts w:cs="Times New Roman"/>
          <w:szCs w:val="24"/>
        </w:rPr>
        <w:t xml:space="preserve">. The way pastoralists perceive climate change is significantly influenced </w:t>
      </w:r>
      <w:r>
        <w:rPr>
          <w:rFonts w:cs="Times New Roman"/>
          <w:szCs w:val="24"/>
        </w:rPr>
        <w:lastRenderedPageBreak/>
        <w:t>by their social, cultural, and economic contexts, as well as the specific time frame in which they encounter climate risks. Despite an increasing understanding of climate change from a scientific perspective, pastoralists tend to rely more on traditional beliefs rooted in social and cultural aspects when forming their perceptions.</w:t>
      </w:r>
    </w:p>
    <w:p w:rsidR="00E53882" w:rsidRDefault="00B16FF7">
      <w:pPr>
        <w:spacing w:before="0" w:after="0" w:line="480" w:lineRule="auto"/>
        <w:rPr>
          <w:rFonts w:cs="Times New Roman"/>
          <w:szCs w:val="24"/>
        </w:rPr>
      </w:pPr>
      <w:r>
        <w:rPr>
          <w:rFonts w:cs="Times New Roman"/>
          <w:szCs w:val="24"/>
        </w:rPr>
        <w:t xml:space="preserve">Climate change adversely affects pastoralists' livelihoods, particularly in cattle rearing and crop farming. Reduced water supply, unreliable rainfall, and diseases impact cattle health and productivity. Crop production faces challenges due to unreliable rainfall and poor soil nutrients. Pastoralists adopt supplementary livelihoods such as sheep and goat rearing and poultry to cope with the impacts. This is consistent with the literature on mobility and livelihood </w:t>
      </w:r>
      <w:r>
        <w:rPr>
          <w:rFonts w:cs="Times New Roman"/>
          <w:szCs w:val="24"/>
        </w:rPr>
        <w:fldChar w:fldCharType="begin" w:fldLock="1"/>
      </w:r>
      <w:r w:rsidR="00900D2E">
        <w:rPr>
          <w:rFonts w:cs="Times New Roman"/>
          <w:szCs w:val="24"/>
        </w:rPr>
        <w:instrText>ADDIN CSL_CITATION {"citationItems":[{"id":"ITEM-1","itemData":{"DOI":"10.5897/ajar2019.13878","abstract":"… These should replace the traditional extensive livestock production system which was identified as the main cause for land degradation and desertification in the Sahel … 0 25 50 75 100 Crop farming Not crop farming Crop farming Not crop farming Before sedentarisation Now …","author":[{"dropping-particle":"","family":"Nouhoun","given":"Zampaligré","non-dropping-particle":"","parse-names":false,"suffix":""},{"dropping-particle":"","family":"Dominique","given":"Ouedraogo","non-dropping-particle":"","parse-names":false,"suffix":""},{"dropping-particle":"","family":"Claudious","given":"Chikozho","non-dropping-particle":"","parse-names":false,"suffix":""},{"dropping-particle":"","family":"Louis","given":"Sawadogo","non-dropping-particle":"","parse-names":false,"suffix":""},{"dropping-particle":"","family":"Eva","given":"Schlecht","non-dropping-particle":"","parse-names":false,"suffix":""}],"container-title":"African Journal of Agricultural Research","id":"ITEM-1","issue":"30","issued":{"date-parts":[["2019"]]},"page":"1311-1325","title":"Changes in livelihood strategies and animal husbandry practices of pastoralists in the sub-humid zone of West Africa","type":"article-journal","volume":"14"},"uris":["http://www.mendeley.com/documents/?uuid=85a31897-c52b-4c0f-8baa-8579bc66d448"]},{"id":"ITEM-2","itemData":{"abstract":"Despite growing reports of confrontations between pastoralists and farmers, land administration reforms in Ghana make no efforts to enhance co-utilisation of land resources in a mutual manner. This research used an ethnographic case study approach to explore the governance arrangements over access to pasture under conditions of changing land tenure systems in the Nkoranza South Municipality of Ghana. The study establishes that limits to pastoral land access are a result of a national land policy and land reform system which leads to liberalisation of the land market, commercialisation of agricultural production, individualisation of land resources and gradually disappearing commons. The study concludes that efforts at land administration reforms should designate, allocate and codify specific areas for grazing purposes, accompanied with mutually agreed transit routes in support of herder mobility. It is also recommended that a collaborative and institutionalised effort for resolving herder-farmer conflicts should be mutually developed amongst the various stakeholders.","author":[{"dropping-particle":"","family":"FAO","given":"","non-dropping-particle":"","parse-names":false,"suffix":""}],"container-title":"Sustainable Pastoralism and Rangelands in Africa","id":"ITEM-2","issue":"2","issued":{"date-parts":[["2017"]]},"page":"51-55","title":"SUSTAINABLE PASTORALISM AND RANGELANDS IN AFRICA","type":"article-journal","volume":"31"},"uris":["http://www.mendeley.com/documents/?uuid=7111be2c-d8fe-4652-9aad-a1008e384fd1"]},{"id":"ITEM-3","itemData":{"author":[{"dropping-particle":"","family":"FAO","given":"","non-dropping-particle":"","parse-names":false,"suffix":""}],"id":"ITEM-3","issue":"February 2016","issued":{"date-parts":[["2020"]]},"title":"IFAD / FAO Engagement in Pastoral Development ( 2003-2013 ). Joint Evaluation Synthesis Office of Evaluation Independent Office of Evaluation FAO ' s and IFAD ' s Engagement in Pastoral Development J O I N T E VA LUAT I O N SY N T H E S I S","type":"article-journal"},"uris":["http://www.mendeley.com/documents/?uuid=464c9317-2cac-4106-958a-96b3f1c2f0e1"]},{"id":"ITEM-4","itemData":{"abstract":"The findings and recommendations in this Toolkit were identified based on a meta-review of program evaluations and scholarly research in French and English, supplemented by a series of key informant interviews with program implementers. The Toolkit was validated through review by an Advisory Council of external civil society practitioners and researchers as well as practitioners from Search for Common Ground’s field offices across the Sudano-Sahel (Burkina Faso, Central African Republic, Democratic Republic of the Congo, Mali, Nigeria, Niger, South Sudan, Sudan). This analysis primarily focused on pastoralism- related development or conflict prevention programs conducted in the past ten years (2010-2020) in major conflict zones within the Sudano-Sahel ecological zone. The geographic focus included: (i) the Liptako-Gourma triangle at the intersection of Mali, Niger, and Burkina Faso; (ii) Nigeria and the Lake Chad Basin; (iii) the Central African Republic and surrounding border regions; and (iv) the Sudan/South Sudan border region. Where relevant, lessons learned have also been included from other regions where pastoralism is common – including sub-humid areas of West Africa (Benin, Togo, Ivory Coast) and East Africa (Kenya, Uganda).","author":[{"dropping-particle":"","family":"Jobbins","given":"Mike","non-dropping-particle":"","parse-names":false,"suffix":""},{"dropping-particle":"","family":"McDonnell","given":"Andrew","non-dropping-particle":"","parse-names":false,"suffix":""}],"id":"ITEM-4","issued":{"date-parts":[["2021"]]},"title":"Pastoralism and Conflict: Tools for Preventsion and Response in the Sudano-Sahel","type":"article-journal"},"uris":["http://www.mendeley.com/documents/?uuid=cfcc7260-19d5-4d35-8ec2-19f7204b665f"]}],"mendeley":{"formattedCitation":"(FAO, 2017, 2020; Jobbins &amp; McDonnell, 2021; Nouhoun et al., 2019)","plainTextFormattedCitation":"(FAO, 2017, 2020; Jobbins &amp; McDonnell, 2021; Nouhoun et al., 2019)","previouslyFormattedCitation":"(FAO, 2017, 2020; Jobbins &amp; McDonnell, 2021; Nouhoun et al., 2019)"},"properties":{"noteIndex":0},"schema":"https://github.com/citation-style-language/schema/raw/master/csl-citation.json"}</w:instrText>
      </w:r>
      <w:r>
        <w:rPr>
          <w:rFonts w:cs="Times New Roman"/>
          <w:szCs w:val="24"/>
        </w:rPr>
        <w:fldChar w:fldCharType="separate"/>
      </w:r>
      <w:r>
        <w:rPr>
          <w:rFonts w:cs="Times New Roman"/>
          <w:noProof/>
          <w:szCs w:val="24"/>
        </w:rPr>
        <w:t>(FAO, 2017, 2020; Jobbins &amp; McDonnell, 2021; Nouhoun et al., 2019)</w:t>
      </w:r>
      <w:r>
        <w:rPr>
          <w:rFonts w:cs="Times New Roman"/>
          <w:szCs w:val="24"/>
        </w:rPr>
        <w:fldChar w:fldCharType="end"/>
      </w:r>
      <w:r>
        <w:rPr>
          <w:rFonts w:cs="Times New Roman"/>
          <w:szCs w:val="24"/>
        </w:rPr>
        <w:t xml:space="preserve">. Cattle are negatively affected by climate change, experiencing health issues due to dust exposure, respiratory problems, and reduced growth during dry spells. Changes in water availability affect their daily routines and lead to diseases associated with dust inhalation. This is also consistent with the literature on the climate change and mobility </w:t>
      </w:r>
      <w:r>
        <w:rPr>
          <w:rFonts w:cs="Times New Roman"/>
          <w:szCs w:val="24"/>
        </w:rPr>
        <w:fldChar w:fldCharType="begin" w:fldLock="1"/>
      </w:r>
      <w:r>
        <w:rPr>
          <w:rFonts w:cs="Times New Roman"/>
          <w:szCs w:val="24"/>
        </w:rPr>
        <w:instrText>ADDIN CSL_CITATION {"citationItems":[{"id":"ITEM-1","itemData":{"abstract":"Questions on adaptation With the recent Conference of the Parties to the United Nations Framework Convention on Climate Change, held in Nairobi (November 2006), significant international attention has been drawn to the issue of climate change. It is widely recognised that developing countries stand to suffer disproportionately from the effects of climate change, they are in the weakest position to mitigate the adverse effects and stand to lose some of the current development gains that have been made as a result. In the build up to the UNFCCC meeting, a number of NGOs began to voice their concerns about the impact of climate change on pastoral livelihoods, particularly in parts of the world where droughts lead to famine and poverty for pastoralists. However, the role of climate change in undermining pastoral livelihoods remains unclear, particularly given the multitude of other factors that contribute to pastoral poverty. The World Initiative for Sustainable Pastoralism therefore commissioned a paper from Nick Brooks 1 to learn more about the realities of climate change and adaptation in the drylands. For pastoralists the situation is complex. Their production system is already an adaptation to hostile environments: according to Nick Brooks' paper pastoralism in Africa arose 5000 years ago precisely as an adaptation to climate change at that time. However, with the current marginalisation of pastoralists, their adaptive capacities may have been eroded and they may be more susceptible to climate change than other communities. Conversely, climate change could conceivably lead to the creation of more dryland resources that are suited to pastoralism, thus creating new opportunities for pastoralists to exploit. However, the likelihood and the implications of such changes are very uncertain. This paper has been drafted partly to stimulate discussion on this complex, but very current topic. A number of questions remain difficult to answer, or at least contentious. Other important questions may yet to be brought into current debates. For example, what is adaptation in the pastoral context? How does it manifest itself? Do pastoralists have first hand experience of climate change yet and how are they adapting? How has their adaptive capacity been curtailed and how can it be restored? Is there a difference between adaptation and development or is adaptive capacity merely an indicator of development?","author":[{"dropping-particle":"","family":"Brooks","given":"Nick","non-dropping-particle":"","parse-names":false,"suffix":""}],"container-title":"Discussion note for the World INitiative on Sustainable Pastoralism","id":"ITEM-1","issue":"November","issued":{"date-parts":[["2006"]]},"page":"10","title":"Climate change , drought and pastoralism in the Sahel","type":"article-journal"},"uris":["http://www.mendeley.com/documents/?uuid=17b8eaee-7ee1-4624-b466-fd4dac88ce89"]},{"id":"ITEM-2","itemData":{"DOI":"10.1017/S1751731120001378","ISSN":"1751732X","PMID":"32618549","abstract":"For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-2","issue":"11","issued":{"date-parts":[["2020"]]},"page":"2378-2386","publisher":"Elsevier","title":"The role of cross-border transhumance in influencing resident herders’ cattle husbandry practices and use of genetic resources","type":"article-journal","volume":"14"},"uris":["http://www.mendeley.com/documents/?uuid=aeaac0bd-2ff0-4b89-a6ae-3e140cdd6193"]},{"id":"ITEM-3","itemData":{"DOI":"10.3389/fsufs.2020.543403","ISSN":"2571581X","abstract":"The industrialization of agriculture based on inexpensive fossil fuels allowed for unprecedented levels of food production and population growth, but simultaneously contributed to a threat to food systems and population well-being: climate change. This paper analyses the impacts and adaptations available to the world's pastoral production systems including potential mitigation and adaptation strategies. The current food system is under pressure to satisfy the needs of the increasing population with already limited natural resources particularly land and water, and now increasingly under pressure due to climate change. Increasing incomes from greater number of people have increased demand for animal source foods. As a result, domestic livestock numbers are rising, particularly in low-income countries with greater dependence on pasture for animal feed. The carrying capacity of pastured land is limited; therefore, increasing animal numbers may cause environmental degradation and loss of productivity from pastoral industries. In some countries, the increasing demand has prompted some to burn forestlands and convert them into crop production, and after the land is degraded into pasture mainly for raising large ruminants. Changes in atmospheric carbon dioxide levels and ambient temperatures are predicted to make a number of changes to the growth of herbage for animals. Several strategies can be implemented to optimize the pasture-based food system, including choosing the right breed, improving reproductive efficiency, improving grazing management, and maintaining an animal feed base. The global challenge is to meet our food production needs while sustaining our environment. Producers in all income categories have a role to play in adapting to these challenges.","author":[{"dropping-particle":"","family":"Uddin","given":"Md E.","non-dropping-particle":"","parse-names":false,"suffix":""},{"dropping-particle":"","family":"Kebreab","given":"Ermias","non-dropping-particle":"","parse-names":false,"suffix":""}],"container-title":"Frontiers in Sustainable Food Systems","id":"ITEM-3","issue":"October","issued":{"date-parts":[["2020"]]},"page":"1-13","title":"Review: Impact of Food and Climate Change on Pastoral Industries","type":"article-journal","volume":"4"},"uris":["http://www.mendeley.com/documents/?uuid=005ac4bb-e148-46f6-8250-aa571af324ab"]}],"mendeley":{"formattedCitation":"(Brooks, 2006; Houessou et al., 2020; Uddin &amp; Kebreab, 2020)","plainTextFormattedCitation":"(Brooks, 2006; Houessou et al., 2020; Uddin &amp; Kebreab, 2020)","previouslyFormattedCitation":"(Brooks, 2006; Houessou et al., 2020; Uddin &amp; Kebreab, 2020)"},"properties":{"noteIndex":0},"schema":"https://github.com/citation-style-language/schema/raw/master/csl-citation.json"}</w:instrText>
      </w:r>
      <w:r>
        <w:rPr>
          <w:rFonts w:cs="Times New Roman"/>
          <w:szCs w:val="24"/>
        </w:rPr>
        <w:fldChar w:fldCharType="separate"/>
      </w:r>
      <w:r>
        <w:rPr>
          <w:rFonts w:cs="Times New Roman"/>
          <w:noProof/>
          <w:szCs w:val="24"/>
        </w:rPr>
        <w:t>(Brooks, 2006; Houessou et al., 2020; Uddin &amp; Kebreab, 2020)</w:t>
      </w:r>
      <w:r>
        <w:rPr>
          <w:rFonts w:cs="Times New Roman"/>
          <w:szCs w:val="24"/>
        </w:rPr>
        <w:fldChar w:fldCharType="end"/>
      </w:r>
      <w:r>
        <w:rPr>
          <w:rFonts w:cs="Times New Roman"/>
          <w:szCs w:val="24"/>
        </w:rPr>
        <w:t>.</w:t>
      </w:r>
    </w:p>
    <w:p w:rsidR="00E53882" w:rsidRDefault="00E53882">
      <w:pPr>
        <w:spacing w:before="0" w:after="0" w:line="480" w:lineRule="auto"/>
        <w:rPr>
          <w:rFonts w:cs="Times New Roman"/>
          <w:szCs w:val="24"/>
        </w:rPr>
      </w:pPr>
    </w:p>
    <w:p w:rsidR="00E53882" w:rsidRDefault="00B16FF7">
      <w:pPr>
        <w:spacing w:before="0" w:after="0" w:line="480" w:lineRule="auto"/>
        <w:rPr>
          <w:rFonts w:cs="Times New Roman"/>
          <w:szCs w:val="24"/>
          <w:lang w:val="fr-FR"/>
        </w:rPr>
      </w:pPr>
      <w:r>
        <w:rPr>
          <w:rFonts w:cs="Times New Roman"/>
          <w:szCs w:val="24"/>
        </w:rPr>
        <w:t xml:space="preserve">Pastoralists employ various adaptation strategies to cope with climate change. These include mobility to waterlogged areas during the dry season, adjusting feeding schedules during hot seasons, and avoiding old ranches during the rainy season to prevent health issues in cattle. Grass harvesting, migration, livelihood diversification, and internal mobility to communities with early rainfall are additional strategies adopted to mitigate the impacts of climate change. This is consistent with the literature on climate change adaptation strategies </w:t>
      </w:r>
      <w:r>
        <w:rPr>
          <w:rFonts w:cs="Times New Roman"/>
          <w:szCs w:val="24"/>
        </w:rPr>
        <w:fldChar w:fldCharType="begin" w:fldLock="1"/>
      </w:r>
      <w:r>
        <w:rPr>
          <w:rFonts w:cs="Times New Roman"/>
          <w:szCs w:val="24"/>
        </w:rPr>
        <w:instrText>ADDIN CSL_CITATION {"citationItems":[{"id":"ITEM-1","itemData":{"DOI":"10.1016/j.gfs.2020.100488","ISSN":"22119124","abstract":"The potential impacts of climate change on current livestock systems worldwide is a major concern, and yet the topic is covered to a limited extent in global reports such as the ones produced by the Intergovernmental Panel on Climate Change. In this article, we review the risk of climate-related impacts along the land-based livestock food supply chain. Although a quantification of the net impacts of climate change on the livestock sector is beyond the reach of our current understanding, there is strong evidence that there will be impacts throughout the supply chain, from farm production to processing operations, storage, transport, retailing and human consumption. The risks of climate-related impacts are highly context-specific but expected to be higher in environments that are already hot and have limited socio-economic and institutional resources for adaptation. Large uncertainties remain as to climate futures and the exposure and responses of the interlinked human and natural systems to climatic changes over time. Consequently, adaptation choices will need to account for a wide range of possible futures, including those with low probability but large consequences.","author":[{"dropping-particle":"","family":"Godde","given":"C. M.","non-dropping-particle":"","parse-names":false,"suffix":""},{"dropping-particle":"","family":"Mason-D'Croz","given":"D.","non-dropping-particle":"","parse-names":false,"suffix":""},{"dropping-particle":"","family":"Mayberry","given":"D. E.","non-dropping-particle":"","parse-names":false,"suffix":""},{"dropping-particle":"","family":"Thornton","given":"P. K.","non-dropping-particle":"","parse-names":false,"suffix":""},{"dropping-particle":"","family":"Herrero","given":"M.","non-dropping-particle":"","parse-names":false,"suffix":""}],"container-title":"Global Food Security","id":"ITEM-1","issue":"October 2020","issued":{"date-parts":[["2021"]]},"page":"100488","publisher":"Elsevier B.V.","title":"Impacts of climate change on the livestock food supply chain; a review of the evidence","type":"article-journal","volume":"28"},"uris":["http://www.mendeley.com/documents/?uuid=8a20e546-ec08-42d0-88d6-f88e8a5297ff"]},{"id":"ITEM-2","itemData":{"DOI":"10.3389/fclim.2022.882343","ISSN":"26249553","abstract":"The purpose of this article is to explore how migration theory is invoked in empirical studies of climate-related migration, and to provide suggestions for engagement with theory in the emerging field of climate mobility. Theory is critical for understanding processes we observe in social-ecological systems because it points to a specific locus of attention for research, shapes research questions, guides quantitative model development, influences what researchers find, and ultimately informs policies and programs. Research into climate mobility has grown out of early studies on environmental migration, and has often developed in isolation from broader theoretical developments in the migration research community. As such, there is a risk that the work may be inadequately informed by the rich corpus of theory that has contributed to our understanding of who migrates; why they migrate; the types of mobility they employ; what sustains migration streams; and why they choose certain destinations over others. On the other hand, there are ways in which climate and broader environment migration research is enriching the conceptual frameworks being employed to understand migration, particularly forced migration. This paper draws on a review of 75 empirical studies and modeling efforts conducted by researchers from a diversity of disciplines, covering various regions, and using a variety of data sources and methods to assess how they used theory in their research. The goal is to suggest ways forward for engagement with migration theory in this large and growing research domain.","author":[{"dropping-particle":"","family":"Sherbinin","given":"Alex","non-dropping-particle":"de","parse-names":false,"suffix":""},{"dropping-particle":"","family":"Grace","given":"Kathryn","non-dropping-particle":"","parse-names":false,"suffix":""},{"dropping-particle":"","family":"McDermid","given":"Sonali","non-dropping-particle":"","parse-names":false,"suffix":""},{"dropping-particle":"","family":"Geest","given":"Kees","non-dropping-particle":"van der","parse-names":false,"suffix":""},{"dropping-particle":"","family":"Puma","given":"Michael J.","non-dropping-particle":"","parse-names":false,"suffix":""},{"dropping-particle":"","family":"Bell","given":"Andrew","non-dropping-particle":"","parse-names":false,"suffix":""}],"container-title":"Frontiers in Climate","id":"ITEM-2","issue":"May","issued":{"date-parts":[["2022"]]},"title":"Migration Theory in Climate Mobility Research","type":"article-journal","volume":"4"},"uris":["http://www.mendeley.com/documents/?uuid=82ec9389-696b-4bbf-8ed6-0b18f06568b6"]},{"id":"ITEM-3","itemData":{"DOI":"10.1080/17565529.2013.867248","ISSN":"17565537","abstract":"The impacts of rainfall variability are threatening food production systems, leading to losses of livelihood and food insecurity. The frequency and intensity of floods and drought are likely to be higher as a result of climate change. This case study presents an empirical account of the impacts of rainfall variability on agriculture, food security, livelihoods and human mobility in the Janjigir-Champa district of Chhattisgarh. The research tests the hypothesis that human migration is a major coping mechanism against climate variability. The findings confirm that a coordination mechanism exists between rainfall changes (i.e. erratic rainfall patterns in terms of delayed monsoons, seasonal shifts, drought and floods) and livelihood and food security of a number of farmers and farm labourers in the research site. Because there is only a single annual harvest of paddy rice (practiced as monoculture) in the research site, which is partly due to the non-availability of water for a second crop, marginal farmers and farm labourers are left with very few options in finding sufficient employment in and around their villages. Some people cope with the situation by seeking assistance from their relatives, friends and the government. However, seasonal and permanent migrations are the most opted-for coping strategies in the study area. © 2013 © 2013 The Author(s). Published by Taylor &amp; Francis.","author":[{"dropping-particle":"","family":"Murali","given":"Janakaraj","non-dropping-particle":"","parse-names":false,"suffix":""},{"dropping-particle":"","family":"Afifi","given":"Tamer","non-dropping-particle":"","parse-names":false,"suffix":""}],"container-title":"Climate and Development","id":"ITEM-3","issue":"1","issued":{"date-parts":[["2014"]]},"page":"28-37","publisher":"Taylor &amp; Francis","title":"Rainfall variability, food security and human mobility in the Janjgir-Champa district of Chhattisgarh state, India","type":"article-journal","volume":"6"},"uris":["http://www.mendeley.com/documents/?uuid=07bd1ba8-b324-44f2-9865-55ba3a2748d1"]},{"id":"ITEM-4","itemData":{"DOI":"10.1186/s13570-017-0093-1","ISSN":"20417136","abstract":"Pastoral societies in dryland Africa continue to face changes to their systems. These systems are influenced by a range of historical factors, but little use is made of this information to design policies that suit pastoralists’ landscapes. This article provides a synthesis of historical perspectives on pastoral land use and tenure transformations in Ngamiland, south of the Okavango Delta, Botswana. Little documentation of herders’ historical perspectives exists and less is known about how past experiences can be applied to sustainable pastoralism policies. In this article, current land use pressing issues are examined and analysed within the context of past experiences. We use a series of oral histories with key informants, focus group discussions, expert interviews and rangeland field observations. Results show that Nagamiland’s pastoral landscape has been shaped by a variety of factors: livestock diseases, human-wildlife conflicts, droughts, land tenure transformations associated with rangeland policies and the pastoral identity of the Ovaherero/Ovambanderu ethnic groups. Pastoralists have followed unique trajectories, specific to their rangeland conditions and socio-cultural context. Resilience to climate shocks and diseases has been weakened by inequitable patterns of control over rangeland resources. We recommend institutional diversity such that from experiences of the past, lessons can be drawn of processes and institutions required for pastoralism policies targeted pastoralists’ adaptations. Using pastoralists to provide information, especially in the area of indigenous knowledge, strategies can be developed to link conservation of wildlife and rangelands with pastoral production by developing ecologically sensitive low-volume tourism that pastoral communities can tap to diversify their livelihoods.","author":[{"dropping-particle":"","family":"Basupi","given":"Lenyeletse Vincent","non-dropping-particle":"","parse-names":false,"suffix":""},{"dropping-particle":"","family":"Quinn","given":"Claire Helen","non-dropping-particle":"","parse-names":false,"suffix":""},{"dropping-particle":"","family":"Dougill","given":"Andrew John","non-dropping-particle":"","parse-names":false,"suffix":""}],"container-title":"Pastoralism","id":"ITEM-4","issue":"1","issued":{"date-parts":[["2017"]]},"page":"1-14","publisher":"Pastoralism","title":"Historical perspectives on pastoralism and land tenure transformation in Ngamiland, Botswana: What are the policy and institutional lessons?","type":"article-journal","volume":"7"},"uris":["http://www.mendeley.com/documents/?uuid=01ca4ec2-18b5-431c-8d9e-7c5a56e42c3e"]},{"id":"ITEM-5","itemData":{"DOI":"10.1007/s43545-022-00383-y","ISBN":"0123456789","ISSN":"2662-9283","abstract":"There is limited attention on climate change (CC) and human migration among scholars and policymakers. Meanwhile, natural disasters are projected to induce migration in the coming years which will affect millions of people in sub-Saharan Africa (SSA). In this review, we contribute to climate migration literature by highlighting three important factors (i.e. floods, droughts, and sea-level rise) that predispose migrants in SSA to migrate. The review suggests that the environmental impact of CC in SSA cannot be overlooked. For example, the review discovered that the impact of flooding has intensified, and its impact on agriculture will affect rural–urban migration, forcing farmers to look for alternative job opportunities. Moreover, due to the lack of rainfall to support agricultural activities, the option of migrating away from agriculture and settling in urban areas becomes a possible coping strategy. Rising sea level will adversely affect many, due to a lack of adaptive capacity and emergency preparedness. This should concern policymakers because the major trend in migration, whether climate-related or not, is a movement from rural to urban areas which poses significant challenges to urban sustainability and climate resilience. Given the impact of fl</w:instrText>
      </w:r>
      <w:r>
        <w:rPr>
          <w:rFonts w:cs="Times New Roman"/>
          <w:szCs w:val="24"/>
          <w:lang w:val="fr-FR"/>
        </w:rPr>
        <w:instrText>oods, droughts, and sea-level rise in SSA, we propose the promotion of adaptive capacity through the encouragement of climate insurance programme which is limited in SSA, alternative livelihood opportunity programmes, and providing financial resources for climate adaptation initiatives.","author":[{"dropping-particle":"","family":"Ibrahim","given":"Bachar","non-dropping-particle":"","parse-names":false,"suffix":""},{"dropping-particle":"","family":"Mensah","given":"Henry","non-dropping-particle":"","parse-names":false,"suffix":""}],"container-title":"SN Social Sciences","id":"ITEM-5","issue":"6","issued":{"date-parts":[["2022"]]},"publisher":"Springer International Publishing","title":"Rethinking climate migration in sub-Saharan Africa from the perspective of tripartite drivers of climate change","type":"article-journal","volume":"2"},"uris":["http://www.mendeley.com/documents/?uuid=bc0da279-bc78-4a09-bfde-fc1d6fe9c9fb"]}],"mendeley":{"formattedCitation":"(Basupi et al., 2017; de Sherbinin et al., 2022; Godde et al., 2021; Ibrahim &amp; Mensah, 2022; Murali &amp; Afifi, 2014)","plainTextFormattedCitation":"(Basupi et al., 2017; de Sherbinin et al., 2022; Godde et al., 2021; Ibrahim &amp; Mensah, 2022; Murali &amp; Afifi, 2014)","previouslyFormattedCitation":"(Basupi et al., 2017; de Sherbinin et al., 2022; Godde et al., 2021; Ibrahim &amp; Mensah, 2022; Murali &amp; Afifi, 2014)"},"properties":{"noteIndex":0},"schema":"https://github.com/citation-style-language/schema/raw/master/csl-citation.json"}</w:instrText>
      </w:r>
      <w:r>
        <w:rPr>
          <w:rFonts w:cs="Times New Roman"/>
          <w:szCs w:val="24"/>
        </w:rPr>
        <w:fldChar w:fldCharType="separate"/>
      </w:r>
      <w:r>
        <w:rPr>
          <w:rFonts w:cs="Times New Roman"/>
          <w:noProof/>
          <w:szCs w:val="24"/>
          <w:lang w:val="fr-FR"/>
        </w:rPr>
        <w:t xml:space="preserve">(Basupi et al., </w:t>
      </w:r>
      <w:r>
        <w:rPr>
          <w:rFonts w:cs="Times New Roman"/>
          <w:noProof/>
          <w:szCs w:val="24"/>
          <w:lang w:val="fr-FR"/>
        </w:rPr>
        <w:lastRenderedPageBreak/>
        <w:t>2017; de Sherbinin et al., 2022; Godde et al., 2021; Ibrahim &amp; Mensah, 2022; Murali &amp; Afifi, 2014)</w:t>
      </w:r>
      <w:r>
        <w:rPr>
          <w:rFonts w:cs="Times New Roman"/>
          <w:szCs w:val="24"/>
        </w:rPr>
        <w:fldChar w:fldCharType="end"/>
      </w:r>
      <w:r>
        <w:rPr>
          <w:rFonts w:cs="Times New Roman"/>
          <w:szCs w:val="24"/>
          <w:lang w:val="fr-FR"/>
        </w:rPr>
        <w:t>.</w:t>
      </w:r>
    </w:p>
    <w:p w:rsidR="00E53882" w:rsidRDefault="00E53882">
      <w:pPr>
        <w:spacing w:before="0" w:after="0" w:line="480" w:lineRule="auto"/>
        <w:rPr>
          <w:rFonts w:cs="Times New Roman"/>
          <w:szCs w:val="24"/>
          <w:lang w:val="fr-FR"/>
        </w:rPr>
      </w:pPr>
    </w:p>
    <w:p w:rsidR="00E53882" w:rsidRDefault="00B16FF7">
      <w:pPr>
        <w:spacing w:before="0" w:after="0" w:line="480" w:lineRule="auto"/>
        <w:rPr>
          <w:rFonts w:cs="Times New Roman"/>
          <w:b/>
          <w:vanish/>
          <w:szCs w:val="24"/>
        </w:rPr>
      </w:pPr>
      <w:r>
        <w:rPr>
          <w:rFonts w:cs="Times New Roman"/>
          <w:b/>
          <w:szCs w:val="24"/>
        </w:rPr>
        <w:t>Relationship between Climate Change and Pastoralist Mobility</w:t>
      </w:r>
      <w:r>
        <w:rPr>
          <w:rFonts w:cs="Times New Roman"/>
          <w:b/>
          <w:vanish/>
          <w:szCs w:val="24"/>
        </w:rPr>
        <w:t>Top of Form</w:t>
      </w:r>
    </w:p>
    <w:p w:rsidR="00E53882" w:rsidRDefault="00E53882">
      <w:pPr>
        <w:spacing w:before="0" w:after="0" w:line="480" w:lineRule="auto"/>
        <w:rPr>
          <w:rFonts w:cs="Times New Roman"/>
          <w:b/>
          <w:szCs w:val="24"/>
        </w:rPr>
      </w:pPr>
    </w:p>
    <w:p w:rsidR="00E53882" w:rsidRDefault="00B16FF7">
      <w:pPr>
        <w:spacing w:line="480" w:lineRule="auto"/>
        <w:rPr>
          <w:rFonts w:cs="Times New Roman"/>
          <w:szCs w:val="24"/>
        </w:rPr>
      </w:pPr>
      <w:r>
        <w:rPr>
          <w:rFonts w:cs="Times New Roman"/>
          <w:szCs w:val="24"/>
        </w:rPr>
        <w:t xml:space="preserve">This research has provided valuable insights into the patterns of pastoralists' mobility in the study area. The study identified three main forms of mobility: </w:t>
      </w:r>
      <w:proofErr w:type="spellStart"/>
      <w:r>
        <w:rPr>
          <w:rFonts w:cs="Times New Roman"/>
          <w:szCs w:val="24"/>
        </w:rPr>
        <w:t>Nigi-Daabihi</w:t>
      </w:r>
      <w:proofErr w:type="spellEnd"/>
      <w:r>
        <w:rPr>
          <w:rFonts w:cs="Times New Roman"/>
          <w:szCs w:val="24"/>
        </w:rPr>
        <w:t>, Dang-</w:t>
      </w:r>
      <w:proofErr w:type="spellStart"/>
      <w:r>
        <w:rPr>
          <w:rFonts w:cs="Times New Roman"/>
          <w:szCs w:val="24"/>
        </w:rPr>
        <w:t>Kaabu</w:t>
      </w:r>
      <w:proofErr w:type="spellEnd"/>
      <w:r>
        <w:rPr>
          <w:rFonts w:cs="Times New Roman"/>
          <w:szCs w:val="24"/>
        </w:rPr>
        <w:t xml:space="preserve">, and </w:t>
      </w:r>
      <w:proofErr w:type="spellStart"/>
      <w:r>
        <w:rPr>
          <w:rFonts w:cs="Times New Roman"/>
          <w:szCs w:val="24"/>
        </w:rPr>
        <w:t>Modoo</w:t>
      </w:r>
      <w:proofErr w:type="spellEnd"/>
      <w:r>
        <w:rPr>
          <w:rFonts w:cs="Times New Roman"/>
          <w:szCs w:val="24"/>
        </w:rPr>
        <w:t xml:space="preserve">/Nzo </w:t>
      </w:r>
      <w:proofErr w:type="spellStart"/>
      <w:r>
        <w:rPr>
          <w:rFonts w:cs="Times New Roman"/>
          <w:szCs w:val="24"/>
        </w:rPr>
        <w:t>Kokpagu</w:t>
      </w:r>
      <w:proofErr w:type="spellEnd"/>
      <w:r>
        <w:rPr>
          <w:rFonts w:cs="Times New Roman"/>
          <w:szCs w:val="24"/>
        </w:rPr>
        <w:t xml:space="preserve">. Each of these forms serves different purposes and has varying durations of stay, reflecting the adaptive nature of pastoralist. This is consistent with the literature on theories of mobility </w:t>
      </w:r>
      <w:r>
        <w:rPr>
          <w:rFonts w:cs="Times New Roman"/>
          <w:szCs w:val="24"/>
        </w:rPr>
        <w:fldChar w:fldCharType="begin" w:fldLock="1"/>
      </w:r>
      <w:r w:rsidR="00900D2E">
        <w:rPr>
          <w:rFonts w:cs="Times New Roman"/>
          <w:szCs w:val="24"/>
        </w:rPr>
        <w:instrText>ADDIN CSL_CITATION {"citationItems":[{"id":"ITEM-1","itemData":{"DOI":"10.1007/978-0-230-36639-8_2","ISBN":"978-0-230-35577-4","author":[{"dropping-particle":"","family":"Castles","given":"Stephen","non-dropping-particle":"","parse-names":false,"suffix":""},{"dropping-particle":"","family":"Haas","given":"Hein","non-dropping-particle":"de","parse-names":false,"suffix":""},{"dropping-particle":"","family":"Miller","given":"Mark","non-dropping-particle":"","parse-names":false,"suffix":""}],"id":"ITEM-1","issued":{"date-parts":[["2014","1","1"]]},"page":"25-54","title":"Theories of Migration","type":"chapter"},"uris":["http://www.mendeley.com/documents/?uuid=7e31c964-1627-41e8-b634-ff2f3325d12a"]},{"id":"ITEM-2","itemData":{"author":[{"dropping-particle":"","family":"Castles","given":"Stephen","non-dropping-particle":"","parse-names":false,"suffix":""}],"container-title":"New Issues in Refugee Research","id":"ITEM-2","issued":{"date-parts":[["2002","1","1"]]},"title":"Environmental Change and Forced Migration: Making Sense of the Debate","type":"article-journal"},"uris":["http://www.mendeley.com/documents/?uuid=cec06087-7b07-4332-ac85-d9a45b1b3c3a"]},{"id":"ITEM-3","itemData":{"DOI":"10.1007/978-1-349-26846-7_8","abstract":"Castles in 2013, and should be read in conjunction with Chapters, 11, 12 and 13 of the Fifth edition of The Age of Migration, which present broader dimensions of the process of immigrant settlement and incorporation into receiving societies. This text presents comparative case studies of the migratory process in two countries with very different traditions and institutional frameworks. Despite these differences, there are significant parallels in the development of migration and ethnic diversity, as will become apparent. This leads to the conjecture that the dynamics of the migratory process (as discussed theoretically in Chapters 2 and 3) can be powerful enough to override political structures, government policies and the intentions of the migrants. It does not mean, however, that these factors are unimportant: although settlement and ethnic group formation have taken place in both cases, they have done so under very different conditions. There have also been differing outcomes, which can be characterized as the formation of ethnic communities in the Australian case, as against ethnic minorities in Germany. The examples gain additional interest through the major changes in attitudes and policies towards migration in both countries since the mid-1990s. Australia and Germany: two opposing cases? Australia and the Federal Republic of Germany (FRG) have both experienced mass population movements since 1945. In both cases, foreign immigration started through the official recruitment of migrant workers. Early on, the areas of origin of migrants were partly the same. However, there the similarities seem to end, and the two countries are often seen as opposite poles on the migration spectrum. Australia is considered one of the classical countries of immigration: a new nation, which has been built through colonization and immigration over the last two centuries. Like the USA and Canada, it is a sparsely populated country, which has","author":[{"dropping-particle":"","family":"Castles","given":"Stephen","non-dropping-particle":"","parse-names":false,"suffix":""},{"dropping-particle":"","family":"Miller","given":"Mark J.","non-dropping-particle":"","parse-names":false,"suffix":""}],"container-title":"The Age of Migration","id":"ITEM-3","issued":{"date-parts":[["1998"]]},"page":"185-211","title":"The Migratory Process: A Comparison of Australia and Germany","type":"article-journal"},"uris":["http://www.mendeley.com/documents/?uuid=e4a44b23-200e-40e1-b941-44d054b05c21"]},{"id":"ITEM-4","itemData":{"author":[{"dropping-particle":"","family":"Tymore","given":"Maganga","non-dropping-particle":"","parse-names":false,"suffix":""}],"id":"ITEM-4","issued":{"date-parts":[["2020"]]},"title":"Climate Change &amp; Human Mobility ; The interconnectedness of colonial , contemporary development policies , and climate change in shaping human mobility in Zimbabwe ’ s small - scale rural farming areas By Trymore Maganga","type":"thesis"},"uris":["http://www.mendeley.com/documents/?uuid=19f7e569-3bf6-43d7-a26f-742026d16e0a"]},{"id":"ITEM-5","itemData":{"DOI":"10.1080/00045608.2012.696233","ISSN":"0004-5608","author":[{"dropping-particle":"","family":"Etienne","given":"Piguet","non-dropping-particle":"","parse-names":false,"suffix":""}],"container-title":"Annals of the Association of American Geographers","id":"ITEM-5","issue":"1","issued":{"date-parts":[["2013","1","1"]]},"note":"doi: 10.1080/00045608.2012.696233","page":"148-162","publisher":"Routledge","title":"From “Primitive Migration” to “Climate Refugees”: The Curious Fate of the Natural Environment in Migration Studies","type":"article-journal","volume":"103"},"uris":["http://www.mendeley.com/documents/?uuid=75249557-bd08-4e05-8c50-19c3b42eff51"]},{"id":"ITEM-6","itemData":{"DOI":"10.1051/futur:200834131","ISSN":"0337307X","abstract":"As part of the special dossier in this issue on the geopolitical consequences of climate change, we publish here an article on migration linked to climatic phenomena. Drawing on the leading international studies in the field, Étienne Piguet shows the extent to which climate change could give rise to population movements. Reminding us that this is a theme that has received relatively little attention, he begins by defining the concept closely and underlining the importance of terminology in this field. For example, these migrations will be spoken of as \"environmentally induced population movements\" rather than as movements of \"environmental refugees\" - to avoid, among other things, falling foul of the legal regime on refugees as currently defined by the United Nations. He goes on to show what the migratory consequences of global warming might be, as exemplified in three major types of climatic event: storms and floods, droughts and water shortages and, lastly, rises in sea level. As he stresses, this latter phenomenon is probably the only one that would give rise to irreversible migrations (in the other cases, the migrants would generally end up returning to their regions of origin), but it is likely to affect at least 146 million people, if not indeed four times that figure, depending on the time horizon considered. As Piguet reminds us in his concluding remarks, since it is for the moment mainly the industrialized countries that are responsible for the carbon dioxide emissions which are bringing about climate change, it will be difficult for them to wash their hands of responsibility for these potential climate refugees. It is important, then, to gauge the extent of the problem and develop the resources - particularly the preventive resources - to meet it (e.g. combatting global warming, investing in suitable infrastructure, such as protective sea-walls etc.).","author":[{"dropping-particle":"","family":"Piguet","given":"Étienne","non-dropping-particle":"","parse-names":false,"suffix":""}],"container-title":"Futuribles: Analyse et Prospective","id":"ITEM-6","issue":"341","issued":{"date-parts":[["2008"]]},"title":"Migration and climate change","type":"article-journal"},"uris":["http://www.mendeley.com/documents/?uuid=611e569d-f829-4466-ad17-93f07abf16b4"]},{"id":"ITEM-7","itemData":{"DOI":"10.1093/oso/9780195078701.003.0013","ISBN":"9780195078701","abstract":"The climate work of the unrestrained and undisciplined geographic determinist, eugenicist, and popular writer Ellsworth Huntington (1876–1947) can be categorized into three large themes: the influence of weather and weather changes on workers and students, the influence of climate on world civilizations, and the influence of solar variations on climate change. The first represented a sort of meteorological Taylorism, the second a reprise of enlightenment determinism, and the third a simplistic and wholly unrealistic pseudoscientific theory. Why, then, should we bother with him? One answer was provided by the historian Arnold Toynbee, who was “enormously influenced” by Huntington’s ideas about the relation between human beings and their physical environments. It was Toynbee’s opinion that “[s]tudents of human affairs may agree or disagree with Huntington, but in either case they will be influenced by him, so it is better that they should be aware of him.” Although Huntington’s thought was indeed influential in its time, since then his racial bias and crude determinisms have been largely rejected. Nonetheless, his categorical errors seem destined to be repeated by those who make overly dramatic claims for weather and climatic influences. Ellsworth Huntington was born in Galesburg, Illinois, on September 16, 1876, the third child and eldest son of Henry Strong Huntington, a Congregationalist minister, and Mary Lawrence Herbert. The Huntingtons were proud of their Puritan ancestry, which they traced to 1633. Following the call of the ministry, the family moved to Gorham, Maine, in 1877 and then in 1889 to Milton, Massachusetts, a wealthy suburb of Boston. Ellsworth attended the public high school, where he excelled in athletics and academics. His biographers have called him reclusive, but his brother suggested that perhaps he was humble rather than shy. Huntington passed the Harvard entrance examinations, but family finances precluded his enrollment there. Instead, he attended Beloit College, where he boarded with a maternal aunt, from 1893 to 1897. Following in the footsteps of T. C. Chamberlin (Beloit 1866), Huntington studied both classics and geology, publishing his first article, on local road-making materials, in the Transactions of the Wisconsin Academy of Sciences.","author":[{"dropping-particle":"","family":"Fleming","given":"James R","non-dropping-particle":"","parse-names":false,"suffix":""}],"container-title":"Historical Perspectives on Climate Change","editor":[{"dropping-particle":"","family":"Fleming","given":"James Rodger","non-dropping-particle":"","parse-names":false,"suffix":""}],"id":"ITEM-7","issued":{"date-parts":[["1998","10","15"]]},"page":"0","publisher":"Oxford University Press","title":"The Climatic Determinism of Ellsworth Huntington","type":"article"},"uris":["http://www.mendeley.com/documents/?uuid=756a356d-7018-4625-a0ad-b08f281a3421"]},{"id":"ITEM-8","itemData":{"DOI":"10.1146/annurev.so.02.080176.002051","author":[{"dropping-particle":"","family":"Ritchey","given":"Phillip","non-dropping-particle":"","parse-names":false,"suffix":""}],"container-title":"Annual Review of Sociology","id":"ITEM-8","issued":{"date-parts":[["2003","11","28"]]},"page":"363-404","title":"Explanation of Migration","type":"article-journal","volume":"2"},"uris":["http://www.mendeley.com/documents/?uuid=d53f9497-c82d-45fa-acfc-e41201ce13a0"]},{"id":"ITEM-9","itemData":{"ISBN":"9280711032","author":[{"dropping-particle":"","family":"UNEP","given":"","non-dropping-particle":"","parse-names":false,"suffix":""}],"container-title":"</w:instrText>
      </w:r>
      <w:r w:rsidR="00900D2E">
        <w:rPr>
          <w:rFonts w:ascii="Leelawadee UI" w:hAnsi="Leelawadee UI" w:cs="Leelawadee UI"/>
          <w:szCs w:val="24"/>
        </w:rPr>
        <w:instrText>วารสารวิชาการมหาวิทยาลัยอีสเทิร์นเอเชีย</w:instrText>
      </w:r>
      <w:r w:rsidR="00900D2E">
        <w:rPr>
          <w:rFonts w:cs="Times New Roman"/>
          <w:szCs w:val="24"/>
        </w:rPr>
        <w:instrText>","id":"ITEM-9","issue":"1","issued":{"date-parts":[["1985"]]},"number-of-pages":"88-100","publisher":"Bibliography: p. 41.","publisher-place":"Nairobi : UNEP, 1985.","title":"Environmental Refugees","type":"book","volume":"4"},"uris":["http://www.mendeley.com/documents/?uuid=04c7ab4f-4e0b-426b-8641-35bded764452"]},{"id":"ITEM-10","itemData":{"author":[{"dropping-particle":"","family":"Draper","given":"Jamie","non-dropping-particle":"","parse-names":false,"suffix":""}],"id":"ITEM-10","issue":"December","issued":{"date-parts":[["2019"]]},"title":"Justice in Climate-Induced Migration and Displacement","type":"article-journal"},"uris":["http://www.mendeley.com/documents/?uuid=8dbb1bd5-461f-42f5-9e77-03f76053bd17"]},{"id":"ITEM-11","itemData":{"author":[{"dropping-particle":"","family":"Black","given":"Richard","non-dropping-particle":"","parse-names":false,"suffix":""}],"container-title":"New Issues in Refugee Research","id":"ITEM-11","issued":{"date-parts":[["2001","1","1"]]},"title":"Environmental refugees : myth or reality ?","type":"book"},"uris":["http://www.mendeley.com/documents/?uuid=5fb51ea7-49ca-4cf9-88cf-356db8c39db7"]},{"id":"ITEM-12","itemData":{"DOI":"10.4324/9780203092170-32","ISBN":"9781136202001","ISSN":"0740-2775","author":[{"dropping-particle":"","family":"Kaplan","given":"Robert D.","non-dropping-particle":"","parse-names":false,"suffix":""}],"container-title":"Geopolitics: An Introductory Reader","id":"ITEM-12","issue":"February 1994","issued":{"date-parts":[["2014"]]},"page":"195-202","title":"The coming anarchy","type":"article-journal"},"uris":["http://www.mendeley.com/documents/?uuid=6d887c36-90f4-4c9e-aaa3-f035c0c446ad"]},{"id":"ITEM-13","itemData":{"DOI":"10.2307/2938462","ISSN":"00987921","abstract":"This article surveys contemporary theories of international migration in order to illuminate their leading propositions, assumptions, and hypotheses. It hopes to pave the way for a systematic empirical evaluation of their guiding tenets. The authors divide the theories conceptually into those advanced to explain the initiation of international migration and those put forth to account for the persistence of migration across space and time. Because they are specified at such different levels of analysis, the theories are not inherently logically inconsistent. The task of selecting between theories and propositions thus becomes an empirical exercise, one that must occur before a truly integrated theoretical framework can be fully realized. -Authors","author":[{"dropping-particle":"","family":"Massey","given":"D. S.","non-dropping-particle":"","parse-names":false,"suffix":""},{"dropping-particle":"","family":"Arango","given":"J.","non-dropping-particle":"","parse-names":false,"suffix":""},{"dropping-particle":"","family":"Hugo","given":"G.","non-dropping-particle":"","parse-names":false,"suffix":""},{"dropping-particle":"","family":"Kouaouci","given":"A.","non-dropping-particle":"","parse-names":false,"suffix":""},{"dropping-particle":"","family":"Pellegrino","given":"A.","non-dropping-particle":"","parse-names":false,"suffix":""},{"dropping-particle":"","family":"Taylor","given":"J. E.","non-dropping-particle":"","parse-names":false,"suffix":""}],"container-title":"Population &amp; Development Review","id":"ITEM-13","issue":"3","issued":{"date-parts":[["1993"]]},"page":"431-466","title":"Theories of international migration: a review and appraisal","type":"article-journal","volume":"19"},"uris":["http://www.mendeley.com/documents/?uuid=25d163d5-7161-40bf-9c35-847447a368ad"]}],"mendeley":{"formattedCitation":"(Black, 2001; Castles, 2002; Castles et al., 2014; Castles &amp; Miller, 1998; Draper, 2019; Etienne, 2013; Fleming, 1998; Kaplan, 2014; Massey et al., 1993; Piguet, 2008; Ritchey, 2003; Tymore, 2020; UNEP, 1985)","plainTextFormattedCitation":"(Black, 2001; Castles, 2002; Castles et al., 2014; Castles &amp; Miller, 1998; Draper, 2019; Etienne, 2013; Fleming, 1998; Kaplan, 2014; Massey et al., 1993; Piguet, 2008; Ritchey, 2003; Tymore, 2020; UNEP, 1985)","previouslyFormattedCitation":"(Black, 2001; Castles, 2002; Castles et al., 2014; Castles &amp; Miller, 1998; Draper, 2019; Etienne, 2013; Fleming, 1998; Kaplan, 2014; Massey et al., 1993; Piguet, 2008; Ritchey, 2003; Tymore, 2020; UNEP, 1985)"},"properties":{"noteIndex":0},"schema":"https://github.com/citation-style-language/schema/raw/master/csl-citation.json"}</w:instrText>
      </w:r>
      <w:r>
        <w:rPr>
          <w:rFonts w:cs="Times New Roman"/>
          <w:szCs w:val="24"/>
        </w:rPr>
        <w:fldChar w:fldCharType="separate"/>
      </w:r>
      <w:r>
        <w:rPr>
          <w:rFonts w:cs="Times New Roman"/>
          <w:noProof/>
          <w:szCs w:val="24"/>
        </w:rPr>
        <w:t>(Black, 2001; Castles, 2002; Castles et al., 2014; Castles &amp; Miller, 1998; Draper, 2019; Etienne, 2013; Fleming, 1998; Kaplan, 2014; Massey et al., 1993; Piguet, 2008; Ritchey, 2003; Tymore, 2020; UNEP, 1985)</w:t>
      </w:r>
      <w:r>
        <w:rPr>
          <w:rFonts w:cs="Times New Roman"/>
          <w:szCs w:val="24"/>
        </w:rPr>
        <w:fldChar w:fldCharType="end"/>
      </w:r>
      <w:r>
        <w:rPr>
          <w:rFonts w:cs="Times New Roman"/>
          <w:szCs w:val="24"/>
        </w:rPr>
        <w:t xml:space="preserve">. The research also explored the annual mobility calendar for pastoralists in the study area, emphasizing the seasonality of mobility and the places they move to in different periods of the year. This calendar helps pastoralists optimize their access to food and water for their animals. This is consistent with literature on migration </w:t>
      </w:r>
      <w:r>
        <w:rPr>
          <w:rFonts w:cs="Times New Roman"/>
          <w:szCs w:val="24"/>
        </w:rPr>
        <w:fldChar w:fldCharType="begin" w:fldLock="1"/>
      </w:r>
      <w:r>
        <w:rPr>
          <w:rFonts w:cs="Times New Roman"/>
          <w:szCs w:val="24"/>
        </w:rPr>
        <w:instrText>ADDIN CSL_CITATION {"citationItems":[{"id":"ITEM-1","itemData":{"DOI":"10.4000/vertigo.20698","author":[{"dropping-particle":"","family":"Ouoba-Ima","given":"Sidonie","non-dropping-particle":"","parse-names":false,"suffix":""}],"container-title":"VertigO","id":"ITEM-1","issue":"Volume 18 numéro 2","issued":{"date-parts":[["2018"]]},"title":"Caractéristiques socio-démographiques et dynamique de la transhumance des bouviers peuls de la Nouhao au Burkina Faso","type":"article-journal"},"uris":["http://www.mendeley.com/documents/?uuid=8dfdb95a-cb1f-43e7-80bd-0eba76a5fc0b"]}],"mendeley":{"formattedCitation":"(Ouoba-Ima, 2018)","plainTextFormattedCitation":"(Ouoba-Ima, 2018)","previouslyFormattedCitation":"(Ouoba-Ima, 2018)"},"properties":{"noteIndex":0},"schema":"https://github.com/citation-style-language/schema/raw/master/csl-citation.json"}</w:instrText>
      </w:r>
      <w:r>
        <w:rPr>
          <w:rFonts w:cs="Times New Roman"/>
          <w:szCs w:val="24"/>
        </w:rPr>
        <w:fldChar w:fldCharType="separate"/>
      </w:r>
      <w:r>
        <w:rPr>
          <w:rFonts w:cs="Times New Roman"/>
          <w:noProof/>
          <w:szCs w:val="24"/>
        </w:rPr>
        <w:t>(Ouoba-Ima, 2018)</w:t>
      </w:r>
      <w:r>
        <w:rPr>
          <w:rFonts w:cs="Times New Roman"/>
          <w:szCs w:val="24"/>
        </w:rPr>
        <w:fldChar w:fldCharType="end"/>
      </w:r>
      <w:r>
        <w:rPr>
          <w:rFonts w:cs="Times New Roman"/>
          <w:szCs w:val="24"/>
        </w:rPr>
        <w:t xml:space="preserve">. Majority of pastoralists note an increase in both cross-border and internal mobility. Pastoralist highlights significant changes in pastoralism, including increased distance of mobility, longer duration, and increased number of animals. Changes in land use, conflicts, and customs procedures at borders contribute to altered mobility patterns. This is consistent with the literature on climate change and pastoralists mobility </w:t>
      </w:r>
      <w:r>
        <w:rPr>
          <w:rFonts w:cs="Times New Roman"/>
          <w:szCs w:val="24"/>
        </w:rPr>
        <w:fldChar w:fldCharType="begin" w:fldLock="1"/>
      </w:r>
      <w:r w:rsidR="007215E1">
        <w:rPr>
          <w:rFonts w:cs="Times New Roman"/>
          <w:szCs w:val="24"/>
        </w:rPr>
        <w:instrText>ADDIN CSL_CITATION {"citationItems":[{"id":"ITEM-1","itemData":{"DOI":"10.1017/S1751731120001378","ISSN":"1751732X","PMID":"32618549","abstract":"For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-1","issue":"11","issued":{"date-parts":[["2020"]]},"page":"2378-2386","publisher":"Elsevier","title":"The role of cross-border transhumance in influencing resident herders’ cattle husbandry practices and use of genetic resources","type":"article-journal","volume":"14"},"uris":["http://www.mendeley.com/documents/?uuid=aeaac0bd-2ff0-4b89-a6ae-3e140cdd6193"]},{"id":"ITEM-2","itemData":{"author":[{"dropping-particle":"","family":"Herbert","given":"Siân","non-dropping-particle":"","parse-names":false,"suffix":""},{"dropping-particle":"","family":"Birch","given":"Izzy","non-dropping-particle":"","parse-names":false,"suffix":""}],"id":"ITEM-2","issue":"January","issued":{"date-parts":[["2022"]]},"page":"1-33","title":"Cross-border pastoral mobility and cross-border conflict in Africa – patterns and policy responses. XCEPT Evidence Synthesis. Birmingham, UK: GSDRC, University of Birmingham.","type":"article-journal"},"uris":["http://www.mendeley.com/documents/?uuid=1a598de7-0b9a-40ad-ad96-afe5a753c43a"]},{"id":"ITEM-3","itemData":{"author":[{"dropping-particle":"","family":"FAO","given":"","non-dropping-particle":"","parse-names":false,"suffix":""}],"id":"ITEM-3","issued":{"date-parts":[["2019"]]},"title":"Cross-border coordination of livestock movements and sharing of natural resources among pastoralist communities in the Greater Karamoja Cluster","type":"article"},"uris":["http://www.mendeley.com/documents/?uuid=2033c7ea-7964-400f-8c8e-b6ac53d2822f"]}],"mendeley":{"formattedCitation":"(FAO, 2019; Herbert &amp; Birch, 2022; Houessou et al., 2020)","plainTextFormattedCitation":"(FAO, 2019; Herbert &amp; Birch, 2022; Houessou et al., 2020)","previouslyFormattedCitation":"(FAO, 2019; Herbert &amp; Birch, 2022; Houessou et al., 2020)"},"properties":{"noteIndex":0},"schema":"https://github.com/citation-style-language/schema/raw/master/csl-citation.json"}</w:instrText>
      </w:r>
      <w:r>
        <w:rPr>
          <w:rFonts w:cs="Times New Roman"/>
          <w:szCs w:val="24"/>
        </w:rPr>
        <w:fldChar w:fldCharType="separate"/>
      </w:r>
      <w:r w:rsidR="001B129C" w:rsidRPr="001B129C">
        <w:rPr>
          <w:rFonts w:cs="Times New Roman"/>
          <w:noProof/>
          <w:szCs w:val="24"/>
        </w:rPr>
        <w:t>(FAO, 2019; Herbert &amp; Birch, 2022; Houessou et al., 2020)</w:t>
      </w:r>
      <w:r>
        <w:rPr>
          <w:rFonts w:cs="Times New Roman"/>
          <w:szCs w:val="24"/>
        </w:rPr>
        <w:fldChar w:fldCharType="end"/>
      </w:r>
      <w:r>
        <w:rPr>
          <w:rFonts w:cs="Times New Roman"/>
          <w:b/>
          <w:bCs/>
          <w:szCs w:val="24"/>
        </w:rPr>
        <w:t xml:space="preserve">. </w:t>
      </w:r>
      <w:r>
        <w:rPr>
          <w:rFonts w:cs="Times New Roman"/>
          <w:bCs/>
          <w:szCs w:val="24"/>
        </w:rPr>
        <w:t>The findings also revealed that</w:t>
      </w:r>
      <w:r>
        <w:rPr>
          <w:rFonts w:cs="Times New Roman"/>
          <w:b/>
          <w:bCs/>
          <w:szCs w:val="24"/>
        </w:rPr>
        <w:t xml:space="preserve"> </w:t>
      </w:r>
      <w:r>
        <w:rPr>
          <w:rFonts w:cs="Times New Roman"/>
          <w:szCs w:val="24"/>
        </w:rPr>
        <w:t>Cross-border mobility into the study area is influenced by increased livestock numbers and the need for more space.</w:t>
      </w:r>
      <w:r>
        <w:rPr>
          <w:rFonts w:cs="Times New Roman"/>
          <w:b/>
          <w:bCs/>
          <w:szCs w:val="24"/>
        </w:rPr>
        <w:t xml:space="preserve"> </w:t>
      </w:r>
      <w:r>
        <w:rPr>
          <w:rFonts w:cs="Times New Roman"/>
          <w:szCs w:val="24"/>
        </w:rPr>
        <w:t xml:space="preserve">Mobility contributes to the health of animals, prevents disease transmission, and mitigates climate-related risks. Inadequate grazing land, hardship, </w:t>
      </w:r>
      <w:r>
        <w:rPr>
          <w:rFonts w:cs="Times New Roman"/>
          <w:szCs w:val="24"/>
        </w:rPr>
        <w:lastRenderedPageBreak/>
        <w:t>and difficulty accessing grass during the dry season are key factors.</w:t>
      </w:r>
      <w:r>
        <w:rPr>
          <w:rFonts w:cs="Times New Roman"/>
          <w:b/>
          <w:bCs/>
          <w:szCs w:val="24"/>
        </w:rPr>
        <w:t xml:space="preserve"> </w:t>
      </w:r>
      <w:r>
        <w:rPr>
          <w:rFonts w:cs="Times New Roman"/>
          <w:szCs w:val="24"/>
        </w:rPr>
        <w:t>Rainfall limitations affect water availability, motivating movements to areas with better water sources.</w:t>
      </w:r>
      <w:r>
        <w:rPr>
          <w:rFonts w:cs="Times New Roman"/>
          <w:b/>
          <w:bCs/>
          <w:szCs w:val="24"/>
        </w:rPr>
        <w:t xml:space="preserve"> </w:t>
      </w:r>
      <w:r>
        <w:rPr>
          <w:rFonts w:cs="Times New Roman"/>
          <w:szCs w:val="24"/>
        </w:rPr>
        <w:t>Mobility serves cultural and educational purposes for children and signifies maturity.</w:t>
      </w:r>
      <w:r>
        <w:rPr>
          <w:rFonts w:cs="Times New Roman"/>
          <w:b/>
          <w:bCs/>
          <w:szCs w:val="24"/>
        </w:rPr>
        <w:t xml:space="preserve"> </w:t>
      </w:r>
      <w:r>
        <w:rPr>
          <w:rFonts w:cs="Times New Roman"/>
          <w:szCs w:val="24"/>
        </w:rPr>
        <w:t xml:space="preserve">Pride in being a cattle owner adds to the motivation for mobility. This is consistent with </w:t>
      </w:r>
      <w:r>
        <w:rPr>
          <w:rFonts w:cs="Times New Roman"/>
          <w:bCs/>
          <w:szCs w:val="24"/>
        </w:rPr>
        <w:t>the literature on climate change and pastoralist mobility</w:t>
      </w:r>
      <w:r>
        <w:rPr>
          <w:rFonts w:cs="Times New Roman"/>
          <w:szCs w:val="24"/>
        </w:rPr>
        <w:t xml:space="preserve"> </w:t>
      </w:r>
      <w:r>
        <w:rPr>
          <w:rFonts w:cs="Times New Roman"/>
          <w:szCs w:val="24"/>
        </w:rPr>
        <w:fldChar w:fldCharType="begin" w:fldLock="1"/>
      </w:r>
      <w:r w:rsidR="00900D2E">
        <w:rPr>
          <w:rFonts w:cs="Times New Roman"/>
          <w:szCs w:val="24"/>
        </w:rPr>
        <w:instrText>ADDIN CSL_CITATION {"citationItems":[{"id":"ITEM-1","itemData":{"DOI":"10.1007/978-3-642-28626-1_15","ISBN":"9783642286261","abstract":"Climate change will fundamentally affect the lives of millions of people who will be forced over the next decades to leave their villages and cities to seek refuge in other areas. Although the exact numbers of climate refugees are unknowable and vary from assessment to assessment depending on underlying methods, scenarios, time frames, and assumptions (as laid out below), the available literature indicates that the climate refugee crisis will surpass all known refugee crises in terms of the number of people affected. Many climate refugees may seek refuge in their own countries; others will need to cross borders to find a new home. Some local refugee crises, in particular in the richer countries in the North, may be prevented through adaptation measures such as reinforced coastal protection or changes in agricultural production and water supply management. Many poorer countries, however, are unlikely to be able to initiate sufficient adaptation programmes, and climate-induced migration might be the only option for many communities in the South. In these situations, climate refugees will need to rely on effective protection and support from the international community, regardless of whether climate migration is internal or transnational.","author":[{"dropping-particle":"","family":"Biermann","given":"Frank","non-dropping-particle":"","parse-names":false,"suffix":""},{"dropping-particle":"","family":"Boas","given":"Ingrid","non-dropping-particle":"","parse-names":false,"suffix":""}],"id":"ITEM-1","issued":{"date-parts":[["2012"]]},"page":"291-300","title":"Climate Change and Human Migration: Towards a Global Governance System to Protect Climate Refugees","type":"chapter"},"uris":["http://www.mendeley.com/documents/?uuid=12d5730b-b4c3-4bf2-84ca-58a8416fab3d"]},{"id":"ITEM-2","itemData":{"DOI":"10.1007/978-94-007-6208-4","ISBN":"9789400762084","abstract":"This book addresses environmental and climate change induced migration from the vantage point of migration studies, offering a broad spectrum of approaches for considering the environment/climate/migration nexus. Research on the subject is still frequently narrowed down to climate change vulnerability and the environmental push factor. The book establishes the interconnections between societal and environmental vulnerability, and migration and capability, allowing appreciation of migration in the frame of climate as a case of spatial and social mobility, that is, as a strategy of persons and groups to deal with a grossly unequal distribution of life chances across the world. In their introduction, the editors fan out the current debate and state the need to transcend predominantly policy-oriented approaches to migration. The first section of the volume focuses on \"Methodologies and Methods\" and presents very distinct approaches to think climate induced migration. Subsequent chapters explore the sensitivity of existing migration flows to climate change in Ghana and Bangladesh, the complex relationship between migration, demographic change and coping capacities in Canada, methodological challenges of a household survey on the significance of migration and remittances for adaptation in the Hindu Kush region and an econometric study of the aftermath of the 1998 floods in Bangladesh. The second part, \"Areas of Concern: Politics and Human Rights\", deepens the analysis of discourses as well as of the implications of proposed and implemented policies. Contributors discuss such topics as environmental migration as a multi-causal problem, climate migration as a consequence in an alarmist discourse and climate migration as a solution. A study of an integrated relocation program in Papua New Guinea is followed by chapters on the promise and the flaws of planned relocation policy, global policy on protection of environmental migrants including both internally displaced peoples and those who cross international borders. A concluding chapter places human agency at centre stage and explores the interplay between human rights, capability and migration.","author":[{"dropping-particle":"","family":"Faist","given":"Thomas","non-dropping-particle":"","parse-names":false,"suffix":""},{"dropping-particle":"","family":"Schade","given":"Jeanette","non-dropping-particle":"","parse-names":false,"suffix":""}],"container-title":"Disentangling Migration and Climate Change: Methodologies, Political Discourses and Human Rights","id":"ITEM-2","issued":{"date-parts":[["2015"]]},"page":"1-259","title":"Disentangling Migration and Climate Change: Methodologies, political discourses and human rights","type":"article-journal"},"uris":["http://www.mendeley.com/documents/?uuid=70e385a5-66e1-4831-bb78-f9b83a7d669e"]},{"id":"ITEM-3","itemData":{"DOI":"10.2989/10220119.2022.2160012","ISSN":"17279380","abstract":"The Economic Community of West African States (ECOWAS) recognises transhumance pastoralism as a beneficial livestock production system that can contribute to food security together with economic and political stability. Thus, the subregional bloc put together the ECOWAS Protocol on Transhumance and supporting regulations to actualise these benefits. These policies seek to regulate transhumance pastoralism by ensuring that herd movements are along defined migratory corridors among member states. This review assesses the importance of transhumance pastoralism in West Africa, local and cross-border policies, and associated challenges, with emphasis on herder–farmer conflicts. It was realised that the movement of large numbers of livestock into rangelands (1) provides employment for many, and thus improves livelihoods; (2) improves productivity through high milk production and high fertility; (3) reduces moribund and combustible forage materials in the dry season; and (4) enhances seed dispersal, soil fertility and plant diversity on rangelands. This review shows that the ECOWAS cross-border transhumance protocols have led to infrastructural developments in some member states, but the partial enforcement of protocols has led to herder–farmer conflicts. We conclude that transhumance pastoralism and the regulatory policies have several benefits. However, to ensure policy compliance and avoid herder–farmer conflicts, the policies need to be reviewed and discernible gaps eliminated.","author":[{"dropping-particle":"","family":"Timpong-Jones","given":"Eric Cofie","non-dropping-particle":"","parse-names":false,"suffix":""},{"dropping-particle":"","family":"Samuels","given":"Igshaan","non-dropping-particle":"","parse-names":false,"suffix":""},{"dropping-particle":"","family":"Sarkwa","given":"Felix Owusu","non-dropping-particle":"","parse-names":false,"suffix":""},{"dropping-particle":"","family":"Oppong-Anane","given":"Kwame","non-dropping-particle":"","parse-names":false,"suffix":""},{"dropping-particle":"","family":"Majekodumni","given":"Ayodele Oluwakemi","non-dropping-particle":"","parse-names":false,"suffix":""}],"container-title":"African Journal of Range and Forage Science","id":"ITEM-3","issue":"1","issued":{"date-parts":[["2023"]]},"page":"114-128","title":"Transhumance pastoralism in West Africa–its importance, policies and challenges","type":"article-journal","volume":"40"},"uris":["http://www.mendeley.com/documents/?uuid=2d55fc9b-ec87-4f4c-bfea-9b8253785574"]},{"id":"ITEM-4","itemData":{"DOI":"10.1017/S1751731120001378","ISSN":"1751732X","PMID":"32618549","abstract":"For centuries, the humid West African coastal country of Benin attracts cattle herders from neighboring Sahelian countries such as Niger, Burkina Faso and Nigeria. Each year, several thousands of cattle are trekked over hundreds of kilometers to Benin following established and non-established transhumance corridors. This cross-border mobility has been shown to play an important role in ensuring the productivity of the transhumant herds through adequate late dry season access to pastoral resources. Yet, its effects on the traditional agro-pastoral production systems that are encountered along the routes in Benin have never been explicitly investigated. Therefore, we collected socio-economic household data, herd characteristics and management data from 104 resident herders and 38 transhumant herders in 2 vegetation zones of Benin. To determine whether or not the proximity to transhumance corridors affects sedentary production systems, characteristics of cattle herds and farmers’ management practices were compared between villages close to (within a 25 km buffer) and far from (outside a 25 km buffer) transhumance corridors within and between vegetation zones using non-parametric statistical tests. Existing relationships between resident and transhumant herders were also identified and characterized. Subsequently, herd characteristics and management practices were compared between resident herders having relationships with transhumant herders and those without. Herd sizes of resident herders living close to transhumance corridors were larger (P &lt; 0.01) than those of their counterparts living far away. Also, proximity to transhumance corridors had positive effects on herd management practices. The relationships between resident and transhumant herders were governed by a variety of interests including encampment/manuring contracts, exploitation of grazing lands and watering points, trading and bartering of cattle. This exchange of cattle is an important driver of change in the breed composition of local herds and represents an opportunity for resident herders to enhance their herds’ productivity through crossbreeding. However, the mere replacement or indiscriminate crossbreeding of local cattle breeds with those kept by transhumant herders threatens the sustainability of the traditional resident herding systems by increasing the risk of genetic erosion and loss of valuable adaptive traits in indigenous animal genetic resources.","author":[{"dropping-particle":"","family":"Houessou","given":"S. O.","non-dropping-particle":"","parse-names":false,"suffix":""},{"dropping-particle":"","family":"Dossa","given":"L. H.","non-dropping-particle":"","parse-names":false,"suffix":""},{"dropping-particle":"","family":"Assogba","given":"C. A.","non-dropping-particle":"","parse-names":false,"suffix":""},{"dropping-particle":"","family":"Diogo","given":"R. V.C.","non-dropping-particle":"","parse-names":false,"suffix":""},{"dropping-particle":"","family":"Vanvanhossou","given":"S. F.U.","non-dropping-particle":"","parse-names":false,"suffix":""},{"dropping-particle":"","family":"Schlecht","given":"E.","non-dropping-particle":"","parse-names":false,"suffix":""}],"container-title":"Animal","id":"ITEM-4","issue":"11","issued":{"date-parts":[["2020"]]},"page":"2378-2386","publisher":"Elsevier","title":"The role of cross-border transhumance in influencing resident herders’ cattle husbandry practices and use of genetic resources","type":"article-journal","volume":"14"},"uris":["http://www.mendeley.com/documents/?uuid=aeaac0bd-2ff0-4b89-a6ae-3e140cdd6193"]},{"id":"ITEM-5","itemData":{"DOI":"10.7554/eLife.43510","ISSN":"2050084X","PMID":"30938286","abstract":"Local and cross-border importation remain major challenges to malaria elimination and are difficult to measure using traditional surveillance data. To address this challenge, we systematically collected parasite genetic data and travel history from thousands of malaria cases across northeastern Namibia and estimated human mobility from mobile phone data. We observed strong fine-scale spatial structure in local parasite populations, providing positive evidence that the majority of cases were due to local transmission. This result was largely consistent with estimates from mobile phone and travel history data. However, genetic data identified more detailed and extensive evidence of parasite connectivity over hundreds of kilometers than the other data, within Namibia and across the Angolan and Zambian borders. Our results provide a framework for incorporating genetic data into malaria surveillance and provide evidence that both strengthening of local interventions and regional coordination are likely necessary to eliminate malaria in this region of Southern Africa.","author":[{"dropping-particle":"","family":"Tessema","given":"Sofonias","non-dropping-particle":"","parse-names":false,"suffix":""},{"dropping-particle":"","family":"Wesolowski","given":"Amy","non-dropping-particle":"","parse-names":false,"suffix":""},{"dropping-particle":"","family":"Chen","given":"Anna","non-dropping-particle":"","parse-names":false,"suffix":""},{"dropping-particle":"","family":"Murphy","given":"Maxwell","non-dropping-particle":"","parse-names":false,"suffix":""},{"dropping-particle":"","family":"Wilheim","given":"Jordan","non-dropping-particle":"","parse-names":false,"suffix":""},{"dropping-particle":"","family":"Mupiri","given":"Anna Rosa","non-dropping-particle":"","parse-names":false,"suffix":""},{"dropping-particle":"","family":"Ruktanonchai","given":"Nick W.","non-dropping-particle":"","parse-names":false,"suffix":""},{"dropping-particle":"","family":"Alegana","given":"Victor A.","non-dropping-particle":"","parse-names":false,"suffix":""},{"dropping-particle":"","family":"Tatem","given":"Andrew J.","non-dropping-particle":"","parse-names":false,"suffix":""},{"dropping-particle":"","family":"Tambo","given":"Munyaradzi","non-dropping-particle":"","parse-names":false,"suffix":""},{"dropping-particle":"","family":"Didier","given":"Bradley","non-dropping-particle":"","parse-names":false,"suffix":""},{"dropping-particle":"","family":"Cohen","given":"Justin M.","non-dropping-particle":"","parse-names":false,"suffix":""},{"dropping-particle":"","family":"Bennett","given":"Adam","non-dropping-particle":"","parse-names":false,"suffix":""},{"dropping-particle":"","family":"Sturrock","given":"Hugh Jw","non-dropping-particle":"","parse-names":false,"suffix":""},{"dropping-particle":"","family":"Gosling","given":"Roland","non-dropping-particle":"","parse-names":false,"suffix":""},{"dropping-particle":"","family":"Hsiang","given":"Michelle S.","non-dropping-particle":"","parse-names":false,"suffix":""},{"dropping-particle":"","family":"Smith","given":"David L.","non-dropping-particle":"","parse-names":false,"suffix":""},{"dropping-particle":"","family":"Mumbengegwi","given":"Davis R.","non-dropping-particle":"","parse-names":false,"suffix":""},{"dropping-particle":"","family":"Smith","given":"Jennifer L.","non-dropping-particle":"","parse-names":false,"suffix":""},{"dropping-particle":"","family":"Greenhouse","given":"Bryan","non-dropping-particle":"","parse-names":false,"suffix":""}],"container-title":"eLife","id":"ITEM-5","issued":{"date-parts":[["2019"]]},"page":"1-20","title":"Using parasite genetic and human mobility data to infer local and cross- border malaria connectivity in Southern Africa","type":"article-journal","volume":"8"},"uris":["http://www.mendeley.com/documents/?uuid=4796095f-0766-4e34-973e-08fda4744bd9"]},{"id":"ITEM-6","itemData":{"DOI":"10.1080/1369183x.2022.2066262","ISSN":"1369-183X","author":[{"dropping-particle":"","family":"Boas","given":"Ingrid","non-dropping-particle":"","parse-names":false,"suffix":""}],"container-title":"Journal of Ethnic and Migration Studies","id":"ITEM-6","issued":{"date-parts":[["2022"]]},"page":"1-17","title":"The diversification of pastoralist herding: navigating socio-climatic risk via mobile technologies","type":"article-journal"},"uris":["http://www.mendeley.com/documents/?uuid=9b1cffaf-8106-4757-b876-26b5a82bea8a"]},{"id":"ITEM-7","itemData":{"DOI":"10.1186/s13570-017-0093-1","ISSN":"20417136","abstract":"Pastoral societies in dryland Africa continue to face changes to their systems. These systems are influenced by a range of historical factors, but little use is made of this information to design policies that suit pastoralists’ landscapes. This article provides a synthesis of historical perspectives on pastoral land use and tenure transformations in Ngamiland, south of the Okavango Delta, Botswana. Little documentation of herders’ historical perspectives exists and less is known about how past experiences can be applied to sustainable pastoralism policies. In this article, current land use pressing issues are examined and analysed within the context of past experiences. We use a series of oral histories with key informants, focus group discussions, expert interviews and rangeland field observations. Results show that Nagamiland’s pastoral landscape has been shaped by a variety of factors: livestock diseases, human-wildlife conflicts, droughts, land tenure transformations associated with rangeland policies and the pastoral identity of the Ovaherero/Ovambanderu ethnic groups. Pastoralists have followed unique trajectories, specific to their rangeland conditions and socio-cultural context. Resilience to climate shocks and diseases has been weakened by inequitable patterns of control over rangeland resources. We recommend institutional diversity such that from experiences of the past, lessons can be drawn of processes and institutions required for pastoralism policies targeted pastoralists’ adaptations. Using pastoralists to provide information, especially in the area of indigenous knowledge, strategies can be developed to link conservation of wildlife and rangelands with pastoral production by developing ecologically sensitive low-volume tourism that pastoral communities can tap to diversify their livelihoods.","author":[{"dropping-particle":"","family":"Basupi","given":"Lenyeletse Vincent","non-dropping-particle":"","parse-names":false,"suffix":""},{"dropping-particle":"","family":"Quinn","given":"Claire Helen","non-dropping-particle":"","parse-names":false,"suffix":""},{"dropping-particle":"","family":"Dougill","given":"Andrew John","non-dropping-particle":"","parse-names":false,"suffix":""}],"container-title":"Pastoralism","id":"ITEM-7","issue":"1","issued":{"date-parts":[["2017"]]},"page":"1-14","publisher":"Pastoralism","title":"Historical perspectives on pastoralism and land tenure transformation in Ngamiland, Botswana: What are the policy and institutional lessons?","type":"article-journal","volume":"7"},"uris":["http://www.mendeley.com/documents/?uuid=01ca4ec2-18b5-431c-8d9e-7c5a56e42c3e"]},{"id":"ITEM-8","itemData":{"abstract":"In Africa, pressure and competition for pastoral lands and natural resources have increased greatly over the last two decades. Pastoralists, their governance and tenure systems are struggling to cope with these new and/or intensified pressures, which result in the loss of pastoral resources and rangeland fragmentation. These changes are not only problematic in terms of the quantity of land lost, but also because the land converted is often comprised of key grazing areas close to reliable water sources – linchpin resources – whose loss has a disproportionate impact on the viability of the rangelands as a whole as well as the pastoral system. Further, mobility is blocked by the encroachment of farms, fences and/or infrastructure. This results in a cycle of reduced access to resources, the degradation of resources still accessible, weakened pastoral production systems and increased vulnerability to such shocks or risks as droughts. Further, as the competition for land use increases, so does the chance of this competition turning violent. Though the causes of these trends are highly complex, land tenure security or, rather, ongoing land insecurity in pastoral lands has been identified as a key influencing factor. It is therefore an important consideration for SPARC and other research and development interventions in pastoral areas. This paper aims to explore the above issues, and why land tenure insecurity continues to prevail. It will do this by firstly summarising what pastoral tenure systems are, including the characteristics that make them different, and potentially more challenging, to formalise than other types of tenure regimes. Secondly the paper will ascertain, as much as possible, the status of land tenure and governance in pastoral areas or, at the very least, occurring trends. This includes steps being taken by government to protect pastoral lands and tenure systems, as well as what pastoralists themselves are doing to access land in the absence of tenure security. Finally, the paper will offer a reflection on the situation and indicate ways forward including research gaps.","author":[{"dropping-particle":"","family":"Flintan","given":"Fiona E.","non-dropping-particle":"","parse-names":false,"suffix":""},{"dropping-particle":"","family":"Robinson","given":"Lance W.","non-dropping-particle":"","parse-names":false,"suffix":""},{"dropping-particle":"","family":"Allen","given":"M.","non-dropping-particle":"","parse-names":false,"suffix":""}],"id":"ITEM-8","issue":"December","issued":{"date-parts":[["2021"]]},"title":"A review of tenure and governance in the pastoral lands of East and West Africa","type":"article-journal"},"uris":["http://www.mendeley.com/documents/?uuid=49c1c75a-6da0-46f1-89b5-272c5c26ce3d"]},{"id":"ITEM-9","itemData":{"ISBN":"47","abstract":"This paper considers the role of mobility within the overall strategies available to livestock owners and the property rights institutions that govern access to and control of land resources in Africa. Key questions related to risk and risk management are: what risk factors affect rural residents in different production environments; what strategies livestock owners adopt to deal with those risks; what the co-variation between different sources of risk is; whether increased mobility could expose livestock owners to higher levels of other risks; whether other strategies are complementary or competitive with mobility and tracking; and under what conditions other strategies might be preferable to mobility and tracking. The role of mobility within the risk management strategies of livestock keepers is established and the property rights institutions that determine whether or not such strategies can be implemented, are considered. Theory and case study evidence will support several propositions related to property institutions and the impacts of policy options are discussed. In the long term, governments and donor agencies can have the greatest impact on the welfare of pastoralists by promoting labour intensive industries as part of a strategy of rural economic development. Most of these industries will produce and process livestock and agricultural products. No matter what the product, all rural-based industries will rely on the infrastructure and institutions that support market transactions.","author":[{"dropping-particle":"","family":"Swallow","given":"B","non-dropping-particle":"","parse-names":false,"suffix":""}],"container-title":"Gatekeeper Series","id":"ITEM-9","issue":"47","issued":{"date-parts":[["1994"]]},"page":"28","title":"The Role Of Mobility Within The Risk Management Strategies Of Pastoralists And Agro-Pastoralists","type":"article-journal"},"uris":["http://www.mendeley.com/documents/?uuid=7bf93dc3-f68f-4dcb-b64f-a9e7ce25d2dc"]}],"mendeley":{"formattedCitation":"(Basupi et al., 2017; Biermann &amp; Boas, 2012; Boas, 2022; Faist &amp; Schade, 2015; Flintan et al., 2021; Houessou et al., 2020; Swallow, 1994; Tessema et al., 2019; Timpong-Jones et al., 2023)","plainTextFormattedCitation":"(Basupi et al., 2017; Biermann &amp; Boas, 2012; Boas, 2022; Faist &amp; Schade, 2015; Flintan et al., 2021; Houessou et al., 2020; Swallow, 1994; Tessema et al., 2019; Timpong-Jones et al., 2023)","previouslyFormattedCitation":"(Basupi et al., 2017; Biermann &amp; Boas, 2012; Boas, 2022; Faist &amp; Schade, 2015; Flintan et al., 2021; Houessou et al., 2020; Swallow, 1994; Tessema et al., 2019; Timpong-Jones et al., 2023)"},"properties":{"noteIndex":0},"schema":"https://github.com/citation-style-language/schema/raw/master/csl-citation.json"}</w:instrText>
      </w:r>
      <w:r>
        <w:rPr>
          <w:rFonts w:cs="Times New Roman"/>
          <w:szCs w:val="24"/>
        </w:rPr>
        <w:fldChar w:fldCharType="separate"/>
      </w:r>
      <w:r>
        <w:rPr>
          <w:rFonts w:cs="Times New Roman"/>
          <w:noProof/>
          <w:szCs w:val="24"/>
          <w:lang w:val="fr-FR"/>
        </w:rPr>
        <w:t>(Basupi et al., 2017; Biermann &amp; Boas, 2012; Boas, 2022; Faist &amp; Schade, 2015; Flintan et al., 2021; Houessou et al., 2020; Swallow, 1994; Tessema et al., 2019; Timpong-Jones et al., 2023)</w:t>
      </w:r>
      <w:r>
        <w:rPr>
          <w:rFonts w:cs="Times New Roman"/>
          <w:szCs w:val="24"/>
        </w:rPr>
        <w:fldChar w:fldCharType="end"/>
      </w:r>
      <w:r>
        <w:rPr>
          <w:rFonts w:cs="Times New Roman"/>
          <w:szCs w:val="24"/>
          <w:lang w:val="fr-FR"/>
        </w:rPr>
        <w:t xml:space="preserve">. </w:t>
      </w:r>
      <w:r>
        <w:rPr>
          <w:rFonts w:cs="Times New Roman"/>
          <w:szCs w:val="24"/>
        </w:rPr>
        <w:t xml:space="preserve">Both climatic (drought, flood, temperature, rainfall variability, diseases) and non-climatic (population increase, conflicts, inequalities) factors influence pastoralist mobility. Climate change is the main reason for pastoralist mobility in the study area. Using </w:t>
      </w:r>
      <w:proofErr w:type="spellStart"/>
      <w:r>
        <w:rPr>
          <w:rFonts w:cs="Times New Roman"/>
          <w:szCs w:val="24"/>
        </w:rPr>
        <w:t>NVivo</w:t>
      </w:r>
      <w:proofErr w:type="spellEnd"/>
      <w:r>
        <w:rPr>
          <w:rFonts w:cs="Times New Roman"/>
          <w:szCs w:val="24"/>
        </w:rPr>
        <w:t xml:space="preserve">, to test the association between climate change and mobility, lack of grass and water have the highest aggregate number of coding references (118 each). This suggests that the scarcity of essential resources is a predominant factor influencing mobility among pastoralists. Livestock numbers, conflicts, hardship also emerged as significant factors influencing mobility. This means that pastoralist mobility is influence by both climatic and non-climatic factors as indicated in the conceptual framework of this study. The framework proposes that, pastoralist mobility is influence by both climatic and non-climatic stressors. Pastoralists adopt mobility as an adaptation strategy. This is consistent with the literature on climate change and pastoralists mobility. Mobility has been identified as a key means of adapting to changes in climate in climate risk prone environment including the Sahel </w:t>
      </w:r>
      <w:r>
        <w:rPr>
          <w:rFonts w:cs="Times New Roman"/>
          <w:szCs w:val="24"/>
        </w:rPr>
        <w:fldChar w:fldCharType="begin" w:fldLock="1"/>
      </w:r>
      <w:r>
        <w:rPr>
          <w:rFonts w:cs="Times New Roman"/>
          <w:szCs w:val="24"/>
        </w:rPr>
        <w:instrText>ADDIN CSL_CITATION {"citationItems":[{"id":"ITEM-1","itemData":{"DOI":"10.1080/1369183x.2022.2066262","ISSN":"1369-183X","author":[{"dropping-particle":"","family":"Boas","given":"Ingrid","non-dropping-particle":"","parse-names":false,"suffix":""}],"container-title":"Journal of Ethnic and Migration Studies","id":"ITEM-1","issued":{"date-parts":[["2022"]]},"page":"1-17","title":"The diversification of pastoralist herding: navigating socio-climatic risk via mobile technologies","type":"article-journal"},"uris":["http://www.mendeley.com/documents/?uuid=9b1cffaf-8106-4757-b876-26b5a82bea8a"]},{"id":"ITEM-2","itemData":{"ISBN":"4155801906","abstract":"Misleading claims about mass migration induced by climate change continue to surface in both academia and policy. This requires a new research agenda on ‘climate mobilities’ that moves beyond simplistic assumptions and more accurately advances knowledge of the nexus between human mobility and climate change.","author":[{"dropping-particle":"al","family":"Boas","given":"Ingrid et","non-dropping-particle":"","parse-names":false,"suffix":""}],"container-title":"Nature Climate change","id":"ITEM-2","issue":"December","issued":{"date-parts":[["2019"]]},"page":"901-903","title":"Climate migration myths Misleading","type":"article-journal","volume":"9"},"uris":["http://www.mendeley.com/documents/?uuid=03b16d4c-7b95-4dad-959b-5c64222dbf1d"]},{"id":"ITEM-3","itemData":{"DOI":"10.1186/s13570-021-00197-2","ISSN":"20417136","abstract":"Turkana County has a long history of drought and development interventions and remains one of the poorest counties in Kenya. In Turkana, livelihoods are increasingly under threat because of climate change, conflict, and the changing land use and management. There are complex interactions between the multiple drivers of change in landscapes and livelihoods in the region. The question addressed here is: How have external development interventions contributed to the changing pastoralist livelihoods in Turkana? This study is specific to the lower part of the Turkwel River basin, particularly the Nanyee irrigated area in Turkwel, Loima sub-County of Turkana County. This article examines the external development interventions during the colonial, post-independence, and contemporary periods to reveal the ways that land use practices and livelihoods have changed across these periods. Land use practices are changing due to the growing human population, droughts, urbanization, and dispossession of grazing areas through state and donor-supported interventions. It is suggested in this article that the change from a system of customary, unrestricted grazing to one of enclosed pastures has threatened pastoral territories, as well as cultures and livelihoods over the past six decades. The new set of development interventions introduced by international and national actors have failed to support local livelihoods, instead joining the list of existing problems that undermine pastoralism, including drought, livestock diseases, and cattle rustling.","author":[{"dropping-particle":"","family":"Akall","given":"Gregory","non-dropping-particle":"","parse-names":false,"suffix":""}],"container-title":"Pastoralism","id":"ITEM-3","issue":"1","issued":{"date-parts":[["2021"]]},"publisher":"Pastoralism","title":"Effects of development interventions on pastoral livelihoods in Turkana County, Kenya","type":"article-journal","volume":"11"},"uris":["http://www.mendeley.com/documents/?uuid=a5676f2b-69cf-40a1-bcda-d19c46aead2e"]},{"id":"ITEM-4","itemData":{"DOI":"10.1007/s42452-020-04111-0","ISBN":"4245202004111","ISSN":"25233971","abstract":"Rainfall variability is of great importance in East Africa, where small-scale farmers and pastoralists dominate. Their livestock production activities are heavily dependent on rainfall. We assessed pastoralist perceptions on climate change, particularly rainfall variability, its impact on livestock production, and the adaptive capacity of pastoralists in the Ngorongoro Conservation Area (NCA), Tanzania. We combined 241 household interviews and information from 52 participants of Participatory Rural Appraisal (PRA) with archived data from the Ngorongoro Conservation Area Authority (NCAA). We found that most (71%) pastoralists were aware of general climate change impacts, rainfall variability, and impacts of extreme events on their livestock. Most (&gt; 75%) respondents perceived erratic and reduced amounts of rainfall, prolonged and frequent periods of drought as the main climate change challenges. Mean annual rainfall accounted for only 46% (R2), (p = 0.076) and 32% (R2), (p = 0.22) of cattle, and sheep and goat population variability, respectively. Unexpectedly, cattle losses intensified by 10% when herd size increased (p &lt; 0.001) and by 98% (p = 0.049) when mobility increased, implying that increasing herd sizes and mobility do not cushion households against climate change shocks. Our study highlights the need to enhance adaptive capacity of the pastoralist communities through interventions that proactively reduce vulnerability. We recommend that future research should address the profitability of pastoral cattle production under changing environmental conditions.","author":[{"dropping-particle":"","family":"Leweri","given":"Cecilia M.","non-dropping-particle":"","parse-names":false,"suffix":""},{"dropping-particle":"","family":"Msuha","given":"Maurus J.","non-dropping-particle":"","parse-names":false,"suffix":""},{"dropping-particle":"","family":"Treydte","given":"Anna C.","non-dropping-particle":"","parse-names":false,"suffix":""}],"container-title":"SN Applied Sciences","id":"ITEM-4","issue":"1","issued":{"date-parts":[["2021"]]},"page":"1-10","publisher":"Springer International Publishing","title":"Rainfall variability and socio-economic constraints on livestock production in the Ngorongoro Conservation Area, Tanzania","type":"article-journal","volume":"3"},"uris":["http://www.mendeley.com/documents/?uuid=e414c125-b1cc-4a87-ab3e-7e08ad4bfeb7"]}],"mendeley":{"formattedCitation":"(Akall, 2021; Boas, 2019, 2022; Leweri et al., 2021)","plainTextFormattedCitation":"(Akall, 2021; Boas, 2019, 2022; Leweri et al., 2021)","previouslyFormattedCitation":"(Akall, 2021; Boas, 2019, 2022; Leweri et al., 2021)"},"properties":{"noteIndex":0},"schema":"https://github.com/citation-style-language/schema/raw/master/csl-citation.json"}</w:instrText>
      </w:r>
      <w:r>
        <w:rPr>
          <w:rFonts w:cs="Times New Roman"/>
          <w:szCs w:val="24"/>
        </w:rPr>
        <w:fldChar w:fldCharType="separate"/>
      </w:r>
      <w:r>
        <w:rPr>
          <w:rFonts w:cs="Times New Roman"/>
          <w:noProof/>
          <w:szCs w:val="24"/>
        </w:rPr>
        <w:t>(Akall, 2021; Boas, 2019, 2022; Leweri et al., 2021)</w:t>
      </w:r>
      <w:r>
        <w:rPr>
          <w:rFonts w:cs="Times New Roman"/>
          <w:szCs w:val="24"/>
        </w:rPr>
        <w:fldChar w:fldCharType="end"/>
      </w:r>
      <w:r>
        <w:rPr>
          <w:rFonts w:cs="Times New Roman"/>
          <w:szCs w:val="24"/>
        </w:rPr>
        <w:t>.</w:t>
      </w:r>
    </w:p>
    <w:p w:rsidR="00E53882" w:rsidRDefault="00B16FF7">
      <w:pPr>
        <w:spacing w:before="0" w:after="0" w:line="480" w:lineRule="auto"/>
        <w:rPr>
          <w:rFonts w:eastAsia="Calibri" w:cs="Times New Roman"/>
          <w:szCs w:val="24"/>
        </w:rPr>
      </w:pPr>
      <w:r>
        <w:rPr>
          <w:rFonts w:cs="Times New Roman"/>
          <w:szCs w:val="24"/>
        </w:rPr>
        <w:t xml:space="preserve">GIS mapping shows historical mobility patterns from 1982-2002, with movements confined to the municipal boundaries. Between, 2003-2023, there's evidence of a changes in mobility patterns, with pastoralists moving to other districts due to changes in resource availability and </w:t>
      </w:r>
      <w:r>
        <w:rPr>
          <w:rFonts w:cs="Times New Roman"/>
          <w:szCs w:val="24"/>
        </w:rPr>
        <w:lastRenderedPageBreak/>
        <w:t>ecological conditions. The findings suggest that pastoralist mobility is influenced by a complex interplay of factors including environmental conditions, economic considerations, cultural practices, and changing resource availability. The change in mobility patterns over time highlights the adaptive nature of pastoralist.</w:t>
      </w:r>
      <w:r>
        <w:rPr>
          <w:rFonts w:eastAsia="Calibri" w:cs="Times New Roman"/>
          <w:szCs w:val="24"/>
        </w:rPr>
        <w:t xml:space="preserve"> This finding is consistent with the literature on climate change and pastoralist mobility </w:t>
      </w:r>
      <w:r>
        <w:rPr>
          <w:rFonts w:eastAsia="Calibri" w:cs="Times New Roman"/>
          <w:szCs w:val="24"/>
        </w:rPr>
        <w:fldChar w:fldCharType="begin" w:fldLock="1"/>
      </w:r>
      <w:r>
        <w:rPr>
          <w:rFonts w:eastAsia="Calibri" w:cs="Times New Roman"/>
          <w:szCs w:val="24"/>
        </w:rPr>
        <w:instrText>ADDIN CSL_CITATION {"citationItems":[{"id":"ITEM-1","itemData":{"DOI":"10.3389/fsufs.2020.543403","ISSN":"2571581X","abstract":"The industrialization of agriculture based on inexpensive fossil fuels allowed for unprecedented levels of food production and population growth, but simultaneously contributed to a threat to food systems and population well-being: climate change. This paper analyses the impacts and adaptations available to the world's pastoral production systems including potential mitigation and adaptation strategies. The current food system is under pressure to satisfy the needs of the increasing population with already limited natural resources particularly land and water, and now increasingly under pressure due to climate change. Increasing incomes from greater number of people have increased demand for animal source foods. As a result, domestic livestock numbers are rising, particularly in low-income countries with greater dependence on pasture for animal feed. The carrying capacity of pastured land is limited; therefore, increasing animal numbers may cause environmental degradation and loss of productivity from pastoral industries. In some countries, the increasing demand has prompted some to burn forestlands and convert them into crop production, and after the land is degraded into pasture mainly for raising large ruminants. Changes in atmospheric carbon dioxide levels and ambient temperatures are predicted to make a number of changes to the growth of herbage for animals. Several strategies can be implemented to optimize the pasture-based food system, including choosing the right breed, improving reproductive efficiency, improving grazing management, and maintaining an animal feed base. The global challenge is to meet our food production needs while sustaining our environment. Producers in all income categories have a role to play in adapting to these challenges.","author":[{"dropping-particle":"","family":"Uddin","given":"Md E.","non-dropping-particle":"","parse-names":false,"suffix":""},{"dropping-particle":"","family":"Kebreab","given":"Ermias","non-dropping-particle":"","parse-names":false,"suffix":""}],"container-title":"Frontiers in Sustainable Food Systems","id":"ITEM-1","issue":"October","issued":{"date-parts":[["2020"]]},"page":"1-13","title":"Review: Impact of Food and Climate Change on Pastoral Industries","type":"article-journal","volume":"4"},"uris":["http://www.mendeley.com/documents/?uuid=005ac4bb-e148-46f6-8250-aa571af324ab"]},{"id":"ITEM-2","itemData":{"abstract":"In Africa, pressure and competition for pastoral lands and natural resources have increased greatly over the last two decades. Pastoralists, their governance and tenure systems are struggling to cope with these new and/or intensified pressures, which result in the loss of pastoral resources and rangeland fragmentation. These changes are not only problematic in terms of the quantity of land lost, but also because the land converted is often comprised of key grazing areas close to reliable water sources – linchpin resources – whose loss has a disproportionate impact on the viability of the rangelands as a whole as well as the pastoral system. Further, mobility is blocked by the encroachment of farms, fences and/or infrastructure. This results in a cycle of reduced access to resources, the degradation of resources still accessible, weakened pastoral production systems and increased vulnerability to such shocks or risks as droughts. Further, as the competition for land use increases, so does the chance of this competition turning violent. Though the causes of these trends are highly complex, land tenure security or, rather, ongoing land insecurity in pastoral lands has been identified as a key influencing factor. It is therefore an important consideration for SPARC and other research and development interventions in pastoral areas. This paper aims to explore the above issues, and why land tenure insecurity continues to prevail. It will do this by firstly summarising what pastoral tenure systems are, including the characteristics that make them different, and potentially more challenging, to formalise than other types of tenure regimes. Secondly the paper will ascertain, as much as possible, the status of land tenure and governance in pastoral areas or, at the very least, occurring trends. This includes steps being taken by government to protect pastoral lands and tenure systems, as well as what pastoralists themselves are doing to access land in the absence of tenure security. Finally, the paper will offer a reflection on the situation and indicate ways forward including research gaps.","author":[{"dropping-particle":"","family":"Flintan","given":"Fiona E.","non-dropping-particle":"","parse-names":false,"suffix":""},{"dropping-particle":"","family":"Robinson","given":"Lance W.","non-dropping-particle":"","parse-names":false,"suffix":""},{"dropping-particle":"","family":"Allen","given":"M.","non-dropping-particle":"","parse-names":false,"suffix":""}],"id":"ITEM-2","issue":"December","issued":{"date-parts":[["2021"]]},"title":"A review of tenure and governance in the pastoral lands of East and West Africa","type":"article-journal"},"uris":["http://www.mendeley.com/documents/?uuid=49c1c75a-6da0-46f1-89b5-272c5c26ce3d"]},{"id":"ITEM-3","itemData":{"DOI":"10.1186/s13570-019-0150-z","ISSN":"20417136","abstract":"Livestock mobility is a complex concept holding many different meanings for observers of pastoralism. The movement of African pastoralists with their livestock has historically been seen by outsiders as working against both environmental and development goals. Recently, there has been an embrace of the logics of livestock mobility while uncertainties persist of what it means and how it could be measured. In this void, various unexamined associations circulate tying livestock mobility to features of pastoral cultures, ecologies, and institutions. We review the empirical literature that has sought to measure and document livestock mobility, comparing two parameters of its components: grazing and travel mobility. We find strong similarities of daily grazing movements of herds around base locations (camps, villages, water points) but wide variation in the seasonal travel movement between base locations. This variation reflects the fact that mobility is not a cultural norm but responds to the nutrition needs of livestock. The magnitude of travel mobility parameters is the highest for those transhumance systems moving along latitudinal and elevation gradients, thus moving across variation that is more predictable than is commonly presumed in the pastoral literature. The implications of the observed spatialities of livestock mobility for pastoral institutions are discussed.","author":[{"dropping-particle":"","family":"Turner","given":"Matthew D.","non-dropping-particle":"","parse-names":false,"suffix":""},{"dropping-particle":"","family":"Schlecht","given":"Eva","non-dropping-particle":"","parse-names":false,"suffix":""}],"container-title":"Pastoralism","id":"ITEM-3","issue":"1","issued":{"date-parts":[["2019"]]},"publisher":"Pastoralism","title":"Livestock mobility in sub-Saharan Africa: A critical review","type":"article-journal","volume":"9"},"uris":["http://www.mendeley.com/documents/?uuid=3bc8f263-23c8-4179-97af-ffc3d9bfb212"]},{"id":"ITEM-4","itemData":{"DOI":"10.1080/09712119.2022.2103563","ISSN":"09741844","abstract":"Drought is a complicated natural hazard that has far-reaching social and environmental impacts. In Ethiopia's diverse agro ecological zones, drought remains a severe challenge and problem. Livestock rising is one of the agricultural sub-sectors that provide income and livelihood to around one-third of African inhabitants and accounts for 30–50 percent of agricultural GDP. Pastoralists on the Ethiopia-Kenya-Somalia border endured extreme suffering, including the loss of nearly 80% of their cattle and huge migration out of drought-stricken areas. Drought can cause severe economic hardship and stress for farmers and local economies, like; lost productivity, population reduction, and the trauma of witnessing livestock, crops, soil, and native vegetation damage. Between 1990 and 2000, and 2001-2002/03, drought-related animal death rates in the Somali region increased by 60% and 80% of the entire cattle population, respectively. Drought has the greatest immediate effects on farmers, including depletion of water resources, crop failure, and an increase in food prices, ill health, livestock output losses and death, and a decline in livestock prices in the Borana zone. Drought adaptation and mitigation measures depending on geography and livestock system may improve the study's trajectory in the future if further review is done.","author":[{"dropping-particle":"","family":"Bogale","given":"Girma Asefa","non-dropping-particle":"","parse-names":false,"suffix":""},{"dropping-particle":"","family":"Erena","given":"Zelalem Bekeko","non-dropping-particle":"","parse-names":false,"suffix":""}],"container-title":"Journal of Applied Animal Research","id":"ITEM-4","issue":"1","issued":{"date-parts":[["2022"]]},"page":"471-489","title":"Drought vulnerability and impacts of climate change on livestock production and productivity in different agro-Ecological zones of Ethiopia","type":"article-journal","volume":"50"},"uris":["http://www.mendeley.com/documents/?uuid=6c61fec5-8c70-4105-8ece-e7c66a0a26eb"]},{"id":"ITEM-5","itemData":{"DOI":"10.17561/tahrj.v0i6.2931","abstract":"Pastoralists are one of the most poverty stricken and underdeveloped existing human groups in the world. Until now, having remained practically invisible in the eyes of international law, it is desirable to open a debate concerning the recognition of their rights. The ideal situation would be to create a specific category of rights dedicated expressly to these pastoralist peoples. Therefore, one can surmise that there are two laws that constitute its essential content: the law protecting their way of life and their access rights to the land","author":[{"dropping-particle":"","family":"Martín López","given":"Miguel Ángel","non-dropping-particle":"","parse-names":false,"suffix":""}],"container-title":"The Age of Human Rights Journal","id":"ITEM-5","issue":"6","issued":{"date-parts":[["2016"]]},"page":"83-107","title":"The Rights of Pastoralist Peoples. A Framework for their Recognition in International Law","type":"article-journal","volume":"6"},"uris":["http://www.mendeley.com/documents/?uuid=9f1b15c6-c6e4-4e13-aca8-ee0e3351e31b"]},{"id":"ITEM-6","itemData":{"DOI":"https://doi.org/10.1186/s13570-018-0125-5","abstract":"This study examines pastoralists’perception on climate change and impacts on cattle production from ten studyvillages of Monduli District in Tanzania. This study drew empirical data from 130 cattle owners and 81 participantsfrom focus group discussions in the study villages. Descriptive statistics and thematic analysis were used to analyzethe data respectively. Findings from this study indicate that pastoralists are well aware of the general climate trendsin their location, its variability and the impacts of extreme weather events on cattle production. The main climatechanges perceived by pastoralists include more erratic and reduced amounts of rainfall, rise in temperature andprolonged and frequent periods of drought. Pastoralists mainly view population pressure and tree cutting as themajor causes of climate change. Further, this study found that there are no existing climate risk programmes andearly warning systems across the district. Importantly, pastoralists reported the negative impacts of climate changeon cattle production. The severe recurrent drought periods result in shortage of forage and water, leading to cattlestarvation and malnutrition. Pastoralists reported massive cattle deaths and outbreaks of diseases such ascontagious bovine pleuropneumonia and tick-borne diseases. Further, reduction in milk production and poorlivestock market prices were also reported as negative impacts on cattle production. Given the range of negativeimpacts of current climate change and extreme weather events on cattle production, the implications of climatechange must be taken into account to ensure longer-term survival and sustainability of pastoralist communitiesthrough strengthening of climate risk awareness programs and early warning systems across the district. Further,this study recommends that government and non-governmental organizations should improve institutional supportto pastoralists in order to help them deal with the negative impacts of climate change on livestock production","author":[{"dropping-particle":"","family":"Esther G. Kimaro1, 2, Siobhan M. Mor1","given":"3and Jenny-Ann L. M. L. Toribio","non-dropping-particle":"","parse-names":false,"suffix":""}],"id":"ITEM-6","issued":{"date-parts":[["2018"]]},"title":"Climate change perception and impacts on cattle production in pastoral communities of northern Tanzania - s13570-018-0125-5.pdf","type":"article"},"uris":["http://www.mendeley.com/documents/?uuid=d089b741-59e5-4e9b-8605-8360a3172cd5"]},{"id":"ITEM-7","itemData":{"DOI":"10.5897/ajar2019.13878","abstract":"… These should replace the traditional extensive livestock production system which was identified as the main cause for land degradation and desertification in the Sahel … 0 25 50 75 100 Crop farming Not crop farming Crop farming Not crop farming Before sedentarisation Now …","author":[{"dropping-particle":"","family":"Nouhoun","given":"Zampaligré","non-dropping-particle":"","parse-names":false,"suffix":""},{"dropping-particle":"","family":"Dominique","given":"Ouedraogo","non-dropping-particle":"","parse-names":false,"suffix":""},{"dropping-particle":"","family":"Claudious","given":"Chikozho","non-dropping-particle":"","parse-names":false,"suffix":""},{"dropping-particle":"","family":"Louis","given":"Sawadogo","non-dropping-particle":"","parse-names":false,"suffix":""},{"dropping-particle":"","family":"Eva","given":"Schlecht","non-dropping-particle":"","parse-names":false,"suffix":""}],"container-title":"African Journal of Agricultural Research","id":"ITEM-7","issue":"30","issued":{"date-parts":[["2019"]]},"page":"1311-1325","title":"Changes in livelihood strategies and animal husbandry practices of pastoralists in the sub-humid zone of West Africa","type":"article-journal","volume":"14"},"uris":["http://www.mendeley.com/documents/?uuid=85a31897-c52b-4c0f-8baa-8579bc66d448"]}],"mendeley":{"formattedCitation":"(Bogale &amp; Erena, 2022; Esther G. Kimaro1, 2, Siobhan M. Mor1, 2018; Flintan et al., 2021; Martín López, 2016; Nouhoun et al., 2019; Turner &amp; Schlecht, 2019; Uddin &amp; Kebreab, 2020)","plainTextFormattedCitation":"(Bogale &amp; Erena, 2022; Esther G. Kimaro1, 2, Siobhan M. Mor1, 2018; Flintan et al., 2021; Martín López, 2016; Nouhoun et al., 2019; Turner &amp; Schlecht, 2019; Uddin &amp; Kebreab, 2020)","previouslyFormattedCitation":"(Bogale &amp; Erena, 2022; Esther G. Kimaro1, 2, Siobhan M. Mor1, 2018; Flintan et al., 2021; Martín López, 2016; Nouhoun et al., 2019; Turner &amp; Schlecht, 2019; Uddin &amp; Kebreab, 2020)"},"properties":{"noteIndex":0},"schema":"https://github.com/citation-style-language/schema/raw/master/csl-citation.json"}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(Bogale &amp; Erena, 2022; Esther G. Kimaro1, 2, Siobhan M. Mor1, 2018; Flintan et al., 2021; Martín López, 2016; Nouhoun et al., 2019; Turner &amp; Schlecht, 2019; Uddin &amp; Kebreab, 2020)</w:t>
      </w:r>
      <w:r>
        <w:rPr>
          <w:rFonts w:eastAsia="Calibri" w:cs="Times New Roman"/>
          <w:szCs w:val="24"/>
        </w:rPr>
        <w:fldChar w:fldCharType="end"/>
      </w:r>
      <w:r>
        <w:rPr>
          <w:rFonts w:eastAsia="Calibri" w:cs="Times New Roman"/>
          <w:szCs w:val="24"/>
        </w:rPr>
        <w:t xml:space="preserve">. </w:t>
      </w:r>
    </w:p>
    <w:p w:rsidR="00E53882" w:rsidRDefault="00E53882">
      <w:pPr>
        <w:spacing w:line="480" w:lineRule="auto"/>
        <w:rPr>
          <w:rFonts w:eastAsia="Calibri" w:cs="Times New Roman"/>
          <w:szCs w:val="24"/>
        </w:rPr>
      </w:pPr>
    </w:p>
    <w:p w:rsidR="00E53882" w:rsidRDefault="00B16FF7">
      <w:pPr>
        <w:spacing w:line="480" w:lineRule="auto"/>
        <w:rPr>
          <w:rFonts w:eastAsia="Calibri" w:cs="Times New Roman"/>
          <w:szCs w:val="24"/>
        </w:rPr>
      </w:pPr>
      <w:r>
        <w:rPr>
          <w:rFonts w:eastAsia="Calibri" w:cs="Times New Roman"/>
          <w:szCs w:val="24"/>
        </w:rPr>
        <w:t xml:space="preserve">In this finding, mobility is seen as an adaptation strategy to climate change. Pastoralists exhibit both permanent and temporal mobility. They have a permanent residence from their place of origin to the study area, but movement from the study area to other places is based on a temporary rather than a permanent form of mobility. In search of food and water for their animals, herders in the study area often move to other districts. The framework of this research suggests that institutions play the most important role in mediating mobility outcomes due to climate change. The study shows that this is particularly important for adaptive mobility responses. Most studies have focused on scientific environmental data and/or quantitative measurements of climate risk vulnerability in predicting migration flows </w:t>
      </w:r>
      <w:r>
        <w:rPr>
          <w:rFonts w:eastAsia="Calibri" w:cs="Times New Roman"/>
          <w:szCs w:val="24"/>
        </w:rPr>
        <w:fldChar w:fldCharType="begin" w:fldLock="1"/>
      </w:r>
      <w:r>
        <w:rPr>
          <w:rFonts w:eastAsia="Calibri" w:cs="Times New Roman"/>
          <w:szCs w:val="24"/>
        </w:rPr>
        <w:instrText>ADDIN CSL_CITATION {"citationItems":[{"id":"ITEM-1","itemData":{"DOI":"10.1080/00045608.2012.696233","ISSN":"0004-5608","author":[{"dropping-particle":"","family":"Etienne","given":"Piguet","non-dropping-particle":"","parse-names":false,"suffix":""}],"container-title":"Annals of the Association of American Geographers","id":"ITEM-1","issue":"1","issued":{"date-parts":[["2013","1","1"]]},"note":"doi: 10.1080/00045608.2012.696233","page":"148-162","publisher":"Routledge","title":"From “Primitive Migration” to “Climate Refugees”: The Curious Fate of the Natural Environment in Migration Studies","type":"article-journal","volume":"103"},"uris":["http://www.mendeley.com/documents/?uuid=75249557-bd08-4e05-8c50-19c3b42eff51"]},{"id":"ITEM-2","itemData":{"DOI":"10.1215/22011919-7156848","ISSN":"2201-1919","abstract":"Climate fiction—literature explicitly focused on climate change—has exploded over the last decade, and is often assumed to have a positive ecopolitical influence by enabling readers to imagine potential climate futures and persuading them of the gravity and urgency of climate change. Does it succeed? And whom does it reach? A qualitative survey of 161 American readers of 19 works of climate fiction finds that these readers are younger, more liberal, and more concerned about climate change than nonreaders of climate fiction. Drawing on concepts from ecocriticism, environmental psychology, and environmental communication, this article suggests that “cli-fi” reminds concerned readers of the severity of climate change while impelling them to imagine environmental futures and consider the impact of climate change on human and nonhuman life. However, the actions that resulted from readers’ heightened consciousness reveal that awareness is only as valuable as the cultural messages about efficacious action that are in circulation. Moreover, the affective responses of many readers suggest that most works of climate fiction are leading readers to associate climate change with intensely negative emotions, which could prove counterproductive to efforts at environmental engagement or persuasion. Based on one of the first studies to empirically examine the reception of environmental literature, this article demonstrates a novel interdisciplinary approach to environmental literature (empirical ecocriticism) and points the way to future research in this vein.","author":[{"dropping-particle":"","family":"Schneider-Mayerson","given":"Matthew","non-dropping-particle":"","parse-names":false,"suffix":""}],"container-title":"Environmental Humanities","id":"ITEM-2","issue":"2","issued":{"date-parts":[["2018"]]},"page":"473-500","title":"The Influence of Climate Fiction","type":"article-journal","volume":"10"},"uris":["http://www.mendeley.com/documents/?uuid=49807846-4d8d-455c-9ba1-775447c53257"]}],"mendeley":{"formattedCitation":"(Etienne, 2013; Schneider-Mayerson, 2018)","plainTextFormattedCitation":"(Etienne, 2013; Schneider-Mayerson, 2018)","previouslyFormattedCitation":"(Etienne, 2013; Schneider-Mayerson, 2018)"},"properties":{"noteIndex":0},"schema":"https://github.com/citation-style-language/schema/raw/master/csl-citation.json"}</w:instrText>
      </w:r>
      <w:r>
        <w:rPr>
          <w:rFonts w:eastAsia="Calibri" w:cs="Times New Roman"/>
          <w:szCs w:val="24"/>
        </w:rPr>
        <w:fldChar w:fldCharType="separate"/>
      </w:r>
      <w:r>
        <w:rPr>
          <w:rFonts w:eastAsia="Calibri" w:cs="Times New Roman"/>
          <w:noProof/>
          <w:szCs w:val="24"/>
        </w:rPr>
        <w:t>(Etienne, 2013; Schneider-Mayerson, 2018)</w:t>
      </w:r>
      <w:r>
        <w:rPr>
          <w:rFonts w:eastAsia="Calibri" w:cs="Times New Roman"/>
          <w:szCs w:val="24"/>
        </w:rPr>
        <w:fldChar w:fldCharType="end"/>
      </w:r>
      <w:r>
        <w:rPr>
          <w:rFonts w:eastAsia="Calibri" w:cs="Times New Roman"/>
          <w:szCs w:val="24"/>
        </w:rPr>
        <w:t xml:space="preserve">. This study suggests that institutions should be the primary focus when explaining the relationship. Institutions within the study community play a critical role in determining mobility outcomes for pastoralists. When there are favourable terms and conditions, the results for pastoralists' livelihood are positive and vice versa. The latter results in a new-out migration as stated in the framework. From the above analysis, we found that there used to be a designated place for herders during the rainy season and during the dry </w:t>
      </w:r>
      <w:r>
        <w:rPr>
          <w:rFonts w:eastAsia="Calibri" w:cs="Times New Roman"/>
          <w:szCs w:val="24"/>
        </w:rPr>
        <w:lastRenderedPageBreak/>
        <w:t>season bush burning was minimal. This means that the local institutions were effective at that time and the conditions created were favourable to the pastoralist, so there was no need for a movement. But recently these things have become unavailable, making it difficult for some herders to make a living and they have to choose other alternatives.</w:t>
      </w:r>
    </w:p>
    <w:p w:rsidR="00E53882" w:rsidRDefault="00B16FF7">
      <w:pPr>
        <w:spacing w:before="0" w:after="0" w:line="480" w:lineRule="auto"/>
        <w:rPr>
          <w:rFonts w:eastAsia="Calibri" w:cs="Times New Roman"/>
          <w:szCs w:val="24"/>
        </w:rPr>
      </w:pPr>
      <w:r>
        <w:rPr>
          <w:rFonts w:eastAsia="Calibri" w:cs="Times New Roman"/>
          <w:szCs w:val="24"/>
        </w:rPr>
        <w:t>The results also show that some of the herders decided not to move somewhere to look for food and water for their animals. The scope of this study does not consider the possibility that some pastoralists may not relocate due to climatic and non-climatic factors. Therefore, there is a need to consider all possible forms of movements when analysing climate change mobility relations of pastoralists. It also shows that the climate-related mobility of some pastoralists is not always related to the vulnerability of these particular pastoralists to climate change, but to other socioeconomic conditions. The results of this research therefore suggest that climate vulnerability and its variability can still lead to mobility of pastoralists, but it is necessary to consider other factors such as communal issues.</w:t>
      </w:r>
    </w:p>
    <w:p w:rsidR="00E53882" w:rsidRDefault="00E53882">
      <w:pPr>
        <w:pStyle w:val="Heading2"/>
        <w:spacing w:before="0" w:after="0" w:line="480" w:lineRule="auto"/>
      </w:pPr>
    </w:p>
    <w:p w:rsidR="00E53882" w:rsidRDefault="00B16FF7">
      <w:pPr>
        <w:pStyle w:val="Heading2"/>
        <w:spacing w:before="0" w:after="0" w:line="480" w:lineRule="auto"/>
      </w:pPr>
      <w:bookmarkStart w:id="135" w:name="_Toc164261740"/>
      <w:r>
        <w:t>8.2 Recommendations</w:t>
      </w:r>
      <w:bookmarkEnd w:id="135"/>
    </w:p>
    <w:p w:rsidR="00E53882" w:rsidRDefault="00B16FF7">
      <w:pPr>
        <w:spacing w:before="0" w:after="0" w:line="480" w:lineRule="auto"/>
        <w:rPr>
          <w:rFonts w:cs="Times New Roman"/>
          <w:szCs w:val="24"/>
        </w:rPr>
      </w:pPr>
      <w:r>
        <w:rPr>
          <w:rFonts w:cs="Times New Roman"/>
          <w:szCs w:val="24"/>
        </w:rPr>
        <w:t>The main reason for the mobility of herders is climate change. Voluntary and involuntary migrants are easily exploited and subjected to illegal social and economic practices. Policymakers</w:t>
      </w:r>
      <w:r w:rsidR="001704C6">
        <w:rPr>
          <w:rFonts w:cs="Times New Roman"/>
          <w:szCs w:val="24"/>
        </w:rPr>
        <w:t>, such as the ministry of Agriculture</w:t>
      </w:r>
      <w:r>
        <w:rPr>
          <w:rFonts w:cs="Times New Roman"/>
          <w:szCs w:val="24"/>
        </w:rPr>
        <w:t xml:space="preserve"> should support pastoralists to achieve dynamic responses to climate change, both in terms of mitigation and adaptation to the phenomenon. To manage unforeseen climate risks and reduce future vulnerability, having a variety of choices or diversifying one's source of income is crucial. To improve adaptation and make mobility a choice rather than a liability to forces of nature and political neglect, </w:t>
      </w:r>
      <w:r>
        <w:rPr>
          <w:rFonts w:cs="Times New Roman"/>
          <w:szCs w:val="24"/>
        </w:rPr>
        <w:lastRenderedPageBreak/>
        <w:t>pastoral measures such as the construction of dams and other rural infrastructure should be effectively implemented.</w:t>
      </w:r>
    </w:p>
    <w:p w:rsidR="00E53882" w:rsidRDefault="00B16FF7">
      <w:pPr>
        <w:spacing w:before="0" w:after="0" w:line="480" w:lineRule="auto"/>
        <w:rPr>
          <w:rFonts w:cs="Times New Roman"/>
          <w:szCs w:val="24"/>
        </w:rPr>
      </w:pPr>
      <w:r>
        <w:rPr>
          <w:rFonts w:cs="Times New Roman"/>
          <w:szCs w:val="24"/>
        </w:rPr>
        <w:t>Furthermore, social networks are an important means of adapting to climate change. Therefore, in this regard, it is crucial to emphasize the importance of cooperation and cooperation between pastoralists in different communities, districts or countries. It is recommended that</w:t>
      </w:r>
      <w:r w:rsidR="001704C6">
        <w:rPr>
          <w:rFonts w:cs="Times New Roman"/>
          <w:szCs w:val="24"/>
        </w:rPr>
        <w:t xml:space="preserve"> government and private agencies should</w:t>
      </w:r>
      <w:r>
        <w:rPr>
          <w:rFonts w:cs="Times New Roman"/>
          <w:szCs w:val="24"/>
        </w:rPr>
        <w:t xml:space="preserve"> consider how pastoralists can strengthen these networks and engage in knowledge sharing to adapt to changing environmental conditions that impact their livelihoods.</w:t>
      </w:r>
    </w:p>
    <w:p w:rsidR="00E53882" w:rsidRDefault="00E53882">
      <w:pPr>
        <w:spacing w:after="0" w:line="480" w:lineRule="auto"/>
        <w:contextualSpacing/>
        <w:rPr>
          <w:rFonts w:cs="Times New Roman"/>
          <w:szCs w:val="24"/>
        </w:rPr>
      </w:pPr>
    </w:p>
    <w:p w:rsidR="00E53882" w:rsidRDefault="00B16FF7">
      <w:pPr>
        <w:spacing w:after="0" w:line="480" w:lineRule="auto"/>
        <w:contextualSpacing/>
        <w:rPr>
          <w:rFonts w:cs="Times New Roman"/>
          <w:szCs w:val="24"/>
        </w:rPr>
      </w:pPr>
      <w:r>
        <w:rPr>
          <w:rFonts w:cs="Times New Roman"/>
          <w:szCs w:val="24"/>
        </w:rPr>
        <w:t xml:space="preserve">In addition to the above, sustainable resource management practices are another key factor that can improve the adaptability of pastoralists. These practices can help pastoralists ensure the availability of critical resources essential to the survival of their livestock. This includes research into pasture management techniques, water resources protection and climate-resilient livestock farming practices. Therefore, </w:t>
      </w:r>
      <w:r w:rsidR="00425F48">
        <w:rPr>
          <w:rFonts w:cs="Times New Roman"/>
          <w:szCs w:val="24"/>
        </w:rPr>
        <w:t>institutions such as Food and Agriculture Organization</w:t>
      </w:r>
      <w:r>
        <w:rPr>
          <w:rFonts w:cs="Times New Roman"/>
          <w:szCs w:val="24"/>
        </w:rPr>
        <w:t xml:space="preserve"> should make conscious efforts to provide pastoralists with technical training on sustainable resource management to help them adapt to the impacts of climate change</w:t>
      </w:r>
    </w:p>
    <w:p w:rsidR="00E53882" w:rsidRDefault="00E53882">
      <w:pPr>
        <w:spacing w:before="0" w:after="0" w:line="480" w:lineRule="auto"/>
        <w:contextualSpacing/>
        <w:rPr>
          <w:rFonts w:eastAsia="Tahoma" w:cs="Times New Roman"/>
          <w:color w:val="000000" w:themeColor="text1"/>
          <w:kern w:val="24"/>
          <w:szCs w:val="24"/>
        </w:rPr>
      </w:pPr>
    </w:p>
    <w:p w:rsidR="00E53882" w:rsidRDefault="00B16FF7">
      <w:pPr>
        <w:spacing w:before="0" w:after="0" w:line="480" w:lineRule="auto"/>
        <w:contextualSpacing/>
        <w:rPr>
          <w:rFonts w:eastAsia="Tahoma" w:cs="Times New Roman"/>
          <w:color w:val="000000" w:themeColor="text1"/>
          <w:kern w:val="24"/>
          <w:szCs w:val="24"/>
        </w:rPr>
      </w:pPr>
      <w:r>
        <w:rPr>
          <w:rFonts w:eastAsia="Tahoma" w:cs="Times New Roman"/>
          <w:color w:val="000000" w:themeColor="text1"/>
          <w:kern w:val="24"/>
          <w:szCs w:val="24"/>
        </w:rPr>
        <w:t>Moreover, during the analysis, we found that pastoralists have their traditional way of adapting to changes in the environment. It is recommended that development professionals recognize and respect the unique cultural practices and knowledge systems that Fulani pastoralists and other ethnic groups engaging in pastoralism use to adapt to changes in environmental factors</w:t>
      </w:r>
    </w:p>
    <w:p w:rsidR="00E53882" w:rsidRDefault="00B16FF7">
      <w:pPr>
        <w:spacing w:line="480" w:lineRule="auto"/>
        <w:rPr>
          <w:rFonts w:cs="Times New Roman"/>
          <w:szCs w:val="24"/>
        </w:rPr>
      </w:pPr>
      <w:r>
        <w:rPr>
          <w:rFonts w:cs="Times New Roman"/>
          <w:szCs w:val="24"/>
        </w:rPr>
        <w:t xml:space="preserve">Last but not least, herders in the study area viewed bush burning as one of the key factors in their movement. They explained that in the dry season, when people do not burn bushes, the </w:t>
      </w:r>
      <w:r>
        <w:rPr>
          <w:rFonts w:cs="Times New Roman"/>
          <w:szCs w:val="24"/>
        </w:rPr>
        <w:lastRenderedPageBreak/>
        <w:t>animals may rely on corn cobs, rice and groundnut straws, etc. to survive. But during the dry season they will burn all these places and give them a choice. Therefore, it is recommended that bush burning laws be effectively enforced and action taken against anyone violating the law.</w:t>
      </w:r>
    </w:p>
    <w:p w:rsidR="00E53882" w:rsidRDefault="00B16FF7">
      <w:pPr>
        <w:pStyle w:val="Heading2"/>
        <w:spacing w:line="480" w:lineRule="auto"/>
      </w:pPr>
      <w:bookmarkStart w:id="136" w:name="_Toc164261741"/>
      <w:r>
        <w:t>8.3 Contribution to Knowledge</w:t>
      </w:r>
      <w:bookmarkEnd w:id="136"/>
      <w:r>
        <w:t xml:space="preserve"> </w:t>
      </w:r>
    </w:p>
    <w:p w:rsidR="00E53882" w:rsidRDefault="00B16FF7">
      <w:pPr>
        <w:spacing w:before="0" w:after="0" w:line="480" w:lineRule="auto"/>
        <w:rPr>
          <w:rFonts w:cs="Times New Roman"/>
          <w:szCs w:val="24"/>
        </w:rPr>
      </w:pPr>
      <w:r>
        <w:rPr>
          <w:rFonts w:cs="Times New Roman"/>
          <w:szCs w:val="24"/>
        </w:rPr>
        <w:t>In all academic studies, it is imperative to fill certain knowledge gap to be able to justify your studies. This is consistent with the fact that the current study contributed to knowledge by filling a number of identified gaps. First, most studies on climate change and pastoralists mobility have failed to examine the characteristics of pastoralists covered by this study.</w:t>
      </w:r>
      <w:r>
        <w:rPr>
          <w:rFonts w:ascii="Segoe UI" w:hAnsi="Segoe UI" w:cs="Segoe UI"/>
          <w:color w:val="0F0F0F"/>
        </w:rPr>
        <w:t xml:space="preserve"> </w:t>
      </w:r>
      <w:r>
        <w:rPr>
          <w:rFonts w:cs="Times New Roman"/>
          <w:szCs w:val="24"/>
        </w:rPr>
        <w:t xml:space="preserve">The study found the presence of different ethnic groups involve in pastoralism, these ethnic groups adopted the Fulfulde as their main language showing a strong linguistic influence. The distinctive mood of dressing, together with the preference for endogamous marriages, makes people in the study area to think that all of them are </w:t>
      </w:r>
      <w:proofErr w:type="spellStart"/>
      <w:r>
        <w:rPr>
          <w:rFonts w:cs="Times New Roman"/>
          <w:szCs w:val="24"/>
        </w:rPr>
        <w:t>fulbe</w:t>
      </w:r>
      <w:proofErr w:type="spellEnd"/>
      <w:r>
        <w:rPr>
          <w:rFonts w:cs="Times New Roman"/>
          <w:szCs w:val="24"/>
        </w:rPr>
        <w:t xml:space="preserve"> people.  The findings related to transfer of knowledge, pastoralists symbolic beliefs about their animals, marriage practices, historical background and their chieftaincy system in the study area contribute to knowledge by adding a bigger understanding of the cultural, social, and historical aspects of pastoralism, and give emphasis to their unique traditions, knowledge systems, and governance structures that shape their way of life</w:t>
      </w:r>
    </w:p>
    <w:p w:rsidR="00E53882" w:rsidRDefault="00E53882">
      <w:pPr>
        <w:spacing w:before="0" w:after="0" w:line="480" w:lineRule="auto"/>
        <w:rPr>
          <w:rFonts w:cs="Times New Roman"/>
          <w:szCs w:val="24"/>
          <w:lang w:val="en-US"/>
        </w:rPr>
      </w:pPr>
    </w:p>
    <w:p w:rsidR="00E53882" w:rsidRDefault="00B16FF7">
      <w:pPr>
        <w:spacing w:before="0" w:after="0" w:line="480" w:lineRule="auto"/>
        <w:rPr>
          <w:rFonts w:cs="Times New Roman"/>
          <w:szCs w:val="24"/>
          <w:lang w:val="en-US"/>
        </w:rPr>
      </w:pPr>
      <w:r>
        <w:rPr>
          <w:rFonts w:cs="Times New Roman"/>
          <w:szCs w:val="24"/>
          <w:lang w:val="en-US"/>
        </w:rPr>
        <w:t xml:space="preserve">The study found that pastoralists in the study area understand climate change as a prolonged alteration in weather conditions caused by both natural factors and human activities. Factors such as tree cutting and bush burning were identified as the major contributors to climate change. Furthermore, pastoralists in the study area perceive rising temperatures, changes in </w:t>
      </w:r>
      <w:r>
        <w:rPr>
          <w:rFonts w:cs="Times New Roman"/>
          <w:szCs w:val="24"/>
          <w:lang w:val="en-US"/>
        </w:rPr>
        <w:lastRenderedPageBreak/>
        <w:t>rainfall patterns, and increased wind intensity, attributing these changes to various factors, including human activities, the will of God, and signs of the end time. The study contribute to knowledge by shedding light on the complex interplay between natural and cultural factors in shaping pastoralists' perceptions of climate change.</w:t>
      </w:r>
    </w:p>
    <w:p w:rsidR="00E53882" w:rsidRDefault="00B16FF7">
      <w:pPr>
        <w:spacing w:line="480" w:lineRule="auto"/>
        <w:rPr>
          <w:rFonts w:cs="Times New Roman"/>
          <w:szCs w:val="24"/>
          <w:lang w:val="en-US"/>
        </w:rPr>
      </w:pPr>
      <w:r>
        <w:rPr>
          <w:rFonts w:cs="Times New Roman"/>
          <w:szCs w:val="24"/>
          <w:lang w:val="en-US"/>
        </w:rPr>
        <w:t>The study also emphasizes the ecological importance of trees, linking their absence to adverse climate changes. This ecological perspective call attention to the complex relationship between environmental dynamics and pastoralist livelihoods. Additionally, the research reveals that pastoralists' perceptions of climate change are significantly influenced by their social, cultural, and economic contexts. Despite the increasing scientific understanding of climate change, pastoralists tend to rely more on traditional beliefs rooted in their social and cultural experiences when forming their perceptions. This cultural lens adds depth to the existing knowledge on how diverse communities interpret and respond to climate change.</w:t>
      </w:r>
    </w:p>
    <w:p w:rsidR="00E53882" w:rsidRDefault="00B16FF7">
      <w:pPr>
        <w:spacing w:line="480" w:lineRule="auto"/>
        <w:rPr>
          <w:rFonts w:cs="Times New Roman"/>
          <w:szCs w:val="24"/>
        </w:rPr>
      </w:pPr>
      <w:r>
        <w:rPr>
          <w:rFonts w:cs="Times New Roman"/>
          <w:szCs w:val="24"/>
        </w:rPr>
        <w:t xml:space="preserve">The study also found that dry spells have a positive impact on cattle. This is contrary to the general perception that dry spells negatively </w:t>
      </w:r>
      <w:r w:rsidR="00D23FEA">
        <w:rPr>
          <w:rFonts w:cs="Times New Roman"/>
          <w:szCs w:val="24"/>
        </w:rPr>
        <w:t>affect</w:t>
      </w:r>
      <w:r>
        <w:rPr>
          <w:rFonts w:cs="Times New Roman"/>
          <w:szCs w:val="24"/>
        </w:rPr>
        <w:t xml:space="preserve"> cattle. The findings </w:t>
      </w:r>
      <w:r w:rsidR="00D23FEA">
        <w:rPr>
          <w:rFonts w:cs="Times New Roman"/>
          <w:szCs w:val="24"/>
        </w:rPr>
        <w:t>show</w:t>
      </w:r>
      <w:r>
        <w:rPr>
          <w:rFonts w:cs="Times New Roman"/>
          <w:szCs w:val="24"/>
        </w:rPr>
        <w:t xml:space="preserve"> that during dry spells, the grasses becomes dry, resulting in healthier grazing conditions for the cattle. The study </w:t>
      </w:r>
      <w:r w:rsidR="00D23FEA">
        <w:rPr>
          <w:rFonts w:cs="Times New Roman"/>
          <w:szCs w:val="24"/>
        </w:rPr>
        <w:t>contributes</w:t>
      </w:r>
      <w:r>
        <w:rPr>
          <w:rFonts w:cs="Times New Roman"/>
          <w:szCs w:val="24"/>
        </w:rPr>
        <w:t xml:space="preserve"> to knowledge by challenging the conventional understanding that drought and dry spells are detrimental to cattle health. While the general consensus is that limited water and reduced vegetation availability during dry spells negatively impact cattle, the findings advocates that there may be benefits associated with these conditions. Furthermore, the study also contribute</w:t>
      </w:r>
      <w:r w:rsidR="00D23FEA">
        <w:rPr>
          <w:rFonts w:cs="Times New Roman"/>
          <w:szCs w:val="24"/>
        </w:rPr>
        <w:t>s</w:t>
      </w:r>
      <w:r>
        <w:rPr>
          <w:rFonts w:cs="Times New Roman"/>
          <w:szCs w:val="24"/>
        </w:rPr>
        <w:t xml:space="preserve"> to knowledge by revealing some of the adaptation strategies employed by pastoralists during rainy season, hot season, when there is high temperature and intense wind. The adaptation strategies they mentioned are unique and demonstrate how they have </w:t>
      </w:r>
      <w:r w:rsidR="00D23FEA">
        <w:rPr>
          <w:rFonts w:cs="Times New Roman"/>
          <w:szCs w:val="24"/>
        </w:rPr>
        <w:t>instilled</w:t>
      </w:r>
      <w:r>
        <w:rPr>
          <w:rFonts w:cs="Times New Roman"/>
          <w:szCs w:val="24"/>
        </w:rPr>
        <w:t xml:space="preserve"> their cultural practices into pastoralism. </w:t>
      </w:r>
    </w:p>
    <w:p w:rsidR="00E53882" w:rsidRDefault="00B16FF7">
      <w:pPr>
        <w:spacing w:line="480" w:lineRule="auto"/>
        <w:rPr>
          <w:rFonts w:cs="Times New Roman"/>
          <w:bCs/>
          <w:szCs w:val="24"/>
        </w:rPr>
      </w:pPr>
      <w:r>
        <w:rPr>
          <w:rFonts w:cs="Times New Roman"/>
          <w:szCs w:val="24"/>
        </w:rPr>
        <w:lastRenderedPageBreak/>
        <w:t xml:space="preserve">Moreover, the study also </w:t>
      </w:r>
      <w:r w:rsidR="00D23FEA">
        <w:rPr>
          <w:rFonts w:cs="Times New Roman"/>
          <w:szCs w:val="24"/>
        </w:rPr>
        <w:t>contributes</w:t>
      </w:r>
      <w:r>
        <w:rPr>
          <w:rFonts w:cs="Times New Roman"/>
          <w:szCs w:val="24"/>
        </w:rPr>
        <w:t xml:space="preserve"> to knowledge </w:t>
      </w:r>
      <w:r>
        <w:rPr>
          <w:rFonts w:cs="Times New Roman"/>
          <w:bCs/>
          <w:szCs w:val="24"/>
        </w:rPr>
        <w:t xml:space="preserve">by producing a mobility </w:t>
      </w:r>
      <w:proofErr w:type="spellStart"/>
      <w:r>
        <w:rPr>
          <w:rFonts w:cs="Times New Roman"/>
          <w:bCs/>
          <w:szCs w:val="24"/>
        </w:rPr>
        <w:t>calander</w:t>
      </w:r>
      <w:proofErr w:type="spellEnd"/>
      <w:r>
        <w:rPr>
          <w:rFonts w:cs="Times New Roman"/>
          <w:bCs/>
          <w:szCs w:val="24"/>
        </w:rPr>
        <w:t xml:space="preserve"> that provide a detailed account of the annual mobility calendar specific to the study Area. While previous research has often focused on generalized patterns of pastoralist movement, this study delves into the temporal aspects of mobility, emphasizing the seasonality and resource-driven nature of pastoralist decisions. Lastly, the study also contributes to knowledge by producing a GIS map that shows the movement patterns of pastoralist over the past decades which is largely absent in the study of climate change and pastoralists mobility in the study area.</w:t>
      </w:r>
    </w:p>
    <w:p w:rsidR="00E53882" w:rsidRDefault="00B16FF7">
      <w:pPr>
        <w:pStyle w:val="Heading2"/>
        <w:spacing w:line="480" w:lineRule="auto"/>
      </w:pPr>
      <w:bookmarkStart w:id="137" w:name="_Toc164261742"/>
      <w:r>
        <w:t>8.4 Recommendations for Further Research</w:t>
      </w:r>
      <w:bookmarkEnd w:id="137"/>
      <w:r>
        <w:t xml:space="preserve"> </w:t>
      </w:r>
    </w:p>
    <w:p w:rsidR="00E53882" w:rsidRDefault="00B16FF7">
      <w:pPr>
        <w:spacing w:before="0" w:after="0" w:line="480" w:lineRule="auto"/>
        <w:rPr>
          <w:rFonts w:cs="Times New Roman"/>
          <w:szCs w:val="24"/>
        </w:rPr>
      </w:pPr>
      <w:r>
        <w:rPr>
          <w:rFonts w:cs="Times New Roman"/>
          <w:szCs w:val="24"/>
        </w:rPr>
        <w:t>The findings and conclusions of this study indicate that additional studies are required to examine the following:</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Cultural Variations in Language and Dressing among Pastoralist Communities: An Exploratory Study</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Investigate potential cultural variations within the common language and style of dressing among pastoralist communities, addressing gaps identified in previous studies.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Consequences of Changing Livelihood Among Pastoralist's Children: A Longitudinal Examination</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Explore the impact of diversification in livelihoods among pastoralist children on the continuity of their tradition, delving into the future sustainability of pastoralist communities.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External Factors and Cultural Beliefs in Cattle Herding: Practical Applications and Meanings</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lastRenderedPageBreak/>
        <w:t>Conduct research to explore the practical applications and cultural meanings of beliefs in cattle herding among pastoralists, with a focus on understanding how external factors influence cattle management practices.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 xml:space="preserve">Modernization and </w:t>
      </w:r>
      <w:proofErr w:type="spellStart"/>
      <w:r>
        <w:rPr>
          <w:rFonts w:cs="Times New Roman"/>
          <w:bCs/>
          <w:szCs w:val="24"/>
          <w:lang w:val="en-US"/>
        </w:rPr>
        <w:t>Fulbe</w:t>
      </w:r>
      <w:proofErr w:type="spellEnd"/>
      <w:r>
        <w:rPr>
          <w:rFonts w:cs="Times New Roman"/>
          <w:bCs/>
          <w:szCs w:val="24"/>
          <w:lang w:val="en-US"/>
        </w:rPr>
        <w:t xml:space="preserve"> Marriage Customs: Impacts on Societal Norms</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 xml:space="preserve">Investigate the potential impact of changing societal norms on </w:t>
      </w:r>
      <w:proofErr w:type="spellStart"/>
      <w:r>
        <w:rPr>
          <w:rFonts w:cs="Times New Roman"/>
          <w:szCs w:val="24"/>
          <w:lang w:val="en-US"/>
        </w:rPr>
        <w:t>Fulbe</w:t>
      </w:r>
      <w:proofErr w:type="spellEnd"/>
      <w:r>
        <w:rPr>
          <w:rFonts w:cs="Times New Roman"/>
          <w:szCs w:val="24"/>
          <w:lang w:val="en-US"/>
        </w:rPr>
        <w:t xml:space="preserve"> marriage customs, exploring how modernization and external influences may alter traditional marriage practices.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Historical Origins and Contemporary Fulani Culture: A Comprehensive Exploration</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Examine how the historical context of the Fulani people's origins continues to influence their cultural practices and identity in contemporary times, addressing gaps identified in previous studies.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Ecological Dynamics of Dry Spells: Mechanisms and Impact on Livelihood Activities</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Conduct further research and contextual studies to explore the mechanisms and ecological dynamics behind the observed positive impact of dry spells on cattle, while considering potential conflicts arising from the differential impact on various livelihood activities.</w:t>
      </w:r>
    </w:p>
    <w:p w:rsidR="00E53882" w:rsidRDefault="00B16FF7">
      <w:pPr>
        <w:numPr>
          <w:ilvl w:val="0"/>
          <w:numId w:val="10"/>
        </w:numPr>
        <w:spacing w:before="0" w:after="0" w:line="480" w:lineRule="auto"/>
        <w:rPr>
          <w:rFonts w:cs="Times New Roman"/>
          <w:szCs w:val="24"/>
          <w:lang w:val="en-US"/>
        </w:rPr>
      </w:pPr>
      <w:r>
        <w:rPr>
          <w:rFonts w:cs="Times New Roman"/>
          <w:bCs/>
          <w:szCs w:val="24"/>
          <w:lang w:val="en-US"/>
        </w:rPr>
        <w:t>Quantitative Aspects of Pastoralist Mobility: A Comprehensive Analysis</w:t>
      </w:r>
    </w:p>
    <w:p w:rsidR="00E53882" w:rsidRDefault="00B16FF7">
      <w:pPr>
        <w:numPr>
          <w:ilvl w:val="1"/>
          <w:numId w:val="10"/>
        </w:numPr>
        <w:spacing w:before="0" w:after="0" w:line="480" w:lineRule="auto"/>
        <w:rPr>
          <w:rFonts w:cs="Times New Roman"/>
          <w:szCs w:val="24"/>
          <w:lang w:val="en-US"/>
        </w:rPr>
      </w:pPr>
      <w:r>
        <w:rPr>
          <w:rFonts w:cs="Times New Roman"/>
          <w:szCs w:val="24"/>
          <w:lang w:val="en-US"/>
        </w:rPr>
        <w:t>Explore the quantitative aspects of pastoralist mobility, including the number of pastoralists involved in each category, the frequency of movements, and the economic impacts of their mobility. This study could provide valuable quantitative data to complement previous qualitative insights.</w:t>
      </w:r>
    </w:p>
    <w:p w:rsidR="00E53882" w:rsidRDefault="00E53882">
      <w:pPr>
        <w:spacing w:line="480" w:lineRule="auto"/>
        <w:rPr>
          <w:rFonts w:cs="Times New Roman"/>
          <w:b/>
          <w:szCs w:val="24"/>
        </w:rPr>
      </w:pPr>
    </w:p>
    <w:p w:rsidR="00E53882" w:rsidRDefault="00E53882">
      <w:pPr>
        <w:spacing w:line="480" w:lineRule="auto"/>
        <w:rPr>
          <w:rFonts w:cs="Times New Roman"/>
          <w:b/>
          <w:szCs w:val="24"/>
          <w:lang w:val="en-US"/>
        </w:rPr>
      </w:pPr>
    </w:p>
    <w:p w:rsidR="00E53882" w:rsidRDefault="00B16FF7">
      <w:pPr>
        <w:spacing w:before="0" w:after="0" w:line="480" w:lineRule="auto"/>
        <w:jc w:val="center"/>
        <w:rPr>
          <w:rFonts w:cs="Times New Roman"/>
          <w:b/>
          <w:szCs w:val="24"/>
        </w:rPr>
      </w:pPr>
      <w:r>
        <w:rPr>
          <w:rFonts w:cs="Times New Roman"/>
          <w:b/>
          <w:szCs w:val="24"/>
        </w:rPr>
        <w:lastRenderedPageBreak/>
        <w:t>REFERENCES</w:t>
      </w:r>
    </w:p>
    <w:p w:rsidR="007215E1" w:rsidRPr="007215E1" w:rsidRDefault="00B16FF7" w:rsidP="007215E1">
      <w:pPr>
        <w:widowControl w:val="0"/>
        <w:autoSpaceDE w:val="0"/>
        <w:autoSpaceDN w:val="0"/>
        <w:adjustRightInd w:val="0"/>
        <w:spacing w:before="0" w:after="0" w:line="480" w:lineRule="auto"/>
        <w:ind w:left="480" w:hanging="480"/>
        <w:rPr>
          <w:rFonts w:cs="Times New Roman"/>
          <w:noProof/>
          <w:szCs w:val="24"/>
        </w:rPr>
      </w:pPr>
      <w:r>
        <w:rPr>
          <w:rFonts w:cs="Times New Roman"/>
          <w:b/>
          <w:szCs w:val="24"/>
        </w:rPr>
        <w:fldChar w:fldCharType="begin" w:fldLock="1"/>
      </w:r>
      <w:r>
        <w:rPr>
          <w:rFonts w:cs="Times New Roman"/>
          <w:b/>
          <w:szCs w:val="24"/>
        </w:rPr>
        <w:instrText xml:space="preserve">ADDIN Mendeley Bibliography CSL_BIBLIOGRAPHY </w:instrText>
      </w:r>
      <w:r>
        <w:rPr>
          <w:rFonts w:cs="Times New Roman"/>
          <w:b/>
          <w:szCs w:val="24"/>
        </w:rPr>
        <w:fldChar w:fldCharType="separate"/>
      </w:r>
      <w:r w:rsidR="007215E1" w:rsidRPr="007215E1">
        <w:rPr>
          <w:rFonts w:cs="Times New Roman"/>
          <w:noProof/>
          <w:szCs w:val="24"/>
        </w:rPr>
        <w:t xml:space="preserve">Abubakari, A., Yakubu, F., &amp; Longi, T. (2014). Pastoralism and Violence in Northern Ghana: Socialisation and Professional Requirement. </w:t>
      </w:r>
      <w:r w:rsidR="007215E1" w:rsidRPr="007215E1">
        <w:rPr>
          <w:rFonts w:cs="Times New Roman"/>
          <w:i/>
          <w:iCs/>
          <w:noProof/>
          <w:szCs w:val="24"/>
        </w:rPr>
        <w:t>International Journal of Research In Social Sciences</w:t>
      </w:r>
      <w:r w:rsidR="007215E1" w:rsidRPr="007215E1">
        <w:rPr>
          <w:rFonts w:cs="Times New Roman"/>
          <w:noProof/>
          <w:szCs w:val="24"/>
        </w:rPr>
        <w:t xml:space="preserve">, </w:t>
      </w:r>
      <w:r w:rsidR="007215E1" w:rsidRPr="007215E1">
        <w:rPr>
          <w:rFonts w:cs="Times New Roman"/>
          <w:i/>
          <w:iCs/>
          <w:noProof/>
          <w:szCs w:val="24"/>
        </w:rPr>
        <w:t>4</w:t>
      </w:r>
      <w:r w:rsidR="007215E1" w:rsidRPr="007215E1">
        <w:rPr>
          <w:rFonts w:cs="Times New Roman"/>
          <w:noProof/>
          <w:szCs w:val="24"/>
        </w:rPr>
        <w:t>(5), 102–111.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Adom, D., Attah, A. Y., &amp; Ankrah, K. (2016). Constructivism Philosophical Paradigm: Implication for Research, Teaching and Learning. </w:t>
      </w:r>
      <w:r w:rsidRPr="007215E1">
        <w:rPr>
          <w:rFonts w:cs="Times New Roman"/>
          <w:i/>
          <w:iCs/>
          <w:noProof/>
          <w:szCs w:val="24"/>
        </w:rPr>
        <w:t>Global Journal of Arts Humanities and Social Sciences</w:t>
      </w:r>
      <w:r w:rsidRPr="007215E1">
        <w:rPr>
          <w:rFonts w:cs="Times New Roman"/>
          <w:noProof/>
          <w:szCs w:val="24"/>
        </w:rPr>
        <w:t xml:space="preserve">, </w:t>
      </w:r>
      <w:r w:rsidRPr="007215E1">
        <w:rPr>
          <w:rFonts w:cs="Times New Roman"/>
          <w:i/>
          <w:iCs/>
          <w:noProof/>
          <w:szCs w:val="24"/>
        </w:rPr>
        <w:t>4</w:t>
      </w:r>
      <w:r w:rsidRPr="007215E1">
        <w:rPr>
          <w:rFonts w:cs="Times New Roman"/>
          <w:noProof/>
          <w:szCs w:val="24"/>
        </w:rPr>
        <w:t>(10), 1–9.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Adu-Boahen, K., Dadson, I., &amp; Halidu, M. A. (2019). </w:t>
      </w:r>
      <w:r w:rsidRPr="007215E1">
        <w:rPr>
          <w:rFonts w:cs="Times New Roman"/>
          <w:i/>
          <w:iCs/>
          <w:noProof/>
          <w:szCs w:val="24"/>
        </w:rPr>
        <w:t>Climatic Variability and Food Crop Production in the Bawku West District of the Upper East Region of Ghana</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(1), 103–123.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African Union, A. (2013). SECURING, PROTECTING AND IMPROVING THE LIVES, LIVELIHOODS AND RIGHTS OF PASTORALIST COMMUNITIES. In </w:t>
      </w:r>
      <w:r w:rsidRPr="007215E1">
        <w:rPr>
          <w:rFonts w:cs="Times New Roman"/>
          <w:i/>
          <w:iCs/>
          <w:noProof/>
          <w:szCs w:val="24"/>
        </w:rPr>
        <w:t>www.cta.int</w:t>
      </w:r>
      <w:r w:rsidRPr="007215E1">
        <w:rPr>
          <w:rFonts w:cs="Times New Roman"/>
          <w:noProof/>
          <w:szCs w:val="24"/>
        </w:rPr>
        <w:t>. www.au.int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AGNES. (2020). </w:t>
      </w:r>
      <w:r w:rsidRPr="007215E1">
        <w:rPr>
          <w:rFonts w:cs="Times New Roman"/>
          <w:i/>
          <w:iCs/>
          <w:noProof/>
          <w:szCs w:val="24"/>
        </w:rPr>
        <w:t>Desertification and Climate Change in Africa</w:t>
      </w:r>
      <w:r w:rsidRPr="007215E1">
        <w:rPr>
          <w:rFonts w:cs="Times New Roman"/>
          <w:noProof/>
          <w:szCs w:val="24"/>
        </w:rPr>
        <w:t xml:space="preserve">. </w:t>
      </w:r>
      <w:r w:rsidRPr="007215E1">
        <w:rPr>
          <w:rFonts w:cs="Times New Roman"/>
          <w:i/>
          <w:iCs/>
          <w:noProof/>
          <w:szCs w:val="24"/>
        </w:rPr>
        <w:t>1</w:t>
      </w:r>
      <w:r w:rsidRPr="007215E1">
        <w:rPr>
          <w:rFonts w:cs="Times New Roman"/>
          <w:noProof/>
          <w:szCs w:val="24"/>
        </w:rPr>
        <w:t>, 1–8. https://hdl.handle.net/10568/107808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Ajibefun, M. B. (2018). Social and economic effects of the menace of fulani herdsmen crises in Nigeria. </w:t>
      </w:r>
      <w:r w:rsidRPr="007215E1">
        <w:rPr>
          <w:rFonts w:cs="Times New Roman"/>
          <w:i/>
          <w:iCs/>
          <w:noProof/>
          <w:szCs w:val="24"/>
        </w:rPr>
        <w:t>Journal of Educational and Social Research</w:t>
      </w:r>
      <w:r w:rsidRPr="007215E1">
        <w:rPr>
          <w:rFonts w:cs="Times New Roman"/>
          <w:noProof/>
          <w:szCs w:val="24"/>
        </w:rPr>
        <w:t xml:space="preserve">, </w:t>
      </w:r>
      <w:r w:rsidRPr="007215E1">
        <w:rPr>
          <w:rFonts w:cs="Times New Roman"/>
          <w:i/>
          <w:iCs/>
          <w:noProof/>
          <w:szCs w:val="24"/>
        </w:rPr>
        <w:t>8</w:t>
      </w:r>
      <w:r w:rsidRPr="007215E1">
        <w:rPr>
          <w:rFonts w:cs="Times New Roman"/>
          <w:noProof/>
          <w:szCs w:val="24"/>
        </w:rPr>
        <w:t>(2), 133–139. https://doi.org/10.2478/jesr-2018-0024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Akall, G. (2021). Effects of development interventions on pastoral livelihoods in Turkana County, Kenya. </w:t>
      </w:r>
      <w:r w:rsidRPr="007215E1">
        <w:rPr>
          <w:rFonts w:cs="Times New Roman"/>
          <w:i/>
          <w:iCs/>
          <w:noProof/>
          <w:szCs w:val="24"/>
        </w:rPr>
        <w:t>Pastoralism</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(1). https://doi.org/10.1186/s13570-021-00197-2</w:t>
      </w:r>
    </w:p>
    <w:p w:rsidR="007215E1" w:rsidRPr="007215E1" w:rsidRDefault="007215E1" w:rsidP="007D77E5">
      <w:pPr>
        <w:widowControl w:val="0"/>
        <w:autoSpaceDE w:val="0"/>
        <w:autoSpaceDN w:val="0"/>
        <w:adjustRightInd w:val="0"/>
        <w:spacing w:before="0" w:after="0" w:line="480" w:lineRule="auto"/>
        <w:ind w:left="480" w:hanging="480"/>
        <w:jc w:val="left"/>
        <w:rPr>
          <w:rFonts w:cs="Times New Roman"/>
          <w:noProof/>
          <w:szCs w:val="24"/>
        </w:rPr>
      </w:pPr>
      <w:r w:rsidRPr="007215E1">
        <w:rPr>
          <w:rFonts w:cs="Times New Roman"/>
          <w:noProof/>
          <w:szCs w:val="24"/>
        </w:rPr>
        <w:t xml:space="preserve">Alidou, S. M. (2016). Cross-border transhumance corridors in West Africa. </w:t>
      </w:r>
      <w:r w:rsidRPr="007215E1">
        <w:rPr>
          <w:rFonts w:cs="Times New Roman"/>
          <w:i/>
          <w:iCs/>
          <w:noProof/>
          <w:szCs w:val="24"/>
        </w:rPr>
        <w:t>CapEx in Supporting Pastoral Development</w:t>
      </w:r>
      <w:r w:rsidRPr="007215E1">
        <w:rPr>
          <w:rFonts w:cs="Times New Roman"/>
          <w:noProof/>
          <w:szCs w:val="24"/>
        </w:rPr>
        <w:t xml:space="preserve">, </w:t>
      </w:r>
      <w:r w:rsidRPr="007215E1">
        <w:rPr>
          <w:rFonts w:cs="Times New Roman"/>
          <w:i/>
          <w:iCs/>
          <w:noProof/>
          <w:szCs w:val="24"/>
        </w:rPr>
        <w:t>February</w:t>
      </w:r>
      <w:r w:rsidRPr="007215E1">
        <w:rPr>
          <w:rFonts w:cs="Times New Roman"/>
          <w:noProof/>
          <w:szCs w:val="24"/>
        </w:rPr>
        <w:t>, 8. https://www.shareweb.ch/site/Agriculture-and-Food-</w:t>
      </w:r>
      <w:r w:rsidRPr="007215E1">
        <w:rPr>
          <w:rFonts w:cs="Times New Roman"/>
          <w:noProof/>
          <w:szCs w:val="24"/>
        </w:rPr>
        <w:lastRenderedPageBreak/>
        <w:t>Security/aboutus/Documents/pastoralism/pastoralism_brief_couloirs_transhumance_e.pdf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Ani, K. J., Anyika, V. O., &amp; Mutambara, E. (2022). The impact of climate change on food and human security in Nigeria. In </w:t>
      </w:r>
      <w:r w:rsidRPr="007215E1">
        <w:rPr>
          <w:rFonts w:cs="Times New Roman"/>
          <w:i/>
          <w:iCs/>
          <w:noProof/>
          <w:szCs w:val="24"/>
        </w:rPr>
        <w:t>International Journal of Climate Change Strategies and Management</w:t>
      </w:r>
      <w:r w:rsidRPr="007215E1">
        <w:rPr>
          <w:rFonts w:cs="Times New Roman"/>
          <w:noProof/>
          <w:szCs w:val="24"/>
        </w:rPr>
        <w:t xml:space="preserve"> (Vol. 14, Issue 2, pp. 148–167). https://doi.org/10.1108/IJCCSM-11-2020-0119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Antwi-Agyei, P. (2018). </w:t>
      </w:r>
      <w:r w:rsidRPr="007215E1">
        <w:rPr>
          <w:rFonts w:cs="Times New Roman"/>
          <w:i/>
          <w:iCs/>
          <w:noProof/>
          <w:szCs w:val="24"/>
        </w:rPr>
        <w:t>Ghana’s national adaptation plan</w:t>
      </w:r>
      <w:r w:rsidRPr="007215E1">
        <w:rPr>
          <w:rFonts w:cs="Times New Roman"/>
          <w:noProof/>
          <w:szCs w:val="24"/>
        </w:rPr>
        <w:t xml:space="preserve">. </w:t>
      </w:r>
      <w:r w:rsidRPr="007215E1">
        <w:rPr>
          <w:rFonts w:cs="Times New Roman"/>
          <w:i/>
          <w:iCs/>
          <w:noProof/>
          <w:szCs w:val="24"/>
        </w:rPr>
        <w:t>October</w:t>
      </w:r>
      <w:r w:rsidRPr="007215E1">
        <w:rPr>
          <w:rFonts w:cs="Times New Roman"/>
          <w:noProof/>
          <w:szCs w:val="24"/>
        </w:rPr>
        <w:t>, 36.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Antwi-Agyei, P., &amp; Nyantakyi-Frimpong, H. (2021). Evidence of climate change coping and adaptation practices by smallholder farmers in northern ghana. </w:t>
      </w:r>
      <w:r w:rsidRPr="007215E1">
        <w:rPr>
          <w:rFonts w:cs="Times New Roman"/>
          <w:i/>
          <w:iCs/>
          <w:noProof/>
          <w:szCs w:val="24"/>
        </w:rPr>
        <w:t>Sustainability (Switzerland)</w:t>
      </w:r>
      <w:r w:rsidRPr="007215E1">
        <w:rPr>
          <w:rFonts w:cs="Times New Roman"/>
          <w:noProof/>
          <w:szCs w:val="24"/>
        </w:rPr>
        <w:t xml:space="preserve">, </w:t>
      </w:r>
      <w:r w:rsidRPr="007215E1">
        <w:rPr>
          <w:rFonts w:cs="Times New Roman"/>
          <w:i/>
          <w:iCs/>
          <w:noProof/>
          <w:szCs w:val="24"/>
        </w:rPr>
        <w:t>13</w:t>
      </w:r>
      <w:r w:rsidRPr="007215E1">
        <w:rPr>
          <w:rFonts w:cs="Times New Roman"/>
          <w:noProof/>
          <w:szCs w:val="24"/>
        </w:rPr>
        <w:t>(3), 1–18. https://doi.org/10.3390/su13031308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Atanga, R. A., &amp; Tankpa, V. (2021). Climate Change, Flood Disaster Risk and Food Security Nexus in Northern Ghana. </w:t>
      </w:r>
      <w:r w:rsidRPr="007215E1">
        <w:rPr>
          <w:rFonts w:cs="Times New Roman"/>
          <w:i/>
          <w:iCs/>
          <w:noProof/>
          <w:szCs w:val="24"/>
        </w:rPr>
        <w:t>Frontiers in Sustainable Food Systems</w:t>
      </w:r>
      <w:r w:rsidRPr="007215E1">
        <w:rPr>
          <w:rFonts w:cs="Times New Roman"/>
          <w:noProof/>
          <w:szCs w:val="24"/>
        </w:rPr>
        <w:t xml:space="preserve">, </w:t>
      </w:r>
      <w:r w:rsidRPr="007215E1">
        <w:rPr>
          <w:rFonts w:cs="Times New Roman"/>
          <w:i/>
          <w:iCs/>
          <w:noProof/>
          <w:szCs w:val="24"/>
        </w:rPr>
        <w:t>5</w:t>
      </w:r>
      <w:r w:rsidRPr="007215E1">
        <w:rPr>
          <w:rFonts w:cs="Times New Roman"/>
          <w:noProof/>
          <w:szCs w:val="24"/>
        </w:rPr>
        <w:t>(August). https://doi.org/10.3389/fsufs.2021.706721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Awinia, C. S. (2020). The Sociology of Intra-African Pastoralist Migration: The Case of Tanzania. </w:t>
      </w:r>
      <w:r w:rsidRPr="007215E1">
        <w:rPr>
          <w:rFonts w:cs="Times New Roman"/>
          <w:i/>
          <w:iCs/>
          <w:noProof/>
          <w:szCs w:val="24"/>
        </w:rPr>
        <w:t>Frontiers in Sociology</w:t>
      </w:r>
      <w:r w:rsidRPr="007215E1">
        <w:rPr>
          <w:rFonts w:cs="Times New Roman"/>
          <w:noProof/>
          <w:szCs w:val="24"/>
        </w:rPr>
        <w:t xml:space="preserve">, </w:t>
      </w:r>
      <w:r w:rsidRPr="007215E1">
        <w:rPr>
          <w:rFonts w:cs="Times New Roman"/>
          <w:i/>
          <w:iCs/>
          <w:noProof/>
          <w:szCs w:val="24"/>
        </w:rPr>
        <w:t>5</w:t>
      </w:r>
      <w:r w:rsidRPr="007215E1">
        <w:rPr>
          <w:rFonts w:cs="Times New Roman"/>
          <w:noProof/>
          <w:szCs w:val="24"/>
        </w:rPr>
        <w:t>(November), 1–10. https://doi.org/10.3389/fsoc.2020.518797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Ayele, T., &amp; Dedecha, D. (2020). The Impact of Climate Change on Pastoralist Livelihoods in Ethiopia: A Review. </w:t>
      </w:r>
      <w:r w:rsidRPr="007215E1">
        <w:rPr>
          <w:rFonts w:cs="Times New Roman"/>
          <w:i/>
          <w:iCs/>
          <w:noProof/>
          <w:szCs w:val="24"/>
        </w:rPr>
        <w:t>Journal of Resources Development and Management</w:t>
      </w:r>
      <w:r w:rsidRPr="007215E1">
        <w:rPr>
          <w:rFonts w:cs="Times New Roman"/>
          <w:noProof/>
          <w:szCs w:val="24"/>
        </w:rPr>
        <w:t xml:space="preserve">, </w:t>
      </w:r>
      <w:r w:rsidRPr="007215E1">
        <w:rPr>
          <w:rFonts w:cs="Times New Roman"/>
          <w:i/>
          <w:iCs/>
          <w:noProof/>
          <w:szCs w:val="24"/>
        </w:rPr>
        <w:t>February</w:t>
      </w:r>
      <w:r w:rsidRPr="007215E1">
        <w:rPr>
          <w:rFonts w:cs="Times New Roman"/>
          <w:noProof/>
          <w:szCs w:val="24"/>
        </w:rPr>
        <w:t>. https://doi.org/10.7176/jrdm/63-02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Basupi, L. V., Quinn, C. H., &amp; Dougill, A. J. (2017). Historical perspectives on pastoralism and land tenure transformation in Ngamiland, Botswana: What are the policy and institutional lessons? </w:t>
      </w:r>
      <w:r w:rsidRPr="007215E1">
        <w:rPr>
          <w:rFonts w:cs="Times New Roman"/>
          <w:i/>
          <w:iCs/>
          <w:noProof/>
          <w:szCs w:val="24"/>
        </w:rPr>
        <w:t>Pastoralism</w:t>
      </w:r>
      <w:r w:rsidRPr="007215E1">
        <w:rPr>
          <w:rFonts w:cs="Times New Roman"/>
          <w:noProof/>
          <w:szCs w:val="24"/>
        </w:rPr>
        <w:t xml:space="preserve">, </w:t>
      </w:r>
      <w:r w:rsidRPr="007215E1">
        <w:rPr>
          <w:rFonts w:cs="Times New Roman"/>
          <w:i/>
          <w:iCs/>
          <w:noProof/>
          <w:szCs w:val="24"/>
        </w:rPr>
        <w:t>7</w:t>
      </w:r>
      <w:r w:rsidRPr="007215E1">
        <w:rPr>
          <w:rFonts w:cs="Times New Roman"/>
          <w:noProof/>
          <w:szCs w:val="24"/>
        </w:rPr>
        <w:t>(1), 1–14. https://doi.org/10.1186/s13570-017-0093-1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Bates-eamer, N. (2022). </w:t>
      </w:r>
      <w:r w:rsidRPr="007215E1">
        <w:rPr>
          <w:rFonts w:cs="Times New Roman"/>
          <w:i/>
          <w:iCs/>
          <w:noProof/>
          <w:szCs w:val="24"/>
        </w:rPr>
        <w:t>Framing the Climate Change and Human Mobility Nexus in Canada: From Discourse to Policy?</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Beer, P. T. De. (2017). Ethnic Diversity and Solidarity. In </w:t>
      </w:r>
      <w:r w:rsidRPr="007215E1">
        <w:rPr>
          <w:rFonts w:cs="Times New Roman"/>
          <w:i/>
          <w:iCs/>
          <w:noProof/>
          <w:szCs w:val="24"/>
        </w:rPr>
        <w:t>Ethnic Diversity and Solidarity: A Study of theit Complex Relationship</w:t>
      </w:r>
      <w:r w:rsidRPr="007215E1">
        <w:rPr>
          <w:rFonts w:cs="Times New Roman"/>
          <w:noProof/>
          <w:szCs w:val="24"/>
        </w:rPr>
        <w:t xml:space="preserve"> (Issue June 2017).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Biermann, F., &amp; Boas, I. (2010). Preparing for a warmer world: Towards a global governance system to protect climate refugees. </w:t>
      </w:r>
      <w:r w:rsidRPr="007215E1">
        <w:rPr>
          <w:rFonts w:cs="Times New Roman"/>
          <w:i/>
          <w:iCs/>
          <w:noProof/>
          <w:szCs w:val="24"/>
        </w:rPr>
        <w:t>Global Environmental Politics</w:t>
      </w:r>
      <w:r w:rsidRPr="007215E1">
        <w:rPr>
          <w:rFonts w:cs="Times New Roman"/>
          <w:noProof/>
          <w:szCs w:val="24"/>
        </w:rPr>
        <w:t xml:space="preserve">, </w:t>
      </w:r>
      <w:r w:rsidRPr="007215E1">
        <w:rPr>
          <w:rFonts w:cs="Times New Roman"/>
          <w:i/>
          <w:iCs/>
          <w:noProof/>
          <w:szCs w:val="24"/>
        </w:rPr>
        <w:t>10</w:t>
      </w:r>
      <w:r w:rsidRPr="007215E1">
        <w:rPr>
          <w:rFonts w:cs="Times New Roman"/>
          <w:noProof/>
          <w:szCs w:val="24"/>
        </w:rPr>
        <w:t>(1), 60–88. https://doi.org/10.1162/glep.2010.10.1.60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Biermann, F., &amp; Boas, I. (2012). </w:t>
      </w:r>
      <w:r w:rsidRPr="007215E1">
        <w:rPr>
          <w:rFonts w:cs="Times New Roman"/>
          <w:i/>
          <w:iCs/>
          <w:noProof/>
          <w:szCs w:val="24"/>
        </w:rPr>
        <w:t>Climate Change and Human Migration: Towards a Global Governance System to Protect Climate Refugees</w:t>
      </w:r>
      <w:r w:rsidRPr="007215E1">
        <w:rPr>
          <w:rFonts w:cs="Times New Roman"/>
          <w:noProof/>
          <w:szCs w:val="24"/>
        </w:rPr>
        <w:t xml:space="preserve"> (pp. 291–300). https://doi.org/10.1007/978-3-642-28626-1_15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Bierschenk, T. (2018). </w:t>
      </w:r>
      <w:r w:rsidRPr="007215E1">
        <w:rPr>
          <w:rFonts w:cs="Times New Roman"/>
          <w:i/>
          <w:iCs/>
          <w:noProof/>
          <w:szCs w:val="24"/>
        </w:rPr>
        <w:t>Bierschenk , T ., &amp; Forster , R . ( 1991 ). Rational herdsmen . Economic strategies of the agropastoral Fulani of Northern Benin . Applied Geography and</w:t>
      </w:r>
      <w:r w:rsidRPr="007215E1">
        <w:rPr>
          <w:rFonts w:cs="Times New Roman"/>
          <w:noProof/>
          <w:szCs w:val="24"/>
        </w:rPr>
        <w:t xml:space="preserve">. </w:t>
      </w:r>
      <w:r w:rsidRPr="007215E1">
        <w:rPr>
          <w:rFonts w:cs="Times New Roman"/>
          <w:i/>
          <w:iCs/>
          <w:noProof/>
          <w:szCs w:val="24"/>
        </w:rPr>
        <w:t>January</w:t>
      </w:r>
      <w:r w:rsidRPr="007215E1">
        <w:rPr>
          <w:rFonts w:cs="Times New Roman"/>
          <w:noProof/>
          <w:szCs w:val="24"/>
        </w:rPr>
        <w:t>, 110–128.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Birkmann, J., Liwenga, E., Pandey, R., Boyd, E., Djalante, R., Gemenne, F., Filho, W. L., Pinho, P. F., Stringer, L., &amp; Wrathall, D. (2022). Poverty, Livelihoods and Sustainable Development. In </w:t>
      </w:r>
      <w:r w:rsidRPr="007215E1">
        <w:rPr>
          <w:rFonts w:cs="Times New Roman"/>
          <w:i/>
          <w:iCs/>
          <w:noProof/>
          <w:szCs w:val="24"/>
        </w:rPr>
        <w:t>Climate Change 2022: Impacts, Adaptation and Vulnerability. Contribution of Working Group II to the Sixth Assessment Report of the Intergovernmental Panel on Climate Change</w:t>
      </w:r>
      <w:r w:rsidRPr="007215E1">
        <w:rPr>
          <w:rFonts w:cs="Times New Roman"/>
          <w:noProof/>
          <w:szCs w:val="24"/>
        </w:rPr>
        <w:t>. https://doi.org/10.1017/9781009325844.010.1171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Black, R. (2001). Environmental refugees : myth or reality ? In </w:t>
      </w:r>
      <w:r w:rsidRPr="007215E1">
        <w:rPr>
          <w:rFonts w:cs="Times New Roman"/>
          <w:i/>
          <w:iCs/>
          <w:noProof/>
          <w:szCs w:val="24"/>
        </w:rPr>
        <w:t>New Issues in Refugee Research</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Boas, I. et al. (2019). Climate migration myths Misleading. </w:t>
      </w:r>
      <w:r w:rsidRPr="007215E1">
        <w:rPr>
          <w:rFonts w:cs="Times New Roman"/>
          <w:i/>
          <w:iCs/>
          <w:noProof/>
          <w:szCs w:val="24"/>
        </w:rPr>
        <w:t>Nature Climate Change</w:t>
      </w:r>
      <w:r w:rsidRPr="007215E1">
        <w:rPr>
          <w:rFonts w:cs="Times New Roman"/>
          <w:noProof/>
          <w:szCs w:val="24"/>
        </w:rPr>
        <w:t xml:space="preserve">, </w:t>
      </w:r>
      <w:r w:rsidRPr="007215E1">
        <w:rPr>
          <w:rFonts w:cs="Times New Roman"/>
          <w:i/>
          <w:iCs/>
          <w:noProof/>
          <w:szCs w:val="24"/>
        </w:rPr>
        <w:t>9</w:t>
      </w:r>
      <w:r w:rsidRPr="007215E1">
        <w:rPr>
          <w:rFonts w:cs="Times New Roman"/>
          <w:noProof/>
          <w:szCs w:val="24"/>
        </w:rPr>
        <w:t>(December), 901–903. https://orbi.uliege.be/bitstream/2268/243102/1/s41558-019-</w:t>
      </w:r>
      <w:r w:rsidRPr="007215E1">
        <w:rPr>
          <w:rFonts w:cs="Times New Roman"/>
          <w:noProof/>
          <w:szCs w:val="24"/>
        </w:rPr>
        <w:lastRenderedPageBreak/>
        <w:t>0633-3%281%29.pdf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Boas, I. (2022). The diversification of pastoralist herding: navigating socio-climatic risk via mobile technologies. </w:t>
      </w:r>
      <w:r w:rsidRPr="007215E1">
        <w:rPr>
          <w:rFonts w:cs="Times New Roman"/>
          <w:i/>
          <w:iCs/>
          <w:noProof/>
          <w:szCs w:val="24"/>
        </w:rPr>
        <w:t>Journal of Ethnic and Migration Studies</w:t>
      </w:r>
      <w:r w:rsidRPr="007215E1">
        <w:rPr>
          <w:rFonts w:cs="Times New Roman"/>
          <w:noProof/>
          <w:szCs w:val="24"/>
        </w:rPr>
        <w:t>, 1–17. https://doi.org/10.1080/1369183x.2022.2066262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Boas, I., Wiegel, H., Farbotko, C., Warner, J., &amp; Sheller, M. (2022). Climate mobilities: migration, im/mobilities and mobility regimes in a changing climate. </w:t>
      </w:r>
      <w:r w:rsidRPr="007215E1">
        <w:rPr>
          <w:rFonts w:cs="Times New Roman"/>
          <w:i/>
          <w:iCs/>
          <w:noProof/>
          <w:szCs w:val="24"/>
        </w:rPr>
        <w:t>Journal of Ethnic and Migration Studies</w:t>
      </w:r>
      <w:r w:rsidRPr="007215E1">
        <w:rPr>
          <w:rFonts w:cs="Times New Roman"/>
          <w:noProof/>
          <w:szCs w:val="24"/>
        </w:rPr>
        <w:t xml:space="preserve">, </w:t>
      </w:r>
      <w:r w:rsidRPr="007215E1">
        <w:rPr>
          <w:rFonts w:cs="Times New Roman"/>
          <w:i/>
          <w:iCs/>
          <w:noProof/>
          <w:szCs w:val="24"/>
        </w:rPr>
        <w:t>May</w:t>
      </w:r>
      <w:r w:rsidRPr="007215E1">
        <w:rPr>
          <w:rFonts w:cs="Times New Roman"/>
          <w:noProof/>
          <w:szCs w:val="24"/>
        </w:rPr>
        <w:t>, 1–15. https://doi.org/10.1080/1369183x.2022.2066264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Bogale, G. A., &amp; Erena, Z. B. (2022). Drought vulnerability and impacts of climate change on livestock production and productivity in different agro-Ecological zones of Ethiopia. </w:t>
      </w:r>
      <w:r w:rsidRPr="007215E1">
        <w:rPr>
          <w:rFonts w:cs="Times New Roman"/>
          <w:i/>
          <w:iCs/>
          <w:noProof/>
          <w:szCs w:val="24"/>
        </w:rPr>
        <w:t>Journal of Applied Animal Research</w:t>
      </w:r>
      <w:r w:rsidRPr="007215E1">
        <w:rPr>
          <w:rFonts w:cs="Times New Roman"/>
          <w:noProof/>
          <w:szCs w:val="24"/>
        </w:rPr>
        <w:t xml:space="preserve">, </w:t>
      </w:r>
      <w:r w:rsidRPr="007215E1">
        <w:rPr>
          <w:rFonts w:cs="Times New Roman"/>
          <w:i/>
          <w:iCs/>
          <w:noProof/>
          <w:szCs w:val="24"/>
        </w:rPr>
        <w:t>50</w:t>
      </w:r>
      <w:r w:rsidRPr="007215E1">
        <w:rPr>
          <w:rFonts w:cs="Times New Roman"/>
          <w:noProof/>
          <w:szCs w:val="24"/>
        </w:rPr>
        <w:t>(1), 471–489. https://doi.org/10.1080/09712119.2022.2103563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Brooks, N. (2006). Climate change , drought and pastoralism in the Sahel. </w:t>
      </w:r>
      <w:r w:rsidRPr="007215E1">
        <w:rPr>
          <w:rFonts w:cs="Times New Roman"/>
          <w:i/>
          <w:iCs/>
          <w:noProof/>
          <w:szCs w:val="24"/>
        </w:rPr>
        <w:t>Discussion Note for the World INitiative on Sustainable Pastoralism</w:t>
      </w:r>
      <w:r w:rsidRPr="007215E1">
        <w:rPr>
          <w:rFonts w:cs="Times New Roman"/>
          <w:noProof/>
          <w:szCs w:val="24"/>
        </w:rPr>
        <w:t xml:space="preserve">, </w:t>
      </w:r>
      <w:r w:rsidRPr="007215E1">
        <w:rPr>
          <w:rFonts w:cs="Times New Roman"/>
          <w:i/>
          <w:iCs/>
          <w:noProof/>
          <w:szCs w:val="24"/>
        </w:rPr>
        <w:t>November</w:t>
      </w:r>
      <w:r w:rsidRPr="007215E1">
        <w:rPr>
          <w:rFonts w:cs="Times New Roman"/>
          <w:noProof/>
          <w:szCs w:val="24"/>
        </w:rPr>
        <w:t>, 10.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Brown, S. P. (1996). A meta-analysis and review of organizational research on job involvement. </w:t>
      </w:r>
      <w:r w:rsidRPr="007215E1">
        <w:rPr>
          <w:rFonts w:cs="Times New Roman"/>
          <w:i/>
          <w:iCs/>
          <w:noProof/>
          <w:szCs w:val="24"/>
        </w:rPr>
        <w:t>Psychological Bulletin</w:t>
      </w:r>
      <w:r w:rsidRPr="007215E1">
        <w:rPr>
          <w:rFonts w:cs="Times New Roman"/>
          <w:noProof/>
          <w:szCs w:val="24"/>
        </w:rPr>
        <w:t xml:space="preserve">, </w:t>
      </w:r>
      <w:r w:rsidRPr="007215E1">
        <w:rPr>
          <w:rFonts w:cs="Times New Roman"/>
          <w:i/>
          <w:iCs/>
          <w:noProof/>
          <w:szCs w:val="24"/>
        </w:rPr>
        <w:t>120</w:t>
      </w:r>
      <w:r w:rsidRPr="007215E1">
        <w:rPr>
          <w:rFonts w:cs="Times New Roman"/>
          <w:noProof/>
          <w:szCs w:val="24"/>
        </w:rPr>
        <w:t>(2), 235–255. https://doi.org/10.1037/0033-2909.120.2.235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Bukari, K., Bukari, S., Sow, P., &amp; Scheffran, J. (2020). Diversity and Multiple Drivers of Pastoral Fulani Migration to Ghana. </w:t>
      </w:r>
      <w:r w:rsidRPr="007215E1">
        <w:rPr>
          <w:rFonts w:cs="Times New Roman"/>
          <w:i/>
          <w:iCs/>
          <w:noProof/>
          <w:szCs w:val="24"/>
        </w:rPr>
        <w:t>Nomadic Peoples</w:t>
      </w:r>
      <w:r w:rsidRPr="007215E1">
        <w:rPr>
          <w:rFonts w:cs="Times New Roman"/>
          <w:noProof/>
          <w:szCs w:val="24"/>
        </w:rPr>
        <w:t xml:space="preserve">, </w:t>
      </w:r>
      <w:r w:rsidRPr="007215E1">
        <w:rPr>
          <w:rFonts w:cs="Times New Roman"/>
          <w:i/>
          <w:iCs/>
          <w:noProof/>
          <w:szCs w:val="24"/>
        </w:rPr>
        <w:t>24</w:t>
      </w:r>
      <w:r w:rsidRPr="007215E1">
        <w:rPr>
          <w:rFonts w:cs="Times New Roman"/>
          <w:noProof/>
          <w:szCs w:val="24"/>
        </w:rPr>
        <w:t>, 4–31. https://doi.org/10.3197/np.2020.240102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Bukari, K. N., &amp; Osei-Kufuor, P. (2021). Drivers of “labour” migration of Fulani herders to Ghana. </w:t>
      </w:r>
      <w:r w:rsidRPr="007215E1">
        <w:rPr>
          <w:rFonts w:cs="Times New Roman"/>
          <w:i/>
          <w:iCs/>
          <w:noProof/>
          <w:szCs w:val="24"/>
        </w:rPr>
        <w:t>Transborder Pastoral Nomadism and Human Security in Africa</w:t>
      </w:r>
      <w:r w:rsidRPr="007215E1">
        <w:rPr>
          <w:rFonts w:cs="Times New Roman"/>
          <w:noProof/>
          <w:szCs w:val="24"/>
        </w:rPr>
        <w:t>, 87–106. https://doi.org/10.4324/9781003231042-11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Caceres, N., &amp; Benitez, F. G. (2018). Supervised Land Use Inference from Mobility Patterns. </w:t>
      </w:r>
      <w:r w:rsidRPr="007215E1">
        <w:rPr>
          <w:rFonts w:cs="Times New Roman"/>
          <w:i/>
          <w:iCs/>
          <w:noProof/>
          <w:szCs w:val="24"/>
        </w:rPr>
        <w:lastRenderedPageBreak/>
        <w:t>Journal of Advanced Transportation</w:t>
      </w:r>
      <w:r w:rsidRPr="007215E1">
        <w:rPr>
          <w:rFonts w:cs="Times New Roman"/>
          <w:noProof/>
          <w:szCs w:val="24"/>
        </w:rPr>
        <w:t xml:space="preserve">, </w:t>
      </w:r>
      <w:r w:rsidRPr="007215E1">
        <w:rPr>
          <w:rFonts w:cs="Times New Roman"/>
          <w:i/>
          <w:iCs/>
          <w:noProof/>
          <w:szCs w:val="24"/>
        </w:rPr>
        <w:t>2018</w:t>
      </w:r>
      <w:r w:rsidRPr="007215E1">
        <w:rPr>
          <w:rFonts w:cs="Times New Roman"/>
          <w:noProof/>
          <w:szCs w:val="24"/>
        </w:rPr>
        <w:t>. https://doi.org/10.1155/2018/8710402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Castles, S. (2002). Environmental Change and Forced Migration: Making Sense of the Debate. </w:t>
      </w:r>
      <w:r w:rsidRPr="007215E1">
        <w:rPr>
          <w:rFonts w:cs="Times New Roman"/>
          <w:i/>
          <w:iCs/>
          <w:noProof/>
          <w:szCs w:val="24"/>
        </w:rPr>
        <w:t>New Issues in Refugee Research</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Castles, S., de Haas, H., &amp; Miller, M. (2014). </w:t>
      </w:r>
      <w:r w:rsidRPr="007215E1">
        <w:rPr>
          <w:rFonts w:cs="Times New Roman"/>
          <w:i/>
          <w:iCs/>
          <w:noProof/>
          <w:szCs w:val="24"/>
        </w:rPr>
        <w:t>Theories of Migration</w:t>
      </w:r>
      <w:r w:rsidRPr="007215E1">
        <w:rPr>
          <w:rFonts w:cs="Times New Roman"/>
          <w:noProof/>
          <w:szCs w:val="24"/>
        </w:rPr>
        <w:t xml:space="preserve"> (pp. 25–54). https://doi.org/10.1007/978-0-230-36639-8_2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Castles, S., &amp; Miller, M. J. (1998). The Migratory Process: A Comparison of Australia and Germany. </w:t>
      </w:r>
      <w:r w:rsidRPr="007215E1">
        <w:rPr>
          <w:rFonts w:cs="Times New Roman"/>
          <w:i/>
          <w:iCs/>
          <w:noProof/>
          <w:szCs w:val="24"/>
        </w:rPr>
        <w:t>The Age of Migration</w:t>
      </w:r>
      <w:r w:rsidRPr="007215E1">
        <w:rPr>
          <w:rFonts w:cs="Times New Roman"/>
          <w:noProof/>
          <w:szCs w:val="24"/>
        </w:rPr>
        <w:t>, 185–211. https://doi.org/10.1007/978-1-349-26846-7_8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Chambers, R., &amp; Conway, G. (1992). </w:t>
      </w:r>
      <w:r w:rsidRPr="007215E1">
        <w:rPr>
          <w:rFonts w:cs="Times New Roman"/>
          <w:i/>
          <w:iCs/>
          <w:noProof/>
          <w:szCs w:val="24"/>
        </w:rPr>
        <w:t>Sustainable rural livelihoods: practical concepts for the 21st century</w:t>
      </w:r>
      <w:r w:rsidRPr="007215E1">
        <w:rPr>
          <w:rFonts w:cs="Times New Roman"/>
          <w:noProof/>
          <w:szCs w:val="24"/>
        </w:rPr>
        <w:t>. Institute of Development Studies (UK).</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Charrièrre, F., &amp; Fresia, M. (2008). West Africa as a Migration and Protection area. </w:t>
      </w:r>
      <w:r w:rsidRPr="007215E1">
        <w:rPr>
          <w:rFonts w:cs="Times New Roman"/>
          <w:i/>
          <w:iCs/>
          <w:noProof/>
          <w:szCs w:val="24"/>
        </w:rPr>
        <w:t>UN High Commissioner for Refugees (UNHCR)</w:t>
      </w:r>
      <w:r w:rsidRPr="007215E1">
        <w:rPr>
          <w:rFonts w:cs="Times New Roman"/>
          <w:noProof/>
          <w:szCs w:val="24"/>
        </w:rPr>
        <w:t>. http://www.refworld.org/docid/4a277db82.html</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Chemura, A., Schauberger, B., &amp; Gornott, C. (2020). Impacts of climate change on agro-climatic suitability of major food crops in Ghana. </w:t>
      </w:r>
      <w:r w:rsidRPr="007215E1">
        <w:rPr>
          <w:rFonts w:cs="Times New Roman"/>
          <w:i/>
          <w:iCs/>
          <w:noProof/>
          <w:szCs w:val="24"/>
        </w:rPr>
        <w:t>PLoS ONE</w:t>
      </w:r>
      <w:r w:rsidRPr="007215E1">
        <w:rPr>
          <w:rFonts w:cs="Times New Roman"/>
          <w:noProof/>
          <w:szCs w:val="24"/>
        </w:rPr>
        <w:t xml:space="preserve">, </w:t>
      </w:r>
      <w:r w:rsidRPr="007215E1">
        <w:rPr>
          <w:rFonts w:cs="Times New Roman"/>
          <w:i/>
          <w:iCs/>
          <w:noProof/>
          <w:szCs w:val="24"/>
        </w:rPr>
        <w:t>15</w:t>
      </w:r>
      <w:r w:rsidRPr="007215E1">
        <w:rPr>
          <w:rFonts w:cs="Times New Roman"/>
          <w:noProof/>
          <w:szCs w:val="24"/>
        </w:rPr>
        <w:t>(6), 1–21. https://doi.org/10.1371/journal.pone.0229881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Cochrane, L., &amp; Corbett, J. (2018). </w:t>
      </w:r>
      <w:r w:rsidRPr="007215E1">
        <w:rPr>
          <w:rFonts w:cs="Times New Roman"/>
          <w:i/>
          <w:iCs/>
          <w:noProof/>
          <w:szCs w:val="24"/>
        </w:rPr>
        <w:t>Participatory Mapping BT  - Handbook of Communication for Development and Social Change</w:t>
      </w:r>
      <w:r w:rsidRPr="007215E1">
        <w:rPr>
          <w:rFonts w:cs="Times New Roman"/>
          <w:noProof/>
          <w:szCs w:val="24"/>
        </w:rPr>
        <w:t xml:space="preserve"> (J. Servaes (ed.); pp. 1–9). Springer Singapore. https://doi.org/10.1007/978-981-10-7035-8_6-1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Cochrane, L., &amp; Corbett, J. (2020). Handbook of Communication for Development and Social Change. </w:t>
      </w:r>
      <w:r w:rsidRPr="007215E1">
        <w:rPr>
          <w:rFonts w:cs="Times New Roman"/>
          <w:i/>
          <w:iCs/>
          <w:noProof/>
          <w:szCs w:val="24"/>
        </w:rPr>
        <w:t>Handbook of Communication for Development and Social Change</w:t>
      </w:r>
      <w:r w:rsidRPr="007215E1">
        <w:rPr>
          <w:rFonts w:cs="Times New Roman"/>
          <w:noProof/>
          <w:szCs w:val="24"/>
        </w:rPr>
        <w:t xml:space="preserve">, </w:t>
      </w:r>
      <w:r w:rsidRPr="007215E1">
        <w:rPr>
          <w:rFonts w:cs="Times New Roman"/>
          <w:i/>
          <w:iCs/>
          <w:noProof/>
          <w:szCs w:val="24"/>
        </w:rPr>
        <w:t>August 2018</w:t>
      </w:r>
      <w:r w:rsidRPr="007215E1">
        <w:rPr>
          <w:rFonts w:cs="Times New Roman"/>
          <w:noProof/>
          <w:szCs w:val="24"/>
        </w:rPr>
        <w:t>. https://doi.org/10.1007/978-981-10-7035-8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Coulter, R., Ham, M. van, &amp; Findlay, A. M. (2016). Re-thinking residential mobility: Linking lives through time and space. </w:t>
      </w:r>
      <w:r w:rsidRPr="007215E1">
        <w:rPr>
          <w:rFonts w:cs="Times New Roman"/>
          <w:i/>
          <w:iCs/>
          <w:noProof/>
          <w:szCs w:val="24"/>
        </w:rPr>
        <w:t>Progress in Human Geography</w:t>
      </w:r>
      <w:r w:rsidRPr="007215E1">
        <w:rPr>
          <w:rFonts w:cs="Times New Roman"/>
          <w:noProof/>
          <w:szCs w:val="24"/>
        </w:rPr>
        <w:t xml:space="preserve">, </w:t>
      </w:r>
      <w:r w:rsidRPr="007215E1">
        <w:rPr>
          <w:rFonts w:cs="Times New Roman"/>
          <w:i/>
          <w:iCs/>
          <w:noProof/>
          <w:szCs w:val="24"/>
        </w:rPr>
        <w:t>40</w:t>
      </w:r>
      <w:r w:rsidRPr="007215E1">
        <w:rPr>
          <w:rFonts w:cs="Times New Roman"/>
          <w:noProof/>
          <w:szCs w:val="24"/>
        </w:rPr>
        <w:t xml:space="preserve">(3), 352–374. </w:t>
      </w:r>
      <w:r w:rsidRPr="007215E1">
        <w:rPr>
          <w:rFonts w:cs="Times New Roman"/>
          <w:noProof/>
          <w:szCs w:val="24"/>
        </w:rPr>
        <w:lastRenderedPageBreak/>
        <w:t>https://doi.org/10.1177/0309132515575417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Couzin, R. (2019). Framing and context. In </w:t>
      </w:r>
      <w:r w:rsidRPr="007215E1">
        <w:rPr>
          <w:rFonts w:cs="Times New Roman"/>
          <w:i/>
          <w:iCs/>
          <w:noProof/>
          <w:szCs w:val="24"/>
        </w:rPr>
        <w:t>The Traditio Legis: Anatomy of an Image</w:t>
      </w:r>
      <w:r w:rsidRPr="007215E1">
        <w:rPr>
          <w:rFonts w:cs="Times New Roman"/>
          <w:noProof/>
          <w:szCs w:val="24"/>
        </w:rPr>
        <w:t>. https://doi.org/10.2307/j.ctvr43k9j.13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Creswell, J. W., &amp; Creswell, J. D. (2018). </w:t>
      </w:r>
      <w:r w:rsidRPr="007215E1">
        <w:rPr>
          <w:rFonts w:cs="Times New Roman"/>
          <w:i/>
          <w:iCs/>
          <w:noProof/>
          <w:szCs w:val="24"/>
        </w:rPr>
        <w:t>Research design: Qualitative, and mixed methods approaches</w:t>
      </w:r>
      <w:r w:rsidRPr="007215E1">
        <w:rPr>
          <w:rFonts w:cs="Times New Roman"/>
          <w:noProof/>
          <w:szCs w:val="24"/>
        </w:rPr>
        <w:t>. Sage publications.</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Dankwa, P., Cudjoe, E., Amuah, E. E. Y., Kazapoe, R. W., &amp; Agyemang, E. P. (2021). Analyzing and forecasting rainfall patterns in the Manga-Bawku area, northeastern Ghana: Possible implication of climate change. In </w:t>
      </w:r>
      <w:r w:rsidRPr="007215E1">
        <w:rPr>
          <w:rFonts w:cs="Times New Roman"/>
          <w:i/>
          <w:iCs/>
          <w:noProof/>
          <w:szCs w:val="24"/>
        </w:rPr>
        <w:t>Environmental Challenges</w:t>
      </w:r>
      <w:r w:rsidRPr="007215E1">
        <w:rPr>
          <w:rFonts w:cs="Times New Roman"/>
          <w:noProof/>
          <w:szCs w:val="24"/>
        </w:rPr>
        <w:t xml:space="preserve"> (Vol. 5). https://doi.org/10.1016/j.envc.2021.100354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de Sherbinin, A., Grace, K., McDermid, S., van der Geest, K., Puma, M. J., &amp; Bell, A. (2022). Migration Theory in Climate Mobility Research. </w:t>
      </w:r>
      <w:r w:rsidRPr="007215E1">
        <w:rPr>
          <w:rFonts w:cs="Times New Roman"/>
          <w:i/>
          <w:iCs/>
          <w:noProof/>
          <w:szCs w:val="24"/>
        </w:rPr>
        <w:t>Frontiers in Climate</w:t>
      </w:r>
      <w:r w:rsidRPr="007215E1">
        <w:rPr>
          <w:rFonts w:cs="Times New Roman"/>
          <w:noProof/>
          <w:szCs w:val="24"/>
        </w:rPr>
        <w:t xml:space="preserve">, </w:t>
      </w:r>
      <w:r w:rsidRPr="007215E1">
        <w:rPr>
          <w:rFonts w:cs="Times New Roman"/>
          <w:i/>
          <w:iCs/>
          <w:noProof/>
          <w:szCs w:val="24"/>
        </w:rPr>
        <w:t>4</w:t>
      </w:r>
      <w:r w:rsidRPr="007215E1">
        <w:rPr>
          <w:rFonts w:cs="Times New Roman"/>
          <w:noProof/>
          <w:szCs w:val="24"/>
        </w:rPr>
        <w:t>(May). https://doi.org/10.3389/fclim.2022.882343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Denzin, N. K., Lincoln, Y. S., Giardina, M. D., &amp; Cannella, G. S. (2023). </w:t>
      </w:r>
      <w:r w:rsidRPr="007215E1">
        <w:rPr>
          <w:rFonts w:cs="Times New Roman"/>
          <w:i/>
          <w:iCs/>
          <w:noProof/>
          <w:szCs w:val="24"/>
        </w:rPr>
        <w:t>The Sage handbook of qualitative research</w:t>
      </w:r>
      <w:r w:rsidRPr="007215E1">
        <w:rPr>
          <w:rFonts w:cs="Times New Roman"/>
          <w:noProof/>
          <w:szCs w:val="24"/>
        </w:rPr>
        <w:t>. Sage publications.</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Derbile, E. K. (2010). </w:t>
      </w:r>
      <w:r w:rsidRPr="007215E1">
        <w:rPr>
          <w:rFonts w:cs="Times New Roman"/>
          <w:i/>
          <w:iCs/>
          <w:noProof/>
          <w:szCs w:val="24"/>
        </w:rPr>
        <w:t>Local Knowledge and Livelihood Sustainability under Environmental Change in Northern Ghana</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Dong, S., Wen, L., Liu, S., Zhang, X., Lassoie, J. P., Yi, S., Li, X., Li, J., &amp; Li, Y. (2011). Vulnerability of worldwide pastoralism to global changes and interdisciplinary strategies for sustainable pastoralism. </w:t>
      </w:r>
      <w:r w:rsidRPr="007215E1">
        <w:rPr>
          <w:rFonts w:cs="Times New Roman"/>
          <w:i/>
          <w:iCs/>
          <w:noProof/>
          <w:szCs w:val="24"/>
        </w:rPr>
        <w:t>Ecology and Society</w:t>
      </w:r>
      <w:r w:rsidRPr="007215E1">
        <w:rPr>
          <w:rFonts w:cs="Times New Roman"/>
          <w:noProof/>
          <w:szCs w:val="24"/>
        </w:rPr>
        <w:t xml:space="preserve">, </w:t>
      </w:r>
      <w:r w:rsidRPr="007215E1">
        <w:rPr>
          <w:rFonts w:cs="Times New Roman"/>
          <w:i/>
          <w:iCs/>
          <w:noProof/>
          <w:szCs w:val="24"/>
        </w:rPr>
        <w:t>16</w:t>
      </w:r>
      <w:r w:rsidRPr="007215E1">
        <w:rPr>
          <w:rFonts w:cs="Times New Roman"/>
          <w:noProof/>
          <w:szCs w:val="24"/>
        </w:rPr>
        <w:t>(2). https://doi.org/10.5751/ES-04093-160210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Downs, F. S. (1990). Handbook of Research Methodology. In </w:t>
      </w:r>
      <w:r w:rsidRPr="007215E1">
        <w:rPr>
          <w:rFonts w:cs="Times New Roman"/>
          <w:i/>
          <w:iCs/>
          <w:noProof/>
          <w:szCs w:val="24"/>
        </w:rPr>
        <w:t>Dimensions Of Critical Care Nursing</w:t>
      </w:r>
      <w:r w:rsidRPr="007215E1">
        <w:rPr>
          <w:rFonts w:cs="Times New Roman"/>
          <w:noProof/>
          <w:szCs w:val="24"/>
        </w:rPr>
        <w:t xml:space="preserve"> (Vol. 9, Issue 1). https://doi.org/10.1097/00003465-199001000-00018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Draper, J. (2019). </w:t>
      </w:r>
      <w:r w:rsidRPr="007215E1">
        <w:rPr>
          <w:rFonts w:cs="Times New Roman"/>
          <w:i/>
          <w:iCs/>
          <w:noProof/>
          <w:szCs w:val="24"/>
        </w:rPr>
        <w:t>Justice in Climate-Induced Migration and Displacement</w:t>
      </w:r>
      <w:r w:rsidRPr="007215E1">
        <w:rPr>
          <w:rFonts w:cs="Times New Roman"/>
          <w:noProof/>
          <w:szCs w:val="24"/>
        </w:rPr>
        <w:t xml:space="preserve">. </w:t>
      </w:r>
      <w:r w:rsidRPr="007215E1">
        <w:rPr>
          <w:rFonts w:cs="Times New Roman"/>
          <w:i/>
          <w:iCs/>
          <w:noProof/>
          <w:szCs w:val="24"/>
        </w:rPr>
        <w:t>December</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Durand-Delacre, D. (2022). (Mis)representing climate mobilities: lessons from documentary filmmaking. </w:t>
      </w:r>
      <w:r w:rsidRPr="007215E1">
        <w:rPr>
          <w:rFonts w:cs="Times New Roman"/>
          <w:i/>
          <w:iCs/>
          <w:noProof/>
          <w:szCs w:val="24"/>
        </w:rPr>
        <w:t>Journal of Ethnic and Migration Studies</w:t>
      </w:r>
      <w:r w:rsidRPr="007215E1">
        <w:rPr>
          <w:rFonts w:cs="Times New Roman"/>
          <w:noProof/>
          <w:szCs w:val="24"/>
        </w:rPr>
        <w:t xml:space="preserve">, </w:t>
      </w:r>
      <w:r w:rsidRPr="007215E1">
        <w:rPr>
          <w:rFonts w:cs="Times New Roman"/>
          <w:i/>
          <w:iCs/>
          <w:noProof/>
          <w:szCs w:val="24"/>
        </w:rPr>
        <w:t>48</w:t>
      </w:r>
      <w:r w:rsidRPr="007215E1">
        <w:rPr>
          <w:rFonts w:cs="Times New Roman"/>
          <w:noProof/>
          <w:szCs w:val="24"/>
        </w:rPr>
        <w:t>(14), 3397–3415. https://doi.org/10.1080/1369183X.2022.2066260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EPA. (2015). </w:t>
      </w:r>
      <w:r w:rsidRPr="007215E1">
        <w:rPr>
          <w:rFonts w:cs="Times New Roman"/>
          <w:i/>
          <w:iCs/>
          <w:noProof/>
          <w:szCs w:val="24"/>
        </w:rPr>
        <w:t>Initial national communication to the United Nations Framework Convention on Climate Change: Government of the Republic of Ghana, Accra</w:t>
      </w:r>
      <w:r w:rsidRPr="007215E1">
        <w:rPr>
          <w:rFonts w:cs="Times New Roman"/>
          <w:noProof/>
          <w:szCs w:val="24"/>
        </w:rPr>
        <w:t>. 1–162.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Essex, B., Koop, S. H. A., &amp; Van Leeuwen, C. J. (2020). Proposal for a National Blueprint Framework to Monitor Progress on Water-Related Sustainable Development Goals in Europe. </w:t>
      </w:r>
      <w:r w:rsidRPr="007215E1">
        <w:rPr>
          <w:rFonts w:cs="Times New Roman"/>
          <w:i/>
          <w:iCs/>
          <w:noProof/>
          <w:szCs w:val="24"/>
        </w:rPr>
        <w:t>Environmental Management</w:t>
      </w:r>
      <w:r w:rsidRPr="007215E1">
        <w:rPr>
          <w:rFonts w:cs="Times New Roman"/>
          <w:noProof/>
          <w:szCs w:val="24"/>
        </w:rPr>
        <w:t xml:space="preserve">, </w:t>
      </w:r>
      <w:r w:rsidRPr="007215E1">
        <w:rPr>
          <w:rFonts w:cs="Times New Roman"/>
          <w:i/>
          <w:iCs/>
          <w:noProof/>
          <w:szCs w:val="24"/>
        </w:rPr>
        <w:t>65</w:t>
      </w:r>
      <w:r w:rsidRPr="007215E1">
        <w:rPr>
          <w:rFonts w:cs="Times New Roman"/>
          <w:noProof/>
          <w:szCs w:val="24"/>
        </w:rPr>
        <w:t>(1), 1–18. https://doi.org/10.1007/s00267-019-01231-1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Esther G. Kimaro1, 2, Siobhan M. Mor1, 3and Jenny-Ann L. M. L. Toribio. (2018). </w:t>
      </w:r>
      <w:r w:rsidRPr="007215E1">
        <w:rPr>
          <w:rFonts w:cs="Times New Roman"/>
          <w:i/>
          <w:iCs/>
          <w:noProof/>
          <w:szCs w:val="24"/>
        </w:rPr>
        <w:t>Climate change perception and impacts on cattle production in pastoral communities of northern Tanzania - s13570-018-0125-5.pdf</w:t>
      </w:r>
      <w:r w:rsidRPr="007215E1">
        <w:rPr>
          <w:rFonts w:cs="Times New Roman"/>
          <w:noProof/>
          <w:szCs w:val="24"/>
        </w:rPr>
        <w:t>. https://doi.org/https://doi.org/10.1186/s13570-018-0125-5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Etienne, P. (2013). From “Primitive Migration” to “Climate Refugees”: The Curious Fate of the Natural Environment in Migration Studies. </w:t>
      </w:r>
      <w:r w:rsidRPr="007215E1">
        <w:rPr>
          <w:rFonts w:cs="Times New Roman"/>
          <w:i/>
          <w:iCs/>
          <w:noProof/>
          <w:szCs w:val="24"/>
        </w:rPr>
        <w:t>Annals of the Association of American Geographers</w:t>
      </w:r>
      <w:r w:rsidRPr="007215E1">
        <w:rPr>
          <w:rFonts w:cs="Times New Roman"/>
          <w:noProof/>
          <w:szCs w:val="24"/>
        </w:rPr>
        <w:t xml:space="preserve">, </w:t>
      </w:r>
      <w:r w:rsidRPr="007215E1">
        <w:rPr>
          <w:rFonts w:cs="Times New Roman"/>
          <w:i/>
          <w:iCs/>
          <w:noProof/>
          <w:szCs w:val="24"/>
        </w:rPr>
        <w:t>103</w:t>
      </w:r>
      <w:r w:rsidRPr="007215E1">
        <w:rPr>
          <w:rFonts w:cs="Times New Roman"/>
          <w:noProof/>
          <w:szCs w:val="24"/>
        </w:rPr>
        <w:t>(1), 148–162. https://doi.org/10.1080/00045608.2012.696233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Faist, T., &amp; Schade, J. (2015). Disentangling Migration and Climate Change: Methodologies, political discourses and human rights. </w:t>
      </w:r>
      <w:r w:rsidRPr="007215E1">
        <w:rPr>
          <w:rFonts w:cs="Times New Roman"/>
          <w:i/>
          <w:iCs/>
          <w:noProof/>
          <w:szCs w:val="24"/>
        </w:rPr>
        <w:t>Disentangling Migration and Climate Change: Methodologies, Political Discourses and Human Rights</w:t>
      </w:r>
      <w:r w:rsidRPr="007215E1">
        <w:rPr>
          <w:rFonts w:cs="Times New Roman"/>
          <w:noProof/>
          <w:szCs w:val="24"/>
        </w:rPr>
        <w:t>, 1–259. https://doi.org/10.1007/978-94-007-6208-4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FAO. (2017). SUSTAINABLE PASTORALISM AND RANGELANDS IN AFRICA. </w:t>
      </w:r>
      <w:r w:rsidRPr="007215E1">
        <w:rPr>
          <w:rFonts w:cs="Times New Roman"/>
          <w:i/>
          <w:iCs/>
          <w:noProof/>
          <w:szCs w:val="24"/>
        </w:rPr>
        <w:t>Sustainable Pastoralism and Rangelands in Africa</w:t>
      </w:r>
      <w:r w:rsidRPr="007215E1">
        <w:rPr>
          <w:rFonts w:cs="Times New Roman"/>
          <w:noProof/>
          <w:szCs w:val="24"/>
        </w:rPr>
        <w:t xml:space="preserve">, </w:t>
      </w:r>
      <w:r w:rsidRPr="007215E1">
        <w:rPr>
          <w:rFonts w:cs="Times New Roman"/>
          <w:i/>
          <w:iCs/>
          <w:noProof/>
          <w:szCs w:val="24"/>
        </w:rPr>
        <w:t>31</w:t>
      </w:r>
      <w:r w:rsidRPr="007215E1">
        <w:rPr>
          <w:rFonts w:cs="Times New Roman"/>
          <w:noProof/>
          <w:szCs w:val="24"/>
        </w:rPr>
        <w:t>(2), 51–55.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FAO. (2019). </w:t>
      </w:r>
      <w:r w:rsidRPr="007215E1">
        <w:rPr>
          <w:rFonts w:cs="Times New Roman"/>
          <w:i/>
          <w:iCs/>
          <w:noProof/>
          <w:szCs w:val="24"/>
        </w:rPr>
        <w:t xml:space="preserve">Cross-border coordination of livestock movements and sharing of natural </w:t>
      </w:r>
      <w:r w:rsidRPr="007215E1">
        <w:rPr>
          <w:rFonts w:cs="Times New Roman"/>
          <w:i/>
          <w:iCs/>
          <w:noProof/>
          <w:szCs w:val="24"/>
        </w:rPr>
        <w:lastRenderedPageBreak/>
        <w:t>resources among pastoralist communities in the Greater Karamoja Cluster</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FAO. (2020). </w:t>
      </w:r>
      <w:r w:rsidRPr="007215E1">
        <w:rPr>
          <w:rFonts w:cs="Times New Roman"/>
          <w:i/>
          <w:iCs/>
          <w:noProof/>
          <w:szCs w:val="24"/>
        </w:rPr>
        <w:t>IFAD / FAO Engagement in Pastoral Development ( 2003-2013 ). Joint Evaluation Synthesis Office of Evaluation Independent Office of Evaluation FAO ’ s and IFAD ’ s Engagement in Pastoral Development J O I N T E VA LUAT I O N SY N T H E S I S</w:t>
      </w:r>
      <w:r w:rsidRPr="007215E1">
        <w:rPr>
          <w:rFonts w:cs="Times New Roman"/>
          <w:noProof/>
          <w:szCs w:val="24"/>
        </w:rPr>
        <w:t xml:space="preserve">. </w:t>
      </w:r>
      <w:r w:rsidRPr="007215E1">
        <w:rPr>
          <w:rFonts w:cs="Times New Roman"/>
          <w:i/>
          <w:iCs/>
          <w:noProof/>
          <w:szCs w:val="24"/>
        </w:rPr>
        <w:t>February 2016</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Fleming, J. R. (1998). The Climatic Determinism of Ellsworth Huntington. In J. R. Fleming (Ed.), </w:t>
      </w:r>
      <w:r w:rsidRPr="007215E1">
        <w:rPr>
          <w:rFonts w:cs="Times New Roman"/>
          <w:i/>
          <w:iCs/>
          <w:noProof/>
          <w:szCs w:val="24"/>
        </w:rPr>
        <w:t>Historical Perspectives on Climate Change</w:t>
      </w:r>
      <w:r w:rsidRPr="007215E1">
        <w:rPr>
          <w:rFonts w:cs="Times New Roman"/>
          <w:noProof/>
          <w:szCs w:val="24"/>
        </w:rPr>
        <w:t xml:space="preserve"> (p. 0). Oxford University Press. https://doi.org/10.1093/oso/9780195078701.003.0013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Flintan, F. E., Robinson, L. W., &amp; Allen, M. (2021). </w:t>
      </w:r>
      <w:r w:rsidRPr="007215E1">
        <w:rPr>
          <w:rFonts w:cs="Times New Roman"/>
          <w:i/>
          <w:iCs/>
          <w:noProof/>
          <w:szCs w:val="24"/>
        </w:rPr>
        <w:t>A review of tenure and governance in the pastoral lands of East and West Africa</w:t>
      </w:r>
      <w:r w:rsidRPr="007215E1">
        <w:rPr>
          <w:rFonts w:cs="Times New Roman"/>
          <w:noProof/>
          <w:szCs w:val="24"/>
        </w:rPr>
        <w:t xml:space="preserve">. </w:t>
      </w:r>
      <w:r w:rsidRPr="007215E1">
        <w:rPr>
          <w:rFonts w:cs="Times New Roman"/>
          <w:i/>
          <w:iCs/>
          <w:noProof/>
          <w:szCs w:val="24"/>
        </w:rPr>
        <w:t>December</w:t>
      </w:r>
      <w:r w:rsidRPr="007215E1">
        <w:rPr>
          <w:rFonts w:cs="Times New Roman"/>
          <w:noProof/>
          <w:szCs w:val="24"/>
        </w:rPr>
        <w:t>. https://hdl.handle.net/10568/117697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Forestry Commission. (2016). </w:t>
      </w:r>
      <w:r w:rsidRPr="007215E1">
        <w:rPr>
          <w:rFonts w:cs="Times New Roman"/>
          <w:i/>
          <w:iCs/>
          <w:noProof/>
          <w:szCs w:val="24"/>
        </w:rPr>
        <w:t>Ghana REDD + Strategy (2016-2035)</w:t>
      </w:r>
      <w:r w:rsidRPr="007215E1">
        <w:rPr>
          <w:rFonts w:cs="Times New Roman"/>
          <w:noProof/>
          <w:szCs w:val="24"/>
        </w:rPr>
        <w:t>. 101. http://extwprlegs1.fao.org/docs/pdf/gha178876.pdf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Fratkin, E. (2001). East African Pastoralism in Transition: Maasai, Boran, and Rendille Cases. </w:t>
      </w:r>
      <w:r w:rsidRPr="007215E1">
        <w:rPr>
          <w:rFonts w:cs="Times New Roman"/>
          <w:i/>
          <w:iCs/>
          <w:noProof/>
          <w:szCs w:val="24"/>
        </w:rPr>
        <w:t>African Studies Review</w:t>
      </w:r>
      <w:r w:rsidRPr="007215E1">
        <w:rPr>
          <w:rFonts w:cs="Times New Roman"/>
          <w:noProof/>
          <w:szCs w:val="24"/>
        </w:rPr>
        <w:t xml:space="preserve">, </w:t>
      </w:r>
      <w:r w:rsidRPr="007215E1">
        <w:rPr>
          <w:rFonts w:cs="Times New Roman"/>
          <w:i/>
          <w:iCs/>
          <w:noProof/>
          <w:szCs w:val="24"/>
        </w:rPr>
        <w:t>44</w:t>
      </w:r>
      <w:r w:rsidRPr="007215E1">
        <w:rPr>
          <w:rFonts w:cs="Times New Roman"/>
          <w:noProof/>
          <w:szCs w:val="24"/>
        </w:rPr>
        <w:t>, 1. https://doi.org/10.2307/525591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Friedlingstein, P., O’Sullivan, M., Jones, M. W., Andrew, R. M., Hauck, J., Olsen, A., Peters, G. P., Peters, W., Pongratz, J., Sitch, S., Le Quéré, C., Canadell, J. G., Ciais, P., Jackson, R. B., Alin, S., Aragão, L. E. O. C., Arneth, A., Arora, V., Bates, N. R., … Zaehle, S. (2020). Global Carbon Budget 2020. </w:t>
      </w:r>
      <w:r w:rsidRPr="007215E1">
        <w:rPr>
          <w:rFonts w:cs="Times New Roman"/>
          <w:i/>
          <w:iCs/>
          <w:noProof/>
          <w:szCs w:val="24"/>
        </w:rPr>
        <w:t>Earth System Science Data</w:t>
      </w:r>
      <w:r w:rsidRPr="007215E1">
        <w:rPr>
          <w:rFonts w:cs="Times New Roman"/>
          <w:noProof/>
          <w:szCs w:val="24"/>
        </w:rPr>
        <w:t xml:space="preserve">, </w:t>
      </w:r>
      <w:r w:rsidRPr="007215E1">
        <w:rPr>
          <w:rFonts w:cs="Times New Roman"/>
          <w:i/>
          <w:iCs/>
          <w:noProof/>
          <w:szCs w:val="24"/>
        </w:rPr>
        <w:t>12</w:t>
      </w:r>
      <w:r w:rsidRPr="007215E1">
        <w:rPr>
          <w:rFonts w:cs="Times New Roman"/>
          <w:noProof/>
          <w:szCs w:val="24"/>
        </w:rPr>
        <w:t>(4), 3269–3340. https://doi.org/10.5194/essd-12-3269-2020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Gillin, K. (2021). Variability is not uncertainty; mobility is not flexibility: Clarifying concepts in pastoralism studies with evidence from Tajikistan. </w:t>
      </w:r>
      <w:r w:rsidRPr="007215E1">
        <w:rPr>
          <w:rFonts w:cs="Times New Roman"/>
          <w:i/>
          <w:iCs/>
          <w:noProof/>
          <w:szCs w:val="24"/>
        </w:rPr>
        <w:t>Pastoralism</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(1). https://doi.org/10.1186/s13570-021-00203-7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Gitz, V., Meybeck, A., Lipper, L., Young, C., &amp; Braatz, S. (2016). Climate change and food security: Risks and responses. In </w:t>
      </w:r>
      <w:r w:rsidRPr="007215E1">
        <w:rPr>
          <w:rFonts w:cs="Times New Roman"/>
          <w:i/>
          <w:iCs/>
          <w:noProof/>
          <w:szCs w:val="24"/>
        </w:rPr>
        <w:t>Food and Agriculture Organization of the United Nations</w:t>
      </w:r>
      <w:r w:rsidRPr="007215E1">
        <w:rPr>
          <w:rFonts w:cs="Times New Roman"/>
          <w:noProof/>
          <w:szCs w:val="24"/>
        </w:rPr>
        <w:t>. https://doi.org/10.1080/14767058.2017.1347921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Godde, C. M., Mason-D’Croz, D., Mayberry, D. E., Thornton, P. K., &amp; Herrero, M. (2021). Impacts of climate change on the livestock food supply chain; a review of the evidence. </w:t>
      </w:r>
      <w:r w:rsidRPr="007215E1">
        <w:rPr>
          <w:rFonts w:cs="Times New Roman"/>
          <w:i/>
          <w:iCs/>
          <w:noProof/>
          <w:szCs w:val="24"/>
        </w:rPr>
        <w:t>Global Food Security</w:t>
      </w:r>
      <w:r w:rsidRPr="007215E1">
        <w:rPr>
          <w:rFonts w:cs="Times New Roman"/>
          <w:noProof/>
          <w:szCs w:val="24"/>
        </w:rPr>
        <w:t xml:space="preserve">, </w:t>
      </w:r>
      <w:r w:rsidRPr="007215E1">
        <w:rPr>
          <w:rFonts w:cs="Times New Roman"/>
          <w:i/>
          <w:iCs/>
          <w:noProof/>
          <w:szCs w:val="24"/>
        </w:rPr>
        <w:t>28</w:t>
      </w:r>
      <w:r w:rsidRPr="007215E1">
        <w:rPr>
          <w:rFonts w:cs="Times New Roman"/>
          <w:noProof/>
          <w:szCs w:val="24"/>
        </w:rPr>
        <w:t>(October 2020), 100488. https://doi.org/10.1016/j.gfs.2020.100488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Griffee, D. T. (2012). An introduction to second language research methods. </w:t>
      </w:r>
      <w:r w:rsidRPr="007215E1">
        <w:rPr>
          <w:rFonts w:cs="Times New Roman"/>
          <w:i/>
          <w:iCs/>
          <w:noProof/>
          <w:szCs w:val="24"/>
        </w:rPr>
        <w:t>TESL-EJ Publications</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GSS. (2014). </w:t>
      </w:r>
      <w:r w:rsidRPr="007215E1">
        <w:rPr>
          <w:rFonts w:cs="Times New Roman"/>
          <w:i/>
          <w:iCs/>
          <w:noProof/>
          <w:szCs w:val="24"/>
        </w:rPr>
        <w:t>Gushiegu district</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Guba, E. G. (1990). The paradigm dialog. In E. G. Guba (Ed.), </w:t>
      </w:r>
      <w:r w:rsidRPr="007215E1">
        <w:rPr>
          <w:rFonts w:cs="Times New Roman"/>
          <w:i/>
          <w:iCs/>
          <w:noProof/>
          <w:szCs w:val="24"/>
        </w:rPr>
        <w:t>The paradigm dialog.</w:t>
      </w:r>
      <w:r w:rsidRPr="007215E1">
        <w:rPr>
          <w:rFonts w:cs="Times New Roman"/>
          <w:noProof/>
          <w:szCs w:val="24"/>
        </w:rPr>
        <w:t xml:space="preserve"> Sage Publications, Inc.</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Guba, E. G., &amp; Lincoln, Y. S. (1994). Competing paradigms in qualitative research. In </w:t>
      </w:r>
      <w:r w:rsidRPr="007215E1">
        <w:rPr>
          <w:rFonts w:cs="Times New Roman"/>
          <w:i/>
          <w:iCs/>
          <w:noProof/>
          <w:szCs w:val="24"/>
        </w:rPr>
        <w:t>Handbook of Qualitative Research</w:t>
      </w:r>
      <w:r w:rsidRPr="007215E1">
        <w:rPr>
          <w:rFonts w:cs="Times New Roman"/>
          <w:noProof/>
          <w:szCs w:val="24"/>
        </w:rPr>
        <w:t xml:space="preserve"> (pp. 273–285).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Habib, N., Ariyawardana, A., &amp; Aziz, A. A. (2023). The influence and impact of livelihood capitals on livelihood diversification strategies in developing countries: a systematic literature review. In </w:t>
      </w:r>
      <w:r w:rsidRPr="007215E1">
        <w:rPr>
          <w:rFonts w:cs="Times New Roman"/>
          <w:i/>
          <w:iCs/>
          <w:noProof/>
          <w:szCs w:val="24"/>
        </w:rPr>
        <w:t>Environmental Science and Pollution Research</w:t>
      </w:r>
      <w:r w:rsidRPr="007215E1">
        <w:rPr>
          <w:rFonts w:cs="Times New Roman"/>
          <w:noProof/>
          <w:szCs w:val="24"/>
        </w:rPr>
        <w:t>. https://doi.org/10.1007/s11356-023-27638-2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Habte, M., Eshetu, M., Maryo, M., Andualem, D., &amp; Legesse, A. (2022). Effects of climate variability on livestock productivity and pastoralists perception: The case of drought resilience in Southeastern Ethiopia. </w:t>
      </w:r>
      <w:r w:rsidRPr="007215E1">
        <w:rPr>
          <w:rFonts w:cs="Times New Roman"/>
          <w:i/>
          <w:iCs/>
          <w:noProof/>
          <w:szCs w:val="24"/>
        </w:rPr>
        <w:t>Veterinary and Animal Science</w:t>
      </w:r>
      <w:r w:rsidRPr="007215E1">
        <w:rPr>
          <w:rFonts w:cs="Times New Roman"/>
          <w:noProof/>
          <w:szCs w:val="24"/>
        </w:rPr>
        <w:t xml:space="preserve">, </w:t>
      </w:r>
      <w:r w:rsidRPr="007215E1">
        <w:rPr>
          <w:rFonts w:cs="Times New Roman"/>
          <w:i/>
          <w:iCs/>
          <w:noProof/>
          <w:szCs w:val="24"/>
        </w:rPr>
        <w:t>16</w:t>
      </w:r>
      <w:r w:rsidRPr="007215E1">
        <w:rPr>
          <w:rFonts w:cs="Times New Roman"/>
          <w:noProof/>
          <w:szCs w:val="24"/>
        </w:rPr>
        <w:t>, 100240. https://doi.org/10.1016/j.vas.2022.100240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Hampshire, K., &amp; Smith, M. (2001). Consanguineous Marriage among the Fulani. </w:t>
      </w:r>
      <w:r w:rsidRPr="007215E1">
        <w:rPr>
          <w:rFonts w:cs="Times New Roman"/>
          <w:i/>
          <w:iCs/>
          <w:noProof/>
          <w:szCs w:val="24"/>
        </w:rPr>
        <w:t xml:space="preserve">Human </w:t>
      </w:r>
      <w:r w:rsidRPr="007215E1">
        <w:rPr>
          <w:rFonts w:cs="Times New Roman"/>
          <w:i/>
          <w:iCs/>
          <w:noProof/>
          <w:szCs w:val="24"/>
        </w:rPr>
        <w:lastRenderedPageBreak/>
        <w:t>Biology</w:t>
      </w:r>
      <w:r w:rsidRPr="007215E1">
        <w:rPr>
          <w:rFonts w:cs="Times New Roman"/>
          <w:noProof/>
          <w:szCs w:val="24"/>
        </w:rPr>
        <w:t xml:space="preserve">, </w:t>
      </w:r>
      <w:r w:rsidRPr="007215E1">
        <w:rPr>
          <w:rFonts w:cs="Times New Roman"/>
          <w:i/>
          <w:iCs/>
          <w:noProof/>
          <w:szCs w:val="24"/>
        </w:rPr>
        <w:t>73</w:t>
      </w:r>
      <w:r w:rsidRPr="007215E1">
        <w:rPr>
          <w:rFonts w:cs="Times New Roman"/>
          <w:noProof/>
          <w:szCs w:val="24"/>
        </w:rPr>
        <w:t>, 597–603. https://doi.org/10.1353/hub.2001.0051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Harris, I., Osborn, T. J., Jones, P., &amp; Lister, D. (2020). Climate Change Knowledge Portal Report. </w:t>
      </w:r>
      <w:r w:rsidRPr="007215E1">
        <w:rPr>
          <w:rFonts w:cs="Times New Roman"/>
          <w:i/>
          <w:iCs/>
          <w:noProof/>
          <w:szCs w:val="24"/>
        </w:rPr>
        <w:t>Scientific Data</w:t>
      </w:r>
      <w:r w:rsidRPr="007215E1">
        <w:rPr>
          <w:rFonts w:cs="Times New Roman"/>
          <w:noProof/>
          <w:szCs w:val="24"/>
        </w:rPr>
        <w:t xml:space="preserve">, </w:t>
      </w:r>
      <w:r w:rsidRPr="007215E1">
        <w:rPr>
          <w:rFonts w:cs="Times New Roman"/>
          <w:i/>
          <w:iCs/>
          <w:noProof/>
          <w:szCs w:val="24"/>
        </w:rPr>
        <w:t>7</w:t>
      </w:r>
      <w:r w:rsidRPr="007215E1">
        <w:rPr>
          <w:rFonts w:cs="Times New Roman"/>
          <w:noProof/>
          <w:szCs w:val="24"/>
        </w:rPr>
        <w:t>(1).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Herbert, S., &amp; Birch, I. (2022). </w:t>
      </w:r>
      <w:r w:rsidRPr="007215E1">
        <w:rPr>
          <w:rFonts w:cs="Times New Roman"/>
          <w:i/>
          <w:iCs/>
          <w:noProof/>
          <w:szCs w:val="24"/>
        </w:rPr>
        <w:t>Cross-border pastoral mobility and cross-border conflict in Africa – patterns and policy responses. XCEPT Evidence Synthesis. Birmingham, UK: GSDRC, University of Birmingham.</w:t>
      </w:r>
      <w:r w:rsidRPr="007215E1">
        <w:rPr>
          <w:rFonts w:cs="Times New Roman"/>
          <w:noProof/>
          <w:szCs w:val="24"/>
        </w:rPr>
        <w:t xml:space="preserve"> </w:t>
      </w:r>
      <w:r w:rsidRPr="007215E1">
        <w:rPr>
          <w:rFonts w:cs="Times New Roman"/>
          <w:i/>
          <w:iCs/>
          <w:noProof/>
          <w:szCs w:val="24"/>
        </w:rPr>
        <w:t>January</w:t>
      </w:r>
      <w:r w:rsidRPr="007215E1">
        <w:rPr>
          <w:rFonts w:cs="Times New Roman"/>
          <w:noProof/>
          <w:szCs w:val="24"/>
        </w:rPr>
        <w:t>, 1–33.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Houessou, S. O., Dossa, L. H., Assogba, C. A., Diogo, R. V. C., Vanvanhossou, S. F. U., &amp; Schlecht, E. (2020). The role of cross-border transhumance in influencing resident herders’ cattle husbandry practices and use of genetic resources. </w:t>
      </w:r>
      <w:r w:rsidRPr="007215E1">
        <w:rPr>
          <w:rFonts w:cs="Times New Roman"/>
          <w:i/>
          <w:iCs/>
          <w:noProof/>
          <w:szCs w:val="24"/>
        </w:rPr>
        <w:t>Animal</w:t>
      </w:r>
      <w:r w:rsidRPr="007215E1">
        <w:rPr>
          <w:rFonts w:cs="Times New Roman"/>
          <w:noProof/>
          <w:szCs w:val="24"/>
        </w:rPr>
        <w:t xml:space="preserve">, </w:t>
      </w:r>
      <w:r w:rsidRPr="007215E1">
        <w:rPr>
          <w:rFonts w:cs="Times New Roman"/>
          <w:i/>
          <w:iCs/>
          <w:noProof/>
          <w:szCs w:val="24"/>
        </w:rPr>
        <w:t>14</w:t>
      </w:r>
      <w:r w:rsidRPr="007215E1">
        <w:rPr>
          <w:rFonts w:cs="Times New Roman"/>
          <w:noProof/>
          <w:szCs w:val="24"/>
        </w:rPr>
        <w:t>(11), 2378–2386. https://doi.org/10.1017/S1751731120001378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Hounet, Y. Ben, Brisebarre, A.-M., Guinand, S., &amp; Mellott, N. (2016). INTRODUCTION: THE MAKING OF HERITAGES AMONG NOMADIC, PASTORAL PEOPLES IN MUSLIM SOCIETIES. </w:t>
      </w:r>
      <w:r w:rsidRPr="007215E1">
        <w:rPr>
          <w:rFonts w:cs="Times New Roman"/>
          <w:i/>
          <w:iCs/>
          <w:noProof/>
          <w:szCs w:val="24"/>
        </w:rPr>
        <w:t>Nomadic Peoples</w:t>
      </w:r>
      <w:r w:rsidRPr="007215E1">
        <w:rPr>
          <w:rFonts w:cs="Times New Roman"/>
          <w:noProof/>
          <w:szCs w:val="24"/>
        </w:rPr>
        <w:t xml:space="preserve">, </w:t>
      </w:r>
      <w:r w:rsidRPr="007215E1">
        <w:rPr>
          <w:rFonts w:cs="Times New Roman"/>
          <w:i/>
          <w:iCs/>
          <w:noProof/>
          <w:szCs w:val="24"/>
        </w:rPr>
        <w:t>20</w:t>
      </w:r>
      <w:r w:rsidRPr="007215E1">
        <w:rPr>
          <w:rFonts w:cs="Times New Roman"/>
          <w:noProof/>
          <w:szCs w:val="24"/>
        </w:rPr>
        <w:t>(2), 163–175. http://www.jstor.org/stable/24772916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Ibrahim, B., &amp; Mensah, H. (2022). Rethinking climate migration in sub-Saharan Africa from the perspective of tripartite drivers of climate change. </w:t>
      </w:r>
      <w:r w:rsidRPr="007215E1">
        <w:rPr>
          <w:rFonts w:cs="Times New Roman"/>
          <w:i/>
          <w:iCs/>
          <w:noProof/>
          <w:szCs w:val="24"/>
        </w:rPr>
        <w:t>SN Social Sciences</w:t>
      </w:r>
      <w:r w:rsidRPr="007215E1">
        <w:rPr>
          <w:rFonts w:cs="Times New Roman"/>
          <w:noProof/>
          <w:szCs w:val="24"/>
        </w:rPr>
        <w:t xml:space="preserve">, </w:t>
      </w:r>
      <w:r w:rsidRPr="007215E1">
        <w:rPr>
          <w:rFonts w:cs="Times New Roman"/>
          <w:i/>
          <w:iCs/>
          <w:noProof/>
          <w:szCs w:val="24"/>
        </w:rPr>
        <w:t>2</w:t>
      </w:r>
      <w:r w:rsidRPr="007215E1">
        <w:rPr>
          <w:rFonts w:cs="Times New Roman"/>
          <w:noProof/>
          <w:szCs w:val="24"/>
        </w:rPr>
        <w:t>(6). https://doi.org/10.1007/s43545-022-00383-y</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Idehen, R. O., &amp; Ikuru, U. R. (2019). Migration and the Emerging Security Challenges in West Africa: Case of Fulani Herders/Sedentary Farmers Conflicts in Nigeria. </w:t>
      </w:r>
      <w:r w:rsidRPr="007215E1">
        <w:rPr>
          <w:rFonts w:cs="Times New Roman"/>
          <w:i/>
          <w:iCs/>
          <w:noProof/>
          <w:szCs w:val="24"/>
        </w:rPr>
        <w:t>AFRREV IJAH: An International Journal of Arts and Humanities</w:t>
      </w:r>
      <w:r w:rsidRPr="007215E1">
        <w:rPr>
          <w:rFonts w:cs="Times New Roman"/>
          <w:noProof/>
          <w:szCs w:val="24"/>
        </w:rPr>
        <w:t xml:space="preserve">, </w:t>
      </w:r>
      <w:r w:rsidRPr="007215E1">
        <w:rPr>
          <w:rFonts w:cs="Times New Roman"/>
          <w:i/>
          <w:iCs/>
          <w:noProof/>
          <w:szCs w:val="24"/>
        </w:rPr>
        <w:t>8</w:t>
      </w:r>
      <w:r w:rsidRPr="007215E1">
        <w:rPr>
          <w:rFonts w:cs="Times New Roman"/>
          <w:noProof/>
          <w:szCs w:val="24"/>
        </w:rPr>
        <w:t>(4), 128–137. https://doi.org/10.4314/ijah.v8i4.12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IDMC. (2018). </w:t>
      </w:r>
      <w:r w:rsidRPr="007215E1">
        <w:rPr>
          <w:rFonts w:cs="Times New Roman"/>
          <w:i/>
          <w:iCs/>
          <w:noProof/>
          <w:szCs w:val="24"/>
        </w:rPr>
        <w:t xml:space="preserve">THE WARSAW INTERNATIONAL MECHANISM FOR LOSS AND DAMAGE Synthesizing the state of knowledge to better understand displacement related to slow </w:t>
      </w:r>
      <w:r w:rsidRPr="007215E1">
        <w:rPr>
          <w:rFonts w:cs="Times New Roman"/>
          <w:i/>
          <w:iCs/>
          <w:noProof/>
          <w:szCs w:val="24"/>
        </w:rPr>
        <w:lastRenderedPageBreak/>
        <w:t>onset events Internal Displacement Monitoring Centre ( IDMC ) Task Force on Displacement Activity I . 2</w:t>
      </w:r>
      <w:r w:rsidRPr="007215E1">
        <w:rPr>
          <w:rFonts w:cs="Times New Roman"/>
          <w:noProof/>
          <w:szCs w:val="24"/>
        </w:rPr>
        <w:t xml:space="preserve">. </w:t>
      </w:r>
      <w:r w:rsidRPr="007215E1">
        <w:rPr>
          <w:rFonts w:cs="Times New Roman"/>
          <w:i/>
          <w:iCs/>
          <w:noProof/>
          <w:szCs w:val="24"/>
        </w:rPr>
        <w:t>Idmc</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Imenda, S. (2014). Is there a conceptual difference between theoretical and conceptual frameworks? </w:t>
      </w:r>
      <w:r w:rsidRPr="007215E1">
        <w:rPr>
          <w:rFonts w:cs="Times New Roman"/>
          <w:i/>
          <w:iCs/>
          <w:noProof/>
          <w:szCs w:val="24"/>
        </w:rPr>
        <w:t>Journal of Social Sciences</w:t>
      </w:r>
      <w:r w:rsidRPr="007215E1">
        <w:rPr>
          <w:rFonts w:cs="Times New Roman"/>
          <w:noProof/>
          <w:szCs w:val="24"/>
        </w:rPr>
        <w:t xml:space="preserve">, </w:t>
      </w:r>
      <w:r w:rsidRPr="007215E1">
        <w:rPr>
          <w:rFonts w:cs="Times New Roman"/>
          <w:i/>
          <w:iCs/>
          <w:noProof/>
          <w:szCs w:val="24"/>
        </w:rPr>
        <w:t>38</w:t>
      </w:r>
      <w:r w:rsidRPr="007215E1">
        <w:rPr>
          <w:rFonts w:cs="Times New Roman"/>
          <w:noProof/>
          <w:szCs w:val="24"/>
        </w:rPr>
        <w:t>(2), 185–195.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International Displacement Monitoring Centre. (2021). Global Report on Internal Displacement 2021: Internal displacement in a changing climate. </w:t>
      </w:r>
      <w:r w:rsidRPr="007215E1">
        <w:rPr>
          <w:rFonts w:cs="Times New Roman"/>
          <w:i/>
          <w:iCs/>
          <w:noProof/>
          <w:szCs w:val="24"/>
        </w:rPr>
        <w:t>Grid 2021</w:t>
      </w:r>
      <w:r w:rsidRPr="007215E1">
        <w:rPr>
          <w:rFonts w:cs="Times New Roman"/>
          <w:noProof/>
          <w:szCs w:val="24"/>
        </w:rPr>
        <w:t>. http://www.internal-displacement.org/global-report/grid2019/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IPCC. (2014). Climate Change 2014 Synthesis Report. In </w:t>
      </w:r>
      <w:r w:rsidRPr="007215E1">
        <w:rPr>
          <w:rFonts w:cs="Times New Roman"/>
          <w:i/>
          <w:iCs/>
          <w:noProof/>
          <w:szCs w:val="24"/>
        </w:rPr>
        <w:t>Journal of Crystal Growth: Vol. Fifth Asse</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IPCC. (2021). Climate Change 2021 – The Physical Science Basis. In </w:t>
      </w:r>
      <w:r w:rsidRPr="007215E1">
        <w:rPr>
          <w:rFonts w:cs="Times New Roman"/>
          <w:i/>
          <w:iCs/>
          <w:noProof/>
          <w:szCs w:val="24"/>
        </w:rPr>
        <w:t>Climate Change 2021 – The Physical Science Basis</w:t>
      </w:r>
      <w:r w:rsidRPr="007215E1">
        <w:rPr>
          <w:rFonts w:cs="Times New Roman"/>
          <w:noProof/>
          <w:szCs w:val="24"/>
        </w:rPr>
        <w:t>. https://doi.org/10.1017/9781009157896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IPCC. (2023). </w:t>
      </w:r>
      <w:r w:rsidRPr="007215E1">
        <w:rPr>
          <w:rFonts w:cs="Times New Roman"/>
          <w:i/>
          <w:iCs/>
          <w:noProof/>
          <w:szCs w:val="24"/>
        </w:rPr>
        <w:t>IPCC_AR6_SYR_SPM.pdf</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Issifu, A. K., Darko, F. D., &amp; Paalo, S. A. (2022). Climate change, migration and farmer–herder conflict in Ghana. </w:t>
      </w:r>
      <w:r w:rsidRPr="007215E1">
        <w:rPr>
          <w:rFonts w:cs="Times New Roman"/>
          <w:i/>
          <w:iCs/>
          <w:noProof/>
          <w:szCs w:val="24"/>
        </w:rPr>
        <w:t>Conflict Resolution Quarterly</w:t>
      </w:r>
      <w:r w:rsidRPr="007215E1">
        <w:rPr>
          <w:rFonts w:cs="Times New Roman"/>
          <w:noProof/>
          <w:szCs w:val="24"/>
        </w:rPr>
        <w:t xml:space="preserve">, </w:t>
      </w:r>
      <w:r w:rsidRPr="007215E1">
        <w:rPr>
          <w:rFonts w:cs="Times New Roman"/>
          <w:i/>
          <w:iCs/>
          <w:noProof/>
          <w:szCs w:val="24"/>
        </w:rPr>
        <w:t>39</w:t>
      </w:r>
      <w:r w:rsidRPr="007215E1">
        <w:rPr>
          <w:rFonts w:cs="Times New Roman"/>
          <w:noProof/>
          <w:szCs w:val="24"/>
        </w:rPr>
        <w:t>(4), 421–439. https://doi.org/10.1002/crq.21346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Jarawura, F. X. (2013). Drought And Migration In Northern Ghana. In </w:t>
      </w:r>
      <w:r w:rsidRPr="007215E1">
        <w:rPr>
          <w:rFonts w:cs="Times New Roman"/>
          <w:i/>
          <w:iCs/>
          <w:noProof/>
          <w:szCs w:val="24"/>
        </w:rPr>
        <w:t>UGSpace</w:t>
      </w:r>
      <w:r w:rsidRPr="007215E1">
        <w:rPr>
          <w:rFonts w:cs="Times New Roman"/>
          <w:noProof/>
          <w:szCs w:val="24"/>
        </w:rPr>
        <w:t xml:space="preserve"> (Issue 10359998). University of Ghana.</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Jarawura, F. X. (2014). Perceptions of drought among rural farmers in the Savelugu district in the northern Savannah of Ghana. </w:t>
      </w:r>
      <w:r w:rsidRPr="007215E1">
        <w:rPr>
          <w:rFonts w:cs="Times New Roman"/>
          <w:i/>
          <w:iCs/>
          <w:noProof/>
          <w:szCs w:val="24"/>
        </w:rPr>
        <w:t>Ghana Journal of Geography</w:t>
      </w:r>
      <w:r w:rsidRPr="007215E1">
        <w:rPr>
          <w:rFonts w:cs="Times New Roman"/>
          <w:noProof/>
          <w:szCs w:val="24"/>
        </w:rPr>
        <w:t xml:space="preserve">, </w:t>
      </w:r>
      <w:r w:rsidRPr="007215E1">
        <w:rPr>
          <w:rFonts w:cs="Times New Roman"/>
          <w:i/>
          <w:iCs/>
          <w:noProof/>
          <w:szCs w:val="24"/>
        </w:rPr>
        <w:t>6</w:t>
      </w:r>
      <w:r w:rsidRPr="007215E1">
        <w:rPr>
          <w:rFonts w:cs="Times New Roman"/>
          <w:noProof/>
          <w:szCs w:val="24"/>
        </w:rPr>
        <w:t>, 102–120.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Jarawura, F. X. (2021). Dynamics of Drought-Related Migration Among Five Villages in the Savannah of Ghana. </w:t>
      </w:r>
      <w:r w:rsidRPr="007215E1">
        <w:rPr>
          <w:rFonts w:cs="Times New Roman"/>
          <w:i/>
          <w:iCs/>
          <w:noProof/>
          <w:szCs w:val="24"/>
        </w:rPr>
        <w:t>Ghana Journal of Geography</w:t>
      </w:r>
      <w:r w:rsidRPr="007215E1">
        <w:rPr>
          <w:rFonts w:cs="Times New Roman"/>
          <w:noProof/>
          <w:szCs w:val="24"/>
        </w:rPr>
        <w:t xml:space="preserve">, </w:t>
      </w:r>
      <w:r w:rsidRPr="007215E1">
        <w:rPr>
          <w:rFonts w:cs="Times New Roman"/>
          <w:i/>
          <w:iCs/>
          <w:noProof/>
          <w:szCs w:val="24"/>
        </w:rPr>
        <w:t>13</w:t>
      </w:r>
      <w:r w:rsidRPr="007215E1">
        <w:rPr>
          <w:rFonts w:cs="Times New Roman"/>
          <w:noProof/>
          <w:szCs w:val="24"/>
        </w:rPr>
        <w:t>(1), 103–125. https://doi.org/10.4314/gjg.v13i1.6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Jobbins, M., &amp; McDonnell, A. (2021). </w:t>
      </w:r>
      <w:r w:rsidRPr="007215E1">
        <w:rPr>
          <w:rFonts w:cs="Times New Roman"/>
          <w:i/>
          <w:iCs/>
          <w:noProof/>
          <w:szCs w:val="24"/>
        </w:rPr>
        <w:t xml:space="preserve">Pastoralism and Conflict: Tools for Preventsion and </w:t>
      </w:r>
      <w:r w:rsidRPr="007215E1">
        <w:rPr>
          <w:rFonts w:cs="Times New Roman"/>
          <w:i/>
          <w:iCs/>
          <w:noProof/>
          <w:szCs w:val="24"/>
        </w:rPr>
        <w:lastRenderedPageBreak/>
        <w:t>Response in the Sudano-Sahel</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Kaplan, R. D. (2014). The coming anarchy. </w:t>
      </w:r>
      <w:r w:rsidRPr="007215E1">
        <w:rPr>
          <w:rFonts w:cs="Times New Roman"/>
          <w:i/>
          <w:iCs/>
          <w:noProof/>
          <w:szCs w:val="24"/>
        </w:rPr>
        <w:t>Geopolitics: An Introductory Reader</w:t>
      </w:r>
      <w:r w:rsidRPr="007215E1">
        <w:rPr>
          <w:rFonts w:cs="Times New Roman"/>
          <w:noProof/>
          <w:szCs w:val="24"/>
        </w:rPr>
        <w:t xml:space="preserve">, </w:t>
      </w:r>
      <w:r w:rsidRPr="007215E1">
        <w:rPr>
          <w:rFonts w:cs="Times New Roman"/>
          <w:i/>
          <w:iCs/>
          <w:noProof/>
          <w:szCs w:val="24"/>
        </w:rPr>
        <w:t>February 1994</w:t>
      </w:r>
      <w:r w:rsidRPr="007215E1">
        <w:rPr>
          <w:rFonts w:cs="Times New Roman"/>
          <w:noProof/>
          <w:szCs w:val="24"/>
        </w:rPr>
        <w:t>, 195–202. https://doi.org/10.4324/9780203092170-32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Kashif Abbass, Qasim, M. Z., Song, H., Murshed, M., Mahmood, H., &amp; Younis, I. (2022). A review of the global climate change impacts, adaptation, and sustainable mitigation measures. </w:t>
      </w:r>
      <w:r w:rsidRPr="007215E1">
        <w:rPr>
          <w:rFonts w:cs="Times New Roman"/>
          <w:i/>
          <w:iCs/>
          <w:noProof/>
          <w:szCs w:val="24"/>
        </w:rPr>
        <w:t>Environmental Science and Pollution Research</w:t>
      </w:r>
      <w:r w:rsidRPr="007215E1">
        <w:rPr>
          <w:rFonts w:cs="Times New Roman"/>
          <w:noProof/>
          <w:szCs w:val="24"/>
        </w:rPr>
        <w:t xml:space="preserve">, </w:t>
      </w:r>
      <w:r w:rsidRPr="007215E1">
        <w:rPr>
          <w:rFonts w:cs="Times New Roman"/>
          <w:i/>
          <w:iCs/>
          <w:noProof/>
          <w:szCs w:val="24"/>
        </w:rPr>
        <w:t>29</w:t>
      </w:r>
      <w:r w:rsidRPr="007215E1">
        <w:rPr>
          <w:rFonts w:cs="Times New Roman"/>
          <w:noProof/>
          <w:szCs w:val="24"/>
        </w:rPr>
        <w:t>(28), 42539–42559. https://doi.org/10.1007/s11356-022-19718-6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Katan, L. L. (1988). Global migration. </w:t>
      </w:r>
      <w:r w:rsidRPr="007215E1">
        <w:rPr>
          <w:rFonts w:cs="Times New Roman"/>
          <w:i/>
          <w:iCs/>
          <w:noProof/>
          <w:szCs w:val="24"/>
        </w:rPr>
        <w:t>Packaging Technology and Science</w:t>
      </w:r>
      <w:r w:rsidRPr="007215E1">
        <w:rPr>
          <w:rFonts w:cs="Times New Roman"/>
          <w:noProof/>
          <w:szCs w:val="24"/>
        </w:rPr>
        <w:t xml:space="preserve">, </w:t>
      </w:r>
      <w:r w:rsidRPr="007215E1">
        <w:rPr>
          <w:rFonts w:cs="Times New Roman"/>
          <w:i/>
          <w:iCs/>
          <w:noProof/>
          <w:szCs w:val="24"/>
        </w:rPr>
        <w:t>1</w:t>
      </w:r>
      <w:r w:rsidRPr="007215E1">
        <w:rPr>
          <w:rFonts w:cs="Times New Roman"/>
          <w:noProof/>
          <w:szCs w:val="24"/>
        </w:rPr>
        <w:t>(3), 169–169. https://doi.org/10.1002/pts.2770010308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Kimaro, E. G., Mor, S. M., &amp; Toribio, J. L. M. L. (2018). CC Perception and impacts on cattle production.pdf. </w:t>
      </w:r>
      <w:r w:rsidRPr="007215E1">
        <w:rPr>
          <w:rFonts w:cs="Times New Roman"/>
          <w:i/>
          <w:iCs/>
          <w:noProof/>
          <w:szCs w:val="24"/>
        </w:rPr>
        <w:t>Pastoralism: Research, Policy and Practice</w:t>
      </w:r>
      <w:r w:rsidRPr="007215E1">
        <w:rPr>
          <w:rFonts w:cs="Times New Roman"/>
          <w:noProof/>
          <w:szCs w:val="24"/>
        </w:rPr>
        <w:t xml:space="preserve">, </w:t>
      </w:r>
      <w:r w:rsidRPr="007215E1">
        <w:rPr>
          <w:rFonts w:cs="Times New Roman"/>
          <w:i/>
          <w:iCs/>
          <w:noProof/>
          <w:szCs w:val="24"/>
        </w:rPr>
        <w:t>5</w:t>
      </w:r>
      <w:r w:rsidRPr="007215E1">
        <w:rPr>
          <w:rFonts w:cs="Times New Roman"/>
          <w:noProof/>
          <w:szCs w:val="24"/>
        </w:rPr>
        <w:t>, 1–16.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Klöck, C., &amp; Nunn, P. D. (2019). Adaptation to Climate Change in Small Island Developing States: A Systematic Literature Review of Academic Research. </w:t>
      </w:r>
      <w:r w:rsidRPr="007215E1">
        <w:rPr>
          <w:rFonts w:cs="Times New Roman"/>
          <w:i/>
          <w:iCs/>
          <w:noProof/>
          <w:szCs w:val="24"/>
        </w:rPr>
        <w:t>Journal of Environment and Development</w:t>
      </w:r>
      <w:r w:rsidRPr="007215E1">
        <w:rPr>
          <w:rFonts w:cs="Times New Roman"/>
          <w:noProof/>
          <w:szCs w:val="24"/>
        </w:rPr>
        <w:t xml:space="preserve">, </w:t>
      </w:r>
      <w:r w:rsidRPr="007215E1">
        <w:rPr>
          <w:rFonts w:cs="Times New Roman"/>
          <w:i/>
          <w:iCs/>
          <w:noProof/>
          <w:szCs w:val="24"/>
        </w:rPr>
        <w:t>28</w:t>
      </w:r>
      <w:r w:rsidRPr="007215E1">
        <w:rPr>
          <w:rFonts w:cs="Times New Roman"/>
          <w:noProof/>
          <w:szCs w:val="24"/>
        </w:rPr>
        <w:t>(2), 196–218. https://doi.org/10.1177/1070496519835895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Kumar, S. (2018). Analysis in a Business Research. </w:t>
      </w:r>
      <w:r w:rsidRPr="007215E1">
        <w:rPr>
          <w:rFonts w:cs="Times New Roman"/>
          <w:i/>
          <w:iCs/>
          <w:noProof/>
          <w:szCs w:val="24"/>
        </w:rPr>
        <w:t>Journal of General Management Research</w:t>
      </w:r>
      <w:r w:rsidRPr="007215E1">
        <w:rPr>
          <w:rFonts w:cs="Times New Roman"/>
          <w:noProof/>
          <w:szCs w:val="24"/>
        </w:rPr>
        <w:t xml:space="preserve">, </w:t>
      </w:r>
      <w:r w:rsidRPr="007215E1">
        <w:rPr>
          <w:rFonts w:cs="Times New Roman"/>
          <w:i/>
          <w:iCs/>
          <w:noProof/>
          <w:szCs w:val="24"/>
        </w:rPr>
        <w:t>5</w:t>
      </w:r>
      <w:r w:rsidRPr="007215E1">
        <w:rPr>
          <w:rFonts w:cs="Times New Roman"/>
          <w:noProof/>
          <w:szCs w:val="24"/>
        </w:rPr>
        <w:t>(2), 70–82.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Leary, N., Conde, C., Kulkarni, J., Nyong, A., &amp; Pulhin, J. (2012). Climate Change and Vulnerability. </w:t>
      </w:r>
      <w:r w:rsidRPr="007215E1">
        <w:rPr>
          <w:rFonts w:cs="Times New Roman"/>
          <w:i/>
          <w:iCs/>
          <w:noProof/>
          <w:szCs w:val="24"/>
        </w:rPr>
        <w:t>Climate Change and Vulnerability</w:t>
      </w:r>
      <w:r w:rsidRPr="007215E1">
        <w:rPr>
          <w:rFonts w:cs="Times New Roman"/>
          <w:noProof/>
          <w:szCs w:val="24"/>
        </w:rPr>
        <w:t xml:space="preserve">, </w:t>
      </w:r>
      <w:r w:rsidRPr="007215E1">
        <w:rPr>
          <w:rFonts w:cs="Times New Roman"/>
          <w:i/>
          <w:iCs/>
          <w:noProof/>
          <w:szCs w:val="24"/>
        </w:rPr>
        <w:t>June</w:t>
      </w:r>
      <w:r w:rsidRPr="007215E1">
        <w:rPr>
          <w:rFonts w:cs="Times New Roman"/>
          <w:noProof/>
          <w:szCs w:val="24"/>
        </w:rPr>
        <w:t>, 1–428. https://doi.org/10.4324/9781849770804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Lester, J. N., Cho, Y., &amp; Lochmiller, C. R. (2020). Learning to Do Qualitative Data Analysis: A Starting Point. </w:t>
      </w:r>
      <w:r w:rsidRPr="007215E1">
        <w:rPr>
          <w:rFonts w:cs="Times New Roman"/>
          <w:i/>
          <w:iCs/>
          <w:noProof/>
          <w:szCs w:val="24"/>
        </w:rPr>
        <w:t>Human Resource Development Review</w:t>
      </w:r>
      <w:r w:rsidRPr="007215E1">
        <w:rPr>
          <w:rFonts w:cs="Times New Roman"/>
          <w:noProof/>
          <w:szCs w:val="24"/>
        </w:rPr>
        <w:t xml:space="preserve">, </w:t>
      </w:r>
      <w:r w:rsidRPr="007215E1">
        <w:rPr>
          <w:rFonts w:cs="Times New Roman"/>
          <w:i/>
          <w:iCs/>
          <w:noProof/>
          <w:szCs w:val="24"/>
        </w:rPr>
        <w:t>19</w:t>
      </w:r>
      <w:r w:rsidRPr="007215E1">
        <w:rPr>
          <w:rFonts w:cs="Times New Roman"/>
          <w:noProof/>
          <w:szCs w:val="24"/>
        </w:rPr>
        <w:t>(1), 94–106. https://doi.org/10.1177/1534484320903890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Leweri, C. M., Msuha, M. J., &amp; Treydte, A. C. (2021). Rainfall variability and socio-economic </w:t>
      </w:r>
      <w:r w:rsidRPr="007215E1">
        <w:rPr>
          <w:rFonts w:cs="Times New Roman"/>
          <w:noProof/>
          <w:szCs w:val="24"/>
        </w:rPr>
        <w:lastRenderedPageBreak/>
        <w:t xml:space="preserve">constraints on livestock production in the Ngorongoro Conservation Area, Tanzania. </w:t>
      </w:r>
      <w:r w:rsidRPr="007215E1">
        <w:rPr>
          <w:rFonts w:cs="Times New Roman"/>
          <w:i/>
          <w:iCs/>
          <w:noProof/>
          <w:szCs w:val="24"/>
        </w:rPr>
        <w:t>SN Applied Sciences</w:t>
      </w:r>
      <w:r w:rsidRPr="007215E1">
        <w:rPr>
          <w:rFonts w:cs="Times New Roman"/>
          <w:noProof/>
          <w:szCs w:val="24"/>
        </w:rPr>
        <w:t xml:space="preserve">, </w:t>
      </w:r>
      <w:r w:rsidRPr="007215E1">
        <w:rPr>
          <w:rFonts w:cs="Times New Roman"/>
          <w:i/>
          <w:iCs/>
          <w:noProof/>
          <w:szCs w:val="24"/>
        </w:rPr>
        <w:t>3</w:t>
      </w:r>
      <w:r w:rsidRPr="007215E1">
        <w:rPr>
          <w:rFonts w:cs="Times New Roman"/>
          <w:noProof/>
          <w:szCs w:val="24"/>
        </w:rPr>
        <w:t>(1), 1–10. https://doi.org/10.1007/s42452-020-04111-0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Lewis, E., Chamel, O., Mohsenin, M., Ots, E., &amp; White, E. T. (2018). Intergovernmental Panel on Climate Change. In </w:t>
      </w:r>
      <w:r w:rsidRPr="007215E1">
        <w:rPr>
          <w:rFonts w:cs="Times New Roman"/>
          <w:i/>
          <w:iCs/>
          <w:noProof/>
          <w:szCs w:val="24"/>
        </w:rPr>
        <w:t>Sustainaspeak</w:t>
      </w:r>
      <w:r w:rsidRPr="007215E1">
        <w:rPr>
          <w:rFonts w:cs="Times New Roman"/>
          <w:noProof/>
          <w:szCs w:val="24"/>
        </w:rPr>
        <w:t>. https://doi.org/10.4324/9781315270326-109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Liehr, P., &amp; Smith, M. J. (1999). Middle range theory: Spinning research and practice to create knowledge for the new millennium. </w:t>
      </w:r>
      <w:r w:rsidRPr="007215E1">
        <w:rPr>
          <w:rFonts w:cs="Times New Roman"/>
          <w:i/>
          <w:iCs/>
          <w:noProof/>
          <w:szCs w:val="24"/>
        </w:rPr>
        <w:t>Advances in Nursing Science</w:t>
      </w:r>
      <w:r w:rsidRPr="007215E1">
        <w:rPr>
          <w:rFonts w:cs="Times New Roman"/>
          <w:noProof/>
          <w:szCs w:val="24"/>
        </w:rPr>
        <w:t xml:space="preserve">, </w:t>
      </w:r>
      <w:r w:rsidRPr="007215E1">
        <w:rPr>
          <w:rFonts w:cs="Times New Roman"/>
          <w:i/>
          <w:iCs/>
          <w:noProof/>
          <w:szCs w:val="24"/>
        </w:rPr>
        <w:t>21</w:t>
      </w:r>
      <w:r w:rsidRPr="007215E1">
        <w:rPr>
          <w:rFonts w:cs="Times New Roman"/>
          <w:noProof/>
          <w:szCs w:val="24"/>
        </w:rPr>
        <w:t>(4), 81–91.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Martin, A. (2005). Environmental Conflict Between Refugee and Host Communities. </w:t>
      </w:r>
      <w:r w:rsidRPr="007215E1">
        <w:rPr>
          <w:rFonts w:cs="Times New Roman"/>
          <w:i/>
          <w:iCs/>
          <w:noProof/>
          <w:szCs w:val="24"/>
        </w:rPr>
        <w:t>Journal of Peace Research</w:t>
      </w:r>
      <w:r w:rsidRPr="007215E1">
        <w:rPr>
          <w:rFonts w:cs="Times New Roman"/>
          <w:noProof/>
          <w:szCs w:val="24"/>
        </w:rPr>
        <w:t xml:space="preserve">, </w:t>
      </w:r>
      <w:r w:rsidRPr="007215E1">
        <w:rPr>
          <w:rFonts w:cs="Times New Roman"/>
          <w:i/>
          <w:iCs/>
          <w:noProof/>
          <w:szCs w:val="24"/>
        </w:rPr>
        <w:t>42</w:t>
      </w:r>
      <w:r w:rsidRPr="007215E1">
        <w:rPr>
          <w:rFonts w:cs="Times New Roman"/>
          <w:noProof/>
          <w:szCs w:val="24"/>
        </w:rPr>
        <w:t>(3), 329–346. https://doi.org/10.1177/0022343305052015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Martin, F., Chen, Y., Moore, R. L., &amp; Westine, C. D. (2020). Systematic review of adaptive learning research designs, context, strategies, and technologies from 2009 to 2018. </w:t>
      </w:r>
      <w:r w:rsidRPr="007215E1">
        <w:rPr>
          <w:rFonts w:cs="Times New Roman"/>
          <w:i/>
          <w:iCs/>
          <w:noProof/>
          <w:szCs w:val="24"/>
        </w:rPr>
        <w:t>Educational Technology Research and Development</w:t>
      </w:r>
      <w:r w:rsidRPr="007215E1">
        <w:rPr>
          <w:rFonts w:cs="Times New Roman"/>
          <w:noProof/>
          <w:szCs w:val="24"/>
        </w:rPr>
        <w:t xml:space="preserve">, </w:t>
      </w:r>
      <w:r w:rsidRPr="007215E1">
        <w:rPr>
          <w:rFonts w:cs="Times New Roman"/>
          <w:i/>
          <w:iCs/>
          <w:noProof/>
          <w:szCs w:val="24"/>
        </w:rPr>
        <w:t>68</w:t>
      </w:r>
      <w:r w:rsidRPr="007215E1">
        <w:rPr>
          <w:rFonts w:cs="Times New Roman"/>
          <w:noProof/>
          <w:szCs w:val="24"/>
        </w:rPr>
        <w:t>(4), 1903–1929. https://doi.org/10.1007/s11423-020-09793-2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Martín López, M. Á. (2016). The Rights of Pastoralist Peoples. A Framework for their Recognition in International Law. </w:t>
      </w:r>
      <w:r w:rsidRPr="007215E1">
        <w:rPr>
          <w:rFonts w:cs="Times New Roman"/>
          <w:i/>
          <w:iCs/>
          <w:noProof/>
          <w:szCs w:val="24"/>
        </w:rPr>
        <w:t>The Age of Human Rights Journal</w:t>
      </w:r>
      <w:r w:rsidRPr="007215E1">
        <w:rPr>
          <w:rFonts w:cs="Times New Roman"/>
          <w:noProof/>
          <w:szCs w:val="24"/>
        </w:rPr>
        <w:t xml:space="preserve">, </w:t>
      </w:r>
      <w:r w:rsidRPr="007215E1">
        <w:rPr>
          <w:rFonts w:cs="Times New Roman"/>
          <w:i/>
          <w:iCs/>
          <w:noProof/>
          <w:szCs w:val="24"/>
        </w:rPr>
        <w:t>6</w:t>
      </w:r>
      <w:r w:rsidRPr="007215E1">
        <w:rPr>
          <w:rFonts w:cs="Times New Roman"/>
          <w:noProof/>
          <w:szCs w:val="24"/>
        </w:rPr>
        <w:t>(6), 83–107. https://doi.org/10.17561/tahrj.v0i6.2931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Massey, D. S., Arango, J., Hugo, G., Kouaouci, A., Pellegrino, A., &amp; Taylor, J. E. (1993). Theories of international migration: a review and appraisal. </w:t>
      </w:r>
      <w:r w:rsidRPr="007215E1">
        <w:rPr>
          <w:rFonts w:cs="Times New Roman"/>
          <w:i/>
          <w:iCs/>
          <w:noProof/>
          <w:szCs w:val="24"/>
        </w:rPr>
        <w:t>Population &amp; Development Review</w:t>
      </w:r>
      <w:r w:rsidRPr="007215E1">
        <w:rPr>
          <w:rFonts w:cs="Times New Roman"/>
          <w:noProof/>
          <w:szCs w:val="24"/>
        </w:rPr>
        <w:t xml:space="preserve">, </w:t>
      </w:r>
      <w:r w:rsidRPr="007215E1">
        <w:rPr>
          <w:rFonts w:cs="Times New Roman"/>
          <w:i/>
          <w:iCs/>
          <w:noProof/>
          <w:szCs w:val="24"/>
        </w:rPr>
        <w:t>19</w:t>
      </w:r>
      <w:r w:rsidRPr="007215E1">
        <w:rPr>
          <w:rFonts w:cs="Times New Roman"/>
          <w:noProof/>
          <w:szCs w:val="24"/>
        </w:rPr>
        <w:t>(3), 431–466. https://doi.org/10.2307/2938462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Mavroudi, E., &amp; Nagel, C. (2016). </w:t>
      </w:r>
      <w:r w:rsidRPr="007215E1">
        <w:rPr>
          <w:rFonts w:cs="Times New Roman"/>
          <w:i/>
          <w:iCs/>
          <w:noProof/>
          <w:szCs w:val="24"/>
        </w:rPr>
        <w:t>Global Migration: Patterns, processes, and politics</w:t>
      </w:r>
      <w:r w:rsidRPr="007215E1">
        <w:rPr>
          <w:rFonts w:cs="Times New Roman"/>
          <w:noProof/>
          <w:szCs w:val="24"/>
        </w:rPr>
        <w:t>. https://doi.org/10.4324/9781315623399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McGuirk, E., &amp; Nunn, N. (2021). Transhumant Pastoralism, Climate Change, and Conflict in Africa. </w:t>
      </w:r>
      <w:r w:rsidRPr="007215E1">
        <w:rPr>
          <w:rFonts w:cs="Times New Roman"/>
          <w:i/>
          <w:iCs/>
          <w:noProof/>
          <w:szCs w:val="24"/>
        </w:rPr>
        <w:t>SSRN Electronic Journal</w:t>
      </w:r>
      <w:r w:rsidRPr="007215E1">
        <w:rPr>
          <w:rFonts w:cs="Times New Roman"/>
          <w:noProof/>
          <w:szCs w:val="24"/>
        </w:rPr>
        <w:t>. https://doi.org/10.2139/ssrn.3753152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McLeman, R. (2013). Developments in modelling of climate change-related migration. </w:t>
      </w:r>
      <w:r w:rsidRPr="007215E1">
        <w:rPr>
          <w:rFonts w:cs="Times New Roman"/>
          <w:i/>
          <w:iCs/>
          <w:noProof/>
          <w:szCs w:val="24"/>
        </w:rPr>
        <w:lastRenderedPageBreak/>
        <w:t>Climatic Change</w:t>
      </w:r>
      <w:r w:rsidRPr="007215E1">
        <w:rPr>
          <w:rFonts w:cs="Times New Roman"/>
          <w:noProof/>
          <w:szCs w:val="24"/>
        </w:rPr>
        <w:t xml:space="preserve">, </w:t>
      </w:r>
      <w:r w:rsidRPr="007215E1">
        <w:rPr>
          <w:rFonts w:cs="Times New Roman"/>
          <w:i/>
          <w:iCs/>
          <w:noProof/>
          <w:szCs w:val="24"/>
        </w:rPr>
        <w:t>117</w:t>
      </w:r>
      <w:r w:rsidRPr="007215E1">
        <w:rPr>
          <w:rFonts w:cs="Times New Roman"/>
          <w:noProof/>
          <w:szCs w:val="24"/>
        </w:rPr>
        <w:t>(3), 599–611. https://doi.org/10.1007/s10584-012-0578-2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Merriam, S. B. (1998). </w:t>
      </w:r>
      <w:r w:rsidRPr="007215E1">
        <w:rPr>
          <w:rFonts w:cs="Times New Roman"/>
          <w:i/>
          <w:iCs/>
          <w:noProof/>
          <w:szCs w:val="24"/>
        </w:rPr>
        <w:t>Qualitative Research and Case Study Applications in Education. Revised and Expanded from" Case Study Research in Education.".</w:t>
      </w:r>
      <w:r w:rsidRPr="007215E1">
        <w:rPr>
          <w:rFonts w:cs="Times New Roman"/>
          <w:noProof/>
          <w:szCs w:val="24"/>
        </w:rPr>
        <w:t xml:space="preserve"> ERIC.</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Mohd Arifin, S. R. (2018). Ethical Considerations in Qualitative Study. </w:t>
      </w:r>
      <w:r w:rsidRPr="007215E1">
        <w:rPr>
          <w:rFonts w:cs="Times New Roman"/>
          <w:i/>
          <w:iCs/>
          <w:noProof/>
          <w:szCs w:val="24"/>
        </w:rPr>
        <w:t>International Journal of Care Scholars</w:t>
      </w:r>
      <w:r w:rsidRPr="007215E1">
        <w:rPr>
          <w:rFonts w:cs="Times New Roman"/>
          <w:noProof/>
          <w:szCs w:val="24"/>
        </w:rPr>
        <w:t xml:space="preserve">, </w:t>
      </w:r>
      <w:r w:rsidRPr="007215E1">
        <w:rPr>
          <w:rFonts w:cs="Times New Roman"/>
          <w:i/>
          <w:iCs/>
          <w:noProof/>
          <w:szCs w:val="24"/>
        </w:rPr>
        <w:t>1</w:t>
      </w:r>
      <w:r w:rsidRPr="007215E1">
        <w:rPr>
          <w:rFonts w:cs="Times New Roman"/>
          <w:noProof/>
          <w:szCs w:val="24"/>
        </w:rPr>
        <w:t>(2), 30–33. https://doi.org/10.31436/ijcs.v1i2.82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Murali, J., &amp; Afifi, T. (2014). Rainfall variability, food security and human mobility in the Janjgir-Champa district of Chhattisgarh state, India. </w:t>
      </w:r>
      <w:r w:rsidRPr="007215E1">
        <w:rPr>
          <w:rFonts w:cs="Times New Roman"/>
          <w:i/>
          <w:iCs/>
          <w:noProof/>
          <w:szCs w:val="24"/>
        </w:rPr>
        <w:t>Climate and Development</w:t>
      </w:r>
      <w:r w:rsidRPr="007215E1">
        <w:rPr>
          <w:rFonts w:cs="Times New Roman"/>
          <w:noProof/>
          <w:szCs w:val="24"/>
        </w:rPr>
        <w:t xml:space="preserve">, </w:t>
      </w:r>
      <w:r w:rsidRPr="007215E1">
        <w:rPr>
          <w:rFonts w:cs="Times New Roman"/>
          <w:i/>
          <w:iCs/>
          <w:noProof/>
          <w:szCs w:val="24"/>
        </w:rPr>
        <w:t>6</w:t>
      </w:r>
      <w:r w:rsidRPr="007215E1">
        <w:rPr>
          <w:rFonts w:cs="Times New Roman"/>
          <w:noProof/>
          <w:szCs w:val="24"/>
        </w:rPr>
        <w:t>(1), 28–37. https://doi.org/10.1080/17565529.2013.867248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Narayan, R., Rodriguez, C., Araujo, J., Shaqlaih, A., &amp; Moss, G. (2013). Constructivism—Constructivist learning theory. In </w:t>
      </w:r>
      <w:r w:rsidRPr="007215E1">
        <w:rPr>
          <w:rFonts w:cs="Times New Roman"/>
          <w:i/>
          <w:iCs/>
          <w:noProof/>
          <w:szCs w:val="24"/>
        </w:rPr>
        <w:t>The handbook of educational theories.</w:t>
      </w:r>
      <w:r w:rsidRPr="007215E1">
        <w:rPr>
          <w:rFonts w:cs="Times New Roman"/>
          <w:noProof/>
          <w:szCs w:val="24"/>
        </w:rPr>
        <w:t xml:space="preserve"> (pp. 169–183). IAP Information Age Publishing.</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Nassef, M., Anderson, S., &amp; Ced Hesse. (2015). </w:t>
      </w:r>
      <w:r w:rsidRPr="007215E1">
        <w:rPr>
          <w:rFonts w:cs="Times New Roman"/>
          <w:i/>
          <w:iCs/>
          <w:noProof/>
          <w:szCs w:val="24"/>
        </w:rPr>
        <w:t>Pastoralism and Climate Change in East Africa</w:t>
      </w:r>
      <w:r w:rsidRPr="007215E1">
        <w:rPr>
          <w:rFonts w:cs="Times New Roman"/>
          <w:noProof/>
          <w:szCs w:val="24"/>
        </w:rPr>
        <w:t xml:space="preserve">. </w:t>
      </w:r>
      <w:r w:rsidRPr="007215E1">
        <w:rPr>
          <w:rFonts w:cs="Times New Roman"/>
          <w:i/>
          <w:iCs/>
          <w:noProof/>
          <w:szCs w:val="24"/>
        </w:rPr>
        <w:t>April</w:t>
      </w:r>
      <w:r w:rsidRPr="007215E1">
        <w:rPr>
          <w:rFonts w:cs="Times New Roman"/>
          <w:noProof/>
          <w:szCs w:val="24"/>
        </w:rPr>
        <w:t>, 259.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Neumann, M., Edelhäuser, F., Tauschel, D., Fischer, M. R., Wirtz, M., Woopen, C., Haramati, A., &amp; Scheffer, C. (2011). Empathy decline and its reasons: a systematic review of studies with medical students and residents. </w:t>
      </w:r>
      <w:r w:rsidRPr="007215E1">
        <w:rPr>
          <w:rFonts w:cs="Times New Roman"/>
          <w:i/>
          <w:iCs/>
          <w:noProof/>
          <w:szCs w:val="24"/>
        </w:rPr>
        <w:t>Academic Medicine</w:t>
      </w:r>
      <w:r w:rsidRPr="007215E1">
        <w:rPr>
          <w:rFonts w:cs="Times New Roman"/>
          <w:noProof/>
          <w:szCs w:val="24"/>
        </w:rPr>
        <w:t xml:space="preserve">, </w:t>
      </w:r>
      <w:r w:rsidRPr="007215E1">
        <w:rPr>
          <w:rFonts w:cs="Times New Roman"/>
          <w:i/>
          <w:iCs/>
          <w:noProof/>
          <w:szCs w:val="24"/>
        </w:rPr>
        <w:t>86</w:t>
      </w:r>
      <w:r w:rsidRPr="007215E1">
        <w:rPr>
          <w:rFonts w:cs="Times New Roman"/>
          <w:noProof/>
          <w:szCs w:val="24"/>
        </w:rPr>
        <w:t>(8), 996–1009.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Nishimura. (2017). </w:t>
      </w:r>
      <w:r w:rsidRPr="007215E1">
        <w:rPr>
          <w:rFonts w:cs="Times New Roman"/>
          <w:i/>
          <w:iCs/>
          <w:noProof/>
          <w:szCs w:val="24"/>
        </w:rPr>
        <w:t>The Slow onset effects of climate change and human rights protection for cross-border migrants</w:t>
      </w:r>
      <w:r w:rsidRPr="007215E1">
        <w:rPr>
          <w:rFonts w:cs="Times New Roman"/>
          <w:noProof/>
          <w:szCs w:val="24"/>
        </w:rPr>
        <w:t xml:space="preserve">. </w:t>
      </w:r>
      <w:r w:rsidRPr="007215E1">
        <w:rPr>
          <w:rFonts w:cs="Times New Roman"/>
          <w:i/>
          <w:iCs/>
          <w:noProof/>
          <w:szCs w:val="24"/>
        </w:rPr>
        <w:t>04452</w:t>
      </w:r>
      <w:r w:rsidRPr="007215E1">
        <w:rPr>
          <w:rFonts w:cs="Times New Roman"/>
          <w:noProof/>
          <w:szCs w:val="24"/>
        </w:rPr>
        <w:t>(October), 1–6. https://www.ohchr.org/Documents/Issues/ClimateChange/SlowOnset/Programme.pdf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Nori, M., Switzer, J., &amp; Crawford, A. (2005). Herding on the brink: Towards a global survey of pastoral communities and conflict. </w:t>
      </w:r>
      <w:r w:rsidRPr="007215E1">
        <w:rPr>
          <w:rFonts w:cs="Times New Roman"/>
          <w:i/>
          <w:iCs/>
          <w:noProof/>
          <w:szCs w:val="24"/>
        </w:rPr>
        <w:t>An Occasional Working Paper from the IUCN Commission on Environmental, Economic and Social Policy</w:t>
      </w:r>
      <w:r w:rsidRPr="007215E1">
        <w:rPr>
          <w:rFonts w:cs="Times New Roman"/>
          <w:noProof/>
          <w:szCs w:val="24"/>
        </w:rPr>
        <w:t>, 33. http://www.iisd.org/pdf/2005/security_herding_on_brink.pdf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Nouhoun, Z., Dominique, O., Claudious, C., Louis, S., &amp; Eva, S. (2019). Changes in livelihood strategies and animal husbandry practices of pastoralists in the sub-humid zone of West Africa. </w:t>
      </w:r>
      <w:r w:rsidRPr="007215E1">
        <w:rPr>
          <w:rFonts w:cs="Times New Roman"/>
          <w:i/>
          <w:iCs/>
          <w:noProof/>
          <w:szCs w:val="24"/>
        </w:rPr>
        <w:t>African Journal of Agricultural Research</w:t>
      </w:r>
      <w:r w:rsidRPr="007215E1">
        <w:rPr>
          <w:rFonts w:cs="Times New Roman"/>
          <w:noProof/>
          <w:szCs w:val="24"/>
        </w:rPr>
        <w:t xml:space="preserve">, </w:t>
      </w:r>
      <w:r w:rsidRPr="007215E1">
        <w:rPr>
          <w:rFonts w:cs="Times New Roman"/>
          <w:i/>
          <w:iCs/>
          <w:noProof/>
          <w:szCs w:val="24"/>
        </w:rPr>
        <w:t>14</w:t>
      </w:r>
      <w:r w:rsidRPr="007215E1">
        <w:rPr>
          <w:rFonts w:cs="Times New Roman"/>
          <w:noProof/>
          <w:szCs w:val="24"/>
        </w:rPr>
        <w:t>(30), 1311–1325. https://doi.org/10.5897/ajar2019.13878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Okoli, A. C. (2016). The Trajectories and Dynamics of Herdsmen Militancy in Central Nigeria. </w:t>
      </w:r>
      <w:r w:rsidRPr="007215E1">
        <w:rPr>
          <w:rFonts w:cs="Times New Roman"/>
          <w:i/>
          <w:iCs/>
          <w:noProof/>
          <w:szCs w:val="24"/>
        </w:rPr>
        <w:t>Journal of Humanities and Social Policy</w:t>
      </w:r>
      <w:r w:rsidRPr="007215E1">
        <w:rPr>
          <w:rFonts w:cs="Times New Roman"/>
          <w:noProof/>
          <w:szCs w:val="24"/>
        </w:rPr>
        <w:t xml:space="preserve">, </w:t>
      </w:r>
      <w:r w:rsidRPr="007215E1">
        <w:rPr>
          <w:rFonts w:cs="Times New Roman"/>
          <w:i/>
          <w:iCs/>
          <w:noProof/>
          <w:szCs w:val="24"/>
        </w:rPr>
        <w:t>2</w:t>
      </w:r>
      <w:r w:rsidRPr="007215E1">
        <w:rPr>
          <w:rFonts w:cs="Times New Roman"/>
          <w:noProof/>
          <w:szCs w:val="24"/>
        </w:rPr>
        <w:t>(1), 22–30.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Olaniyan, A., Francis, M., &amp; Okeke-Uzodike, U. (2015). The cattle are “ghanaians” but the herders are strangers: Farmer-herder conflicts, expulsion policy, and pastoralist question in agogo, Ghana. </w:t>
      </w:r>
      <w:r w:rsidRPr="007215E1">
        <w:rPr>
          <w:rFonts w:cs="Times New Roman"/>
          <w:i/>
          <w:iCs/>
          <w:noProof/>
          <w:szCs w:val="24"/>
        </w:rPr>
        <w:t>African Studies Quarterly</w:t>
      </w:r>
      <w:r w:rsidRPr="007215E1">
        <w:rPr>
          <w:rFonts w:cs="Times New Roman"/>
          <w:noProof/>
          <w:szCs w:val="24"/>
        </w:rPr>
        <w:t xml:space="preserve">, </w:t>
      </w:r>
      <w:r w:rsidRPr="007215E1">
        <w:rPr>
          <w:rFonts w:cs="Times New Roman"/>
          <w:i/>
          <w:iCs/>
          <w:noProof/>
          <w:szCs w:val="24"/>
        </w:rPr>
        <w:t>15</w:t>
      </w:r>
      <w:r w:rsidRPr="007215E1">
        <w:rPr>
          <w:rFonts w:cs="Times New Roman"/>
          <w:noProof/>
          <w:szCs w:val="24"/>
        </w:rPr>
        <w:t>(2), 53–67.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Olaniyan, A. O. (2015). The cattles are “Ghanaians” but the herders are strangers : farmer-herder conflicts, expulsion policy, and pastoralist question in Agogo, Ghana / Azeez Olaniyan, Michael Francis, and Ufo Okeke-Uzodike. </w:t>
      </w:r>
      <w:r w:rsidRPr="007215E1">
        <w:rPr>
          <w:rFonts w:cs="Times New Roman"/>
          <w:i/>
          <w:iCs/>
          <w:noProof/>
          <w:szCs w:val="24"/>
        </w:rPr>
        <w:t>African Studies Quarterly VO  - 15</w:t>
      </w:r>
      <w:r w:rsidRPr="007215E1">
        <w:rPr>
          <w:rFonts w:cs="Times New Roman"/>
          <w:noProof/>
          <w:szCs w:val="24"/>
        </w:rPr>
        <w:t xml:space="preserve">, </w:t>
      </w:r>
      <w:r w:rsidRPr="007215E1">
        <w:rPr>
          <w:rFonts w:cs="Times New Roman"/>
          <w:i/>
          <w:iCs/>
          <w:noProof/>
          <w:szCs w:val="24"/>
        </w:rPr>
        <w:t>15</w:t>
      </w:r>
      <w:r w:rsidRPr="007215E1">
        <w:rPr>
          <w:rFonts w:cs="Times New Roman"/>
          <w:noProof/>
          <w:szCs w:val="24"/>
        </w:rPr>
        <w:t>(2), 53. http://ezproxy.ug.edu.gh:2048/login?url=http://search.ebscohost.com/login.aspx?direct=true&amp;db=edswao&amp;AN=edswao.454720890&amp;site=eds-live</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Ouédraogo, K., Zaré, A., Korbéogo, G., Ouédraogo, O., &amp; Linstädter, A. (2021). Resilience strategies of West African pastoralists in response to scarce forage resources. </w:t>
      </w:r>
      <w:r w:rsidRPr="007215E1">
        <w:rPr>
          <w:rFonts w:cs="Times New Roman"/>
          <w:i/>
          <w:iCs/>
          <w:noProof/>
          <w:szCs w:val="24"/>
        </w:rPr>
        <w:t>Pastoralism</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(1). https://doi.org/10.1186/s13570-021-00210-8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Ouoba-Ima, S. (2018). Caractéristiques socio-démographiques et dynamique de la transhumance des bouviers peuls de la Nouhao au Burkina Faso. </w:t>
      </w:r>
      <w:r w:rsidRPr="007215E1">
        <w:rPr>
          <w:rFonts w:cs="Times New Roman"/>
          <w:i/>
          <w:iCs/>
          <w:noProof/>
          <w:szCs w:val="24"/>
        </w:rPr>
        <w:t>VertigO</w:t>
      </w:r>
      <w:r w:rsidRPr="007215E1">
        <w:rPr>
          <w:rFonts w:cs="Times New Roman"/>
          <w:noProof/>
          <w:szCs w:val="24"/>
        </w:rPr>
        <w:t xml:space="preserve">, </w:t>
      </w:r>
      <w:r w:rsidRPr="007215E1">
        <w:rPr>
          <w:rFonts w:cs="Times New Roman"/>
          <w:i/>
          <w:iCs/>
          <w:noProof/>
          <w:szCs w:val="24"/>
        </w:rPr>
        <w:t>Volume 18 numéro 2</w:t>
      </w:r>
      <w:r w:rsidRPr="007215E1">
        <w:rPr>
          <w:rFonts w:cs="Times New Roman"/>
          <w:noProof/>
          <w:szCs w:val="24"/>
        </w:rPr>
        <w:t>. https://doi.org/10.4000/vertigo.20698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Palsson, G. (1990). </w:t>
      </w:r>
      <w:r w:rsidRPr="007215E1">
        <w:rPr>
          <w:rFonts w:cs="Times New Roman"/>
          <w:i/>
          <w:iCs/>
          <w:noProof/>
          <w:szCs w:val="24"/>
        </w:rPr>
        <w:t>From Water To World-Making</w:t>
      </w:r>
      <w:r w:rsidRPr="007215E1">
        <w:rPr>
          <w:rFonts w:cs="Times New Roman"/>
          <w:noProof/>
          <w:szCs w:val="24"/>
        </w:rPr>
        <w:t xml:space="preserve"> (p. 280). The Scandinavian Institute of African Studies.</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Pas Schrijver, A. (2019). </w:t>
      </w:r>
      <w:r w:rsidRPr="007215E1">
        <w:rPr>
          <w:rFonts w:cs="Times New Roman"/>
          <w:i/>
          <w:iCs/>
          <w:noProof/>
          <w:szCs w:val="24"/>
        </w:rPr>
        <w:t>Pastoralists, mobility and conservation</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Patton, M. Q. (2002). Patton 2002.pdf. In </w:t>
      </w:r>
      <w:r w:rsidRPr="007215E1">
        <w:rPr>
          <w:rFonts w:cs="Times New Roman"/>
          <w:i/>
          <w:iCs/>
          <w:noProof/>
          <w:szCs w:val="24"/>
        </w:rPr>
        <w:t>Qualitative Research and Evaluation Methods</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Piguet;, E., Antoine;, &amp; Guchteneire, P. De. (2010). </w:t>
      </w:r>
      <w:r w:rsidRPr="007215E1">
        <w:rPr>
          <w:rFonts w:cs="Times New Roman"/>
          <w:i/>
          <w:iCs/>
          <w:noProof/>
          <w:szCs w:val="24"/>
        </w:rPr>
        <w:t>Migration and climate change</w:t>
      </w:r>
      <w:r w:rsidRPr="007215E1">
        <w:rPr>
          <w:rFonts w:cs="Times New Roman"/>
          <w:noProof/>
          <w:szCs w:val="24"/>
        </w:rPr>
        <w:t xml:space="preserve"> (Issue 2007). cambridge university press.</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Piguet, É. (2008). Migration and climate change. </w:t>
      </w:r>
      <w:r w:rsidRPr="007215E1">
        <w:rPr>
          <w:rFonts w:cs="Times New Roman"/>
          <w:i/>
          <w:iCs/>
          <w:noProof/>
          <w:szCs w:val="24"/>
        </w:rPr>
        <w:t>Futuribles: Analyse et Prospective</w:t>
      </w:r>
      <w:r w:rsidRPr="007215E1">
        <w:rPr>
          <w:rFonts w:cs="Times New Roman"/>
          <w:noProof/>
          <w:szCs w:val="24"/>
        </w:rPr>
        <w:t xml:space="preserve">, </w:t>
      </w:r>
      <w:r w:rsidRPr="007215E1">
        <w:rPr>
          <w:rFonts w:cs="Times New Roman"/>
          <w:i/>
          <w:iCs/>
          <w:noProof/>
          <w:szCs w:val="24"/>
        </w:rPr>
        <w:t>341</w:t>
      </w:r>
      <w:r w:rsidRPr="007215E1">
        <w:rPr>
          <w:rFonts w:cs="Times New Roman"/>
          <w:noProof/>
          <w:szCs w:val="24"/>
        </w:rPr>
        <w:t>. https://doi.org/10.1051/futur:200834131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Pitikoe, S. (2017). Basotho herders learn through culture and social interaction. </w:t>
      </w:r>
      <w:r w:rsidRPr="007215E1">
        <w:rPr>
          <w:rFonts w:cs="Times New Roman"/>
          <w:i/>
          <w:iCs/>
          <w:noProof/>
          <w:szCs w:val="24"/>
        </w:rPr>
        <w:t>Learning, Culture and Social Interaction</w:t>
      </w:r>
      <w:r w:rsidRPr="007215E1">
        <w:rPr>
          <w:rFonts w:cs="Times New Roman"/>
          <w:noProof/>
          <w:szCs w:val="24"/>
        </w:rPr>
        <w:t xml:space="preserve">, </w:t>
      </w:r>
      <w:r w:rsidRPr="007215E1">
        <w:rPr>
          <w:rFonts w:cs="Times New Roman"/>
          <w:i/>
          <w:iCs/>
          <w:noProof/>
          <w:szCs w:val="24"/>
        </w:rPr>
        <w:t>13</w:t>
      </w:r>
      <w:r w:rsidRPr="007215E1">
        <w:rPr>
          <w:rFonts w:cs="Times New Roman"/>
          <w:noProof/>
          <w:szCs w:val="24"/>
        </w:rPr>
        <w:t>, 104–112. https://doi.org/10.1016/J.LCSI.2017.03.003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Ritchey, P. (2003). Explanation of Migration. </w:t>
      </w:r>
      <w:r w:rsidRPr="007215E1">
        <w:rPr>
          <w:rFonts w:cs="Times New Roman"/>
          <w:i/>
          <w:iCs/>
          <w:noProof/>
          <w:szCs w:val="24"/>
        </w:rPr>
        <w:t>Annual Review of Sociology</w:t>
      </w:r>
      <w:r w:rsidRPr="007215E1">
        <w:rPr>
          <w:rFonts w:cs="Times New Roman"/>
          <w:noProof/>
          <w:szCs w:val="24"/>
        </w:rPr>
        <w:t xml:space="preserve">, </w:t>
      </w:r>
      <w:r w:rsidRPr="007215E1">
        <w:rPr>
          <w:rFonts w:cs="Times New Roman"/>
          <w:i/>
          <w:iCs/>
          <w:noProof/>
          <w:szCs w:val="24"/>
        </w:rPr>
        <w:t>2</w:t>
      </w:r>
      <w:r w:rsidRPr="007215E1">
        <w:rPr>
          <w:rFonts w:cs="Times New Roman"/>
          <w:noProof/>
          <w:szCs w:val="24"/>
        </w:rPr>
        <w:t>, 363–404. https://doi.org/10.1146/annurev.so.02.080176.002051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Sabil, O., Maalla, A., Abakar, A. M., Hamdi, Y. M., &amp; Maruod, M. E. (2015). The impact of Climate change on pastoralist ’ s livelihood in South Kordofan State , Sudan. </w:t>
      </w:r>
      <w:r w:rsidRPr="007215E1">
        <w:rPr>
          <w:rFonts w:cs="Times New Roman"/>
          <w:i/>
          <w:iCs/>
          <w:noProof/>
          <w:szCs w:val="24"/>
        </w:rPr>
        <w:t>Journal of Novel Applied Sciences</w:t>
      </w:r>
      <w:r w:rsidRPr="007215E1">
        <w:rPr>
          <w:rFonts w:cs="Times New Roman"/>
          <w:noProof/>
          <w:szCs w:val="24"/>
        </w:rPr>
        <w:t xml:space="preserve">, </w:t>
      </w:r>
      <w:r w:rsidRPr="007215E1">
        <w:rPr>
          <w:rFonts w:cs="Times New Roman"/>
          <w:i/>
          <w:iCs/>
          <w:noProof/>
          <w:szCs w:val="24"/>
        </w:rPr>
        <w:t>4</w:t>
      </w:r>
      <w:r w:rsidRPr="007215E1">
        <w:rPr>
          <w:rFonts w:cs="Times New Roman"/>
          <w:noProof/>
          <w:szCs w:val="24"/>
        </w:rPr>
        <w:t>(11), 1142–1148.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Sankaran, M. (2019). Droughts and the ecological future of tropical savanna vegetation. </w:t>
      </w:r>
      <w:r w:rsidRPr="007215E1">
        <w:rPr>
          <w:rFonts w:cs="Times New Roman"/>
          <w:i/>
          <w:iCs/>
          <w:noProof/>
          <w:szCs w:val="24"/>
        </w:rPr>
        <w:t>Journal of Ecology</w:t>
      </w:r>
      <w:r w:rsidRPr="007215E1">
        <w:rPr>
          <w:rFonts w:cs="Times New Roman"/>
          <w:noProof/>
          <w:szCs w:val="24"/>
        </w:rPr>
        <w:t xml:space="preserve">, </w:t>
      </w:r>
      <w:r w:rsidRPr="007215E1">
        <w:rPr>
          <w:rFonts w:cs="Times New Roman"/>
          <w:i/>
          <w:iCs/>
          <w:noProof/>
          <w:szCs w:val="24"/>
        </w:rPr>
        <w:t>107</w:t>
      </w:r>
      <w:r w:rsidRPr="007215E1">
        <w:rPr>
          <w:rFonts w:cs="Times New Roman"/>
          <w:noProof/>
          <w:szCs w:val="24"/>
        </w:rPr>
        <w:t>(4), 1531–1549. https://doi.org/10.1111/1365-2745.13195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Schneider-Mayerson, M. (2018). The Influence of Climate Fiction. </w:t>
      </w:r>
      <w:r w:rsidRPr="007215E1">
        <w:rPr>
          <w:rFonts w:cs="Times New Roman"/>
          <w:i/>
          <w:iCs/>
          <w:noProof/>
          <w:szCs w:val="24"/>
        </w:rPr>
        <w:t>Environmental Humanities</w:t>
      </w:r>
      <w:r w:rsidRPr="007215E1">
        <w:rPr>
          <w:rFonts w:cs="Times New Roman"/>
          <w:noProof/>
          <w:szCs w:val="24"/>
        </w:rPr>
        <w:t xml:space="preserve">, </w:t>
      </w:r>
      <w:r w:rsidRPr="007215E1">
        <w:rPr>
          <w:rFonts w:cs="Times New Roman"/>
          <w:i/>
          <w:iCs/>
          <w:noProof/>
          <w:szCs w:val="24"/>
        </w:rPr>
        <w:t>10</w:t>
      </w:r>
      <w:r w:rsidRPr="007215E1">
        <w:rPr>
          <w:rFonts w:cs="Times New Roman"/>
          <w:noProof/>
          <w:szCs w:val="24"/>
        </w:rPr>
        <w:t>(2), 473–500. https://doi.org/10.1215/22011919-7156848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Sen, A. (1981). Poverty and Famine. </w:t>
      </w:r>
      <w:r w:rsidRPr="007215E1">
        <w:rPr>
          <w:rFonts w:cs="Times New Roman"/>
          <w:i/>
          <w:iCs/>
          <w:noProof/>
          <w:szCs w:val="24"/>
        </w:rPr>
        <w:t>Clarendon Press, Oxford University Press, Oxford, UK</w:t>
      </w:r>
      <w:r w:rsidRPr="007215E1">
        <w:rPr>
          <w:rFonts w:cs="Times New Roman"/>
          <w:noProof/>
          <w:szCs w:val="24"/>
        </w:rPr>
        <w:t xml:space="preserve">, </w:t>
      </w:r>
      <w:r w:rsidRPr="007215E1">
        <w:rPr>
          <w:rFonts w:cs="Times New Roman"/>
          <w:i/>
          <w:iCs/>
          <w:noProof/>
          <w:szCs w:val="24"/>
        </w:rPr>
        <w:t>4</w:t>
      </w:r>
      <w:r w:rsidRPr="007215E1">
        <w:rPr>
          <w:rFonts w:cs="Times New Roman"/>
          <w:noProof/>
          <w:szCs w:val="24"/>
        </w:rPr>
        <w:t>(1), 88–100.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Seneviratne, S. I., Nicholls, N., Easterling, D., Goodess, C. M., Kanae, S., Kossin, J., Luo, Y., Marengo, J., Mc Innes, K., Rahimi, M., Reichstein, M., Sorteberg, A., Vera, C., Zhang, X., Rusticucci, M., Semenov, V., Alexander, L. V., Allen, S., Benito, G., … Zwiers, F. </w:t>
      </w:r>
      <w:r w:rsidRPr="007215E1">
        <w:rPr>
          <w:rFonts w:cs="Times New Roman"/>
          <w:noProof/>
          <w:szCs w:val="24"/>
        </w:rPr>
        <w:lastRenderedPageBreak/>
        <w:t xml:space="preserve">W. (2012). Changes in climate extremes and their impacts on the natural physical environment. </w:t>
      </w:r>
      <w:r w:rsidRPr="007215E1">
        <w:rPr>
          <w:rFonts w:cs="Times New Roman"/>
          <w:i/>
          <w:iCs/>
          <w:noProof/>
          <w:szCs w:val="24"/>
        </w:rPr>
        <w:t>Managing the Risks of Extreme Events and Disasters to Advance Climate Change Adaptation: Special Report of the Intergovernmental Panel on Climate Change</w:t>
      </w:r>
      <w:r w:rsidRPr="007215E1">
        <w:rPr>
          <w:rFonts w:cs="Times New Roman"/>
          <w:noProof/>
          <w:szCs w:val="24"/>
        </w:rPr>
        <w:t xml:space="preserve">, </w:t>
      </w:r>
      <w:r w:rsidRPr="007215E1">
        <w:rPr>
          <w:rFonts w:cs="Times New Roman"/>
          <w:i/>
          <w:iCs/>
          <w:noProof/>
          <w:szCs w:val="24"/>
        </w:rPr>
        <w:t>9781107025</w:t>
      </w:r>
      <w:r w:rsidRPr="007215E1">
        <w:rPr>
          <w:rFonts w:cs="Times New Roman"/>
          <w:noProof/>
          <w:szCs w:val="24"/>
        </w:rPr>
        <w:t>, 109–230. https://doi.org/10.1017/CBO9781139177245.006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Shaw, A. K. (2020). Causes and consequences of individual variation in animal movement. </w:t>
      </w:r>
      <w:r w:rsidRPr="007215E1">
        <w:rPr>
          <w:rFonts w:cs="Times New Roman"/>
          <w:i/>
          <w:iCs/>
          <w:noProof/>
          <w:szCs w:val="24"/>
        </w:rPr>
        <w:t>Movement Ecology</w:t>
      </w:r>
      <w:r w:rsidRPr="007215E1">
        <w:rPr>
          <w:rFonts w:cs="Times New Roman"/>
          <w:noProof/>
          <w:szCs w:val="24"/>
        </w:rPr>
        <w:t xml:space="preserve">, </w:t>
      </w:r>
      <w:r w:rsidRPr="007215E1">
        <w:rPr>
          <w:rFonts w:cs="Times New Roman"/>
          <w:i/>
          <w:iCs/>
          <w:noProof/>
          <w:szCs w:val="24"/>
        </w:rPr>
        <w:t>8</w:t>
      </w:r>
      <w:r w:rsidRPr="007215E1">
        <w:rPr>
          <w:rFonts w:cs="Times New Roman"/>
          <w:noProof/>
          <w:szCs w:val="24"/>
        </w:rPr>
        <w:t>(1), 1–12. https://doi.org/10.1186/s40462-020-0197-x</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Sherkat, D. (2004). Sherkat, D. (2004). Religious Intermarriage in the United States: Trends, Patterns, and Predictors. Social Science Research, 33, 606–625. https://doi.org/10.1016/j.ssresearch.2003.11.001Religious Intermarriage in the United States: Trends, Patterns, and P. </w:t>
      </w:r>
      <w:r w:rsidRPr="007215E1">
        <w:rPr>
          <w:rFonts w:cs="Times New Roman"/>
          <w:i/>
          <w:iCs/>
          <w:noProof/>
          <w:szCs w:val="24"/>
        </w:rPr>
        <w:t>Social Science Research</w:t>
      </w:r>
      <w:r w:rsidRPr="007215E1">
        <w:rPr>
          <w:rFonts w:cs="Times New Roman"/>
          <w:noProof/>
          <w:szCs w:val="24"/>
        </w:rPr>
        <w:t xml:space="preserve">, </w:t>
      </w:r>
      <w:r w:rsidRPr="007215E1">
        <w:rPr>
          <w:rFonts w:cs="Times New Roman"/>
          <w:i/>
          <w:iCs/>
          <w:noProof/>
          <w:szCs w:val="24"/>
        </w:rPr>
        <w:t>33</w:t>
      </w:r>
      <w:r w:rsidRPr="007215E1">
        <w:rPr>
          <w:rFonts w:cs="Times New Roman"/>
          <w:noProof/>
          <w:szCs w:val="24"/>
        </w:rPr>
        <w:t>, 606–625. https://doi.org/10.1016/j.ssresearch.2003.11.001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Snaibi, W., Mezrhab, A., Sy, O., &amp; Morton, J. F. (2021). Perception and adaptation of pastoralists to climate variability and change in Morocco’s arid rangelands. </w:t>
      </w:r>
      <w:r w:rsidRPr="007215E1">
        <w:rPr>
          <w:rFonts w:cs="Times New Roman"/>
          <w:i/>
          <w:iCs/>
          <w:noProof/>
          <w:szCs w:val="24"/>
        </w:rPr>
        <w:t>Heliyon</w:t>
      </w:r>
      <w:r w:rsidRPr="007215E1">
        <w:rPr>
          <w:rFonts w:cs="Times New Roman"/>
          <w:noProof/>
          <w:szCs w:val="24"/>
        </w:rPr>
        <w:t xml:space="preserve">, </w:t>
      </w:r>
      <w:r w:rsidRPr="007215E1">
        <w:rPr>
          <w:rFonts w:cs="Times New Roman"/>
          <w:i/>
          <w:iCs/>
          <w:noProof/>
          <w:szCs w:val="24"/>
        </w:rPr>
        <w:t>7</w:t>
      </w:r>
      <w:r w:rsidRPr="007215E1">
        <w:rPr>
          <w:rFonts w:cs="Times New Roman"/>
          <w:noProof/>
          <w:szCs w:val="24"/>
        </w:rPr>
        <w:t>(11), e08434. https://doi.org/10.1016/j.heliyon.2021.e08434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Söderberg, N. (2019). </w:t>
      </w:r>
      <w:r w:rsidRPr="007215E1">
        <w:rPr>
          <w:rFonts w:cs="Times New Roman"/>
          <w:i/>
          <w:iCs/>
          <w:noProof/>
          <w:szCs w:val="24"/>
        </w:rPr>
        <w:t>Climate-Induced Human Mobility in Policy</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Soeters, S., Weesie, R., &amp; Zoomers, A. (2017). Agricultural investments and farmer-fulani pastoralist conflict in West African drylands: A northern Ghanaian case study. </w:t>
      </w:r>
      <w:r w:rsidRPr="007215E1">
        <w:rPr>
          <w:rFonts w:cs="Times New Roman"/>
          <w:i/>
          <w:iCs/>
          <w:noProof/>
          <w:szCs w:val="24"/>
        </w:rPr>
        <w:t>Sustainability (Switzerland)</w:t>
      </w:r>
      <w:r w:rsidRPr="007215E1">
        <w:rPr>
          <w:rFonts w:cs="Times New Roman"/>
          <w:noProof/>
          <w:szCs w:val="24"/>
        </w:rPr>
        <w:t xml:space="preserve">, </w:t>
      </w:r>
      <w:r w:rsidRPr="007215E1">
        <w:rPr>
          <w:rFonts w:cs="Times New Roman"/>
          <w:i/>
          <w:iCs/>
          <w:noProof/>
          <w:szCs w:val="24"/>
        </w:rPr>
        <w:t>9</w:t>
      </w:r>
      <w:r w:rsidRPr="007215E1">
        <w:rPr>
          <w:rFonts w:cs="Times New Roman"/>
          <w:noProof/>
          <w:szCs w:val="24"/>
        </w:rPr>
        <w:t>(11). https://doi.org/10.3390/su9112063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Sontakki, B., &amp; Venkatesan, P. (2019). </w:t>
      </w:r>
      <w:r w:rsidRPr="007215E1">
        <w:rPr>
          <w:rFonts w:cs="Times New Roman"/>
          <w:i/>
          <w:iCs/>
          <w:noProof/>
          <w:szCs w:val="24"/>
        </w:rPr>
        <w:t>Participatory Rural Appraisal(PRA):Tools &amp; Techniques</w:t>
      </w:r>
      <w:r w:rsidRPr="007215E1">
        <w:rPr>
          <w:rFonts w:cs="Times New Roman"/>
          <w:noProof/>
          <w:szCs w:val="24"/>
        </w:rPr>
        <w:t xml:space="preserve">. </w:t>
      </w:r>
      <w:r w:rsidRPr="007215E1">
        <w:rPr>
          <w:rFonts w:cs="Times New Roman"/>
          <w:i/>
          <w:iCs/>
          <w:noProof/>
          <w:szCs w:val="24"/>
        </w:rPr>
        <w:t>September</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Spradley, J. (1980). Review Reviewed Work ( s ): Participant Observation by James P . Spradley Review by : Nicola Tannenbaum Published by : The George Washington University Institute for Ethnographic Research Stable URL : </w:t>
      </w:r>
      <w:r w:rsidRPr="007215E1">
        <w:rPr>
          <w:rFonts w:cs="Times New Roman"/>
          <w:noProof/>
          <w:szCs w:val="24"/>
        </w:rPr>
        <w:lastRenderedPageBreak/>
        <w:t xml:space="preserve">http://www.jstor.org/stable/3318111. </w:t>
      </w:r>
      <w:r w:rsidRPr="007215E1">
        <w:rPr>
          <w:rFonts w:cs="Times New Roman"/>
          <w:i/>
          <w:iCs/>
          <w:noProof/>
          <w:szCs w:val="24"/>
        </w:rPr>
        <w:t>Anthropological Quaterly</w:t>
      </w:r>
      <w:r w:rsidRPr="007215E1">
        <w:rPr>
          <w:rFonts w:cs="Times New Roman"/>
          <w:noProof/>
          <w:szCs w:val="24"/>
        </w:rPr>
        <w:t xml:space="preserve">, </w:t>
      </w:r>
      <w:r w:rsidRPr="007215E1">
        <w:rPr>
          <w:rFonts w:cs="Times New Roman"/>
          <w:i/>
          <w:iCs/>
          <w:noProof/>
          <w:szCs w:val="24"/>
        </w:rPr>
        <w:t>53</w:t>
      </w:r>
      <w:r w:rsidRPr="007215E1">
        <w:rPr>
          <w:rFonts w:cs="Times New Roman"/>
          <w:noProof/>
          <w:szCs w:val="24"/>
        </w:rPr>
        <w:t>(March), 4–7. https://doi.org/10.2307/3318111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Stavi, I., Roque de Pinho, J., Paschalidou, A. K., Adamo, S. B., Galvin, K., de Sherbinin, A., Even, T., Heaviside, C., &amp; van der Geest, K. (2021). Food security among dryland pastoralists and agropastoralists: The climate, land-use change, and population dynamics nexus. </w:t>
      </w:r>
      <w:r w:rsidRPr="007215E1">
        <w:rPr>
          <w:rFonts w:cs="Times New Roman"/>
          <w:i/>
          <w:iCs/>
          <w:noProof/>
          <w:szCs w:val="24"/>
        </w:rPr>
        <w:t>The Anthropocene Review</w:t>
      </w:r>
      <w:r w:rsidRPr="007215E1">
        <w:rPr>
          <w:rFonts w:cs="Times New Roman"/>
          <w:noProof/>
          <w:szCs w:val="24"/>
        </w:rPr>
        <w:t xml:space="preserve">, </w:t>
      </w:r>
      <w:r w:rsidRPr="007215E1">
        <w:rPr>
          <w:rFonts w:cs="Times New Roman"/>
          <w:i/>
          <w:iCs/>
          <w:noProof/>
          <w:szCs w:val="24"/>
        </w:rPr>
        <w:t>9</w:t>
      </w:r>
      <w:r w:rsidRPr="007215E1">
        <w:rPr>
          <w:rFonts w:cs="Times New Roman"/>
          <w:noProof/>
          <w:szCs w:val="24"/>
        </w:rPr>
        <w:t>(3), 299–323. https://doi.org/10.1177/20530196211007512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Stojanov, R., Rosengaertner, S., de Sherbinin, A., &amp; Nawrotzki, R. (2021). Climate Mobility and Development Cooperation. </w:t>
      </w:r>
      <w:r w:rsidRPr="007215E1">
        <w:rPr>
          <w:rFonts w:cs="Times New Roman"/>
          <w:i/>
          <w:iCs/>
          <w:noProof/>
          <w:szCs w:val="24"/>
        </w:rPr>
        <w:t>Population and Environment</w:t>
      </w:r>
      <w:r w:rsidRPr="007215E1">
        <w:rPr>
          <w:rFonts w:cs="Times New Roman"/>
          <w:noProof/>
          <w:szCs w:val="24"/>
        </w:rPr>
        <w:t xml:space="preserve">, </w:t>
      </w:r>
      <w:r w:rsidRPr="007215E1">
        <w:rPr>
          <w:rFonts w:cs="Times New Roman"/>
          <w:i/>
          <w:iCs/>
          <w:noProof/>
          <w:szCs w:val="24"/>
        </w:rPr>
        <w:t>43</w:t>
      </w:r>
      <w:r w:rsidRPr="007215E1">
        <w:rPr>
          <w:rFonts w:cs="Times New Roman"/>
          <w:noProof/>
          <w:szCs w:val="24"/>
        </w:rPr>
        <w:t>(2), 209–231. https://doi.org/10.1007/s11111-021-00387-5</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Sulieman, H., &amp; Young, H. (2019). Transforming Pastoralist Mobility in West Darfur: Understanding Continuity and Change. </w:t>
      </w:r>
      <w:r w:rsidRPr="007215E1">
        <w:rPr>
          <w:rFonts w:cs="Times New Roman"/>
          <w:i/>
          <w:iCs/>
          <w:noProof/>
          <w:szCs w:val="24"/>
        </w:rPr>
        <w:t>Feinstein International Center</w:t>
      </w:r>
      <w:r w:rsidRPr="007215E1">
        <w:rPr>
          <w:rFonts w:cs="Times New Roman"/>
          <w:noProof/>
          <w:szCs w:val="24"/>
        </w:rPr>
        <w:t xml:space="preserve">, </w:t>
      </w:r>
      <w:r w:rsidRPr="007215E1">
        <w:rPr>
          <w:rFonts w:cs="Times New Roman"/>
          <w:i/>
          <w:iCs/>
          <w:noProof/>
          <w:szCs w:val="24"/>
        </w:rPr>
        <w:t>January</w:t>
      </w:r>
      <w:r w:rsidRPr="007215E1">
        <w:rPr>
          <w:rFonts w:cs="Times New Roman"/>
          <w:noProof/>
          <w:szCs w:val="24"/>
        </w:rPr>
        <w:t>, 1–66.</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Swallow, B. (1994). The Role Of Mobility Within The Risk Management Strategies Of Pastoralists And Agro-Pastoralists. </w:t>
      </w:r>
      <w:r w:rsidRPr="007215E1">
        <w:rPr>
          <w:rFonts w:cs="Times New Roman"/>
          <w:i/>
          <w:iCs/>
          <w:noProof/>
          <w:szCs w:val="24"/>
        </w:rPr>
        <w:t>Gatekeeper Series</w:t>
      </w:r>
      <w:r w:rsidRPr="007215E1">
        <w:rPr>
          <w:rFonts w:cs="Times New Roman"/>
          <w:noProof/>
          <w:szCs w:val="24"/>
        </w:rPr>
        <w:t xml:space="preserve">, </w:t>
      </w:r>
      <w:r w:rsidRPr="007215E1">
        <w:rPr>
          <w:rFonts w:cs="Times New Roman"/>
          <w:i/>
          <w:iCs/>
          <w:noProof/>
          <w:szCs w:val="24"/>
        </w:rPr>
        <w:t>47</w:t>
      </w:r>
      <w:r w:rsidRPr="007215E1">
        <w:rPr>
          <w:rFonts w:cs="Times New Roman"/>
          <w:noProof/>
          <w:szCs w:val="24"/>
        </w:rPr>
        <w:t>, 28.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Szaboova, L., &amp; Colón, C. (2020). </w:t>
      </w:r>
      <w:r w:rsidRPr="007215E1">
        <w:rPr>
          <w:rFonts w:cs="Times New Roman"/>
          <w:i/>
          <w:iCs/>
          <w:noProof/>
          <w:szCs w:val="24"/>
        </w:rPr>
        <w:t>Concepts, Contexts and Categorisations of Climate Mobility</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Tambaum, T. (2022). </w:t>
      </w:r>
      <w:r w:rsidRPr="007215E1">
        <w:rPr>
          <w:rFonts w:cs="Times New Roman"/>
          <w:i/>
          <w:iCs/>
          <w:noProof/>
          <w:szCs w:val="24"/>
        </w:rPr>
        <w:t>Intergenerational Learning in Action</w:t>
      </w:r>
      <w:r w:rsidRPr="007215E1">
        <w:rPr>
          <w:rFonts w:cs="Times New Roman"/>
          <w:noProof/>
          <w:szCs w:val="24"/>
        </w:rPr>
        <w:t xml:space="preserve"> (pp. 1–24). https://doi.org/10.1007/978-3-030-67930-9_35-1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Tamou, C., de Boer, I. J. M., Ripoll-Bosch, R., &amp; Oosting, S. J. (2018). Understanding roles and functions of cattle breeds for pastoralists in Benin. </w:t>
      </w:r>
      <w:r w:rsidRPr="007215E1">
        <w:rPr>
          <w:rFonts w:cs="Times New Roman"/>
          <w:i/>
          <w:iCs/>
          <w:noProof/>
          <w:szCs w:val="24"/>
        </w:rPr>
        <w:t>Livestock Science</w:t>
      </w:r>
      <w:r w:rsidRPr="007215E1">
        <w:rPr>
          <w:rFonts w:cs="Times New Roman"/>
          <w:noProof/>
          <w:szCs w:val="24"/>
        </w:rPr>
        <w:t xml:space="preserve">, </w:t>
      </w:r>
      <w:r w:rsidRPr="007215E1">
        <w:rPr>
          <w:rFonts w:cs="Times New Roman"/>
          <w:i/>
          <w:iCs/>
          <w:noProof/>
          <w:szCs w:val="24"/>
        </w:rPr>
        <w:t>210</w:t>
      </w:r>
      <w:r w:rsidRPr="007215E1">
        <w:rPr>
          <w:rFonts w:cs="Times New Roman"/>
          <w:noProof/>
          <w:szCs w:val="24"/>
        </w:rPr>
        <w:t>, 129–136. https://doi.org/https://doi.org/10.1016/j.livsci.2018.02.013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Tessema, S., Wesolowski, A., Chen, A., Murphy, M., Wilheim, J., Mupiri, A. R., Ruktanonchai, N. W., Alegana, V. A., Tatem, A. J., Tambo, M., Didier, B., Cohen, J. M., </w:t>
      </w:r>
      <w:r w:rsidRPr="007215E1">
        <w:rPr>
          <w:rFonts w:cs="Times New Roman"/>
          <w:noProof/>
          <w:szCs w:val="24"/>
        </w:rPr>
        <w:lastRenderedPageBreak/>
        <w:t xml:space="preserve">Bennett, A., Sturrock, H. J., Gosling, R., Hsiang, M. S., Smith, D. L., Mumbengegwi, D. R., Smith, J. L., &amp; Greenhouse, B. (2019). Using parasite genetic and human mobility data to infer local and cross- border malaria connectivity in Southern Africa. </w:t>
      </w:r>
      <w:r w:rsidRPr="007215E1">
        <w:rPr>
          <w:rFonts w:cs="Times New Roman"/>
          <w:i/>
          <w:iCs/>
          <w:noProof/>
          <w:szCs w:val="24"/>
        </w:rPr>
        <w:t>ELife</w:t>
      </w:r>
      <w:r w:rsidRPr="007215E1">
        <w:rPr>
          <w:rFonts w:cs="Times New Roman"/>
          <w:noProof/>
          <w:szCs w:val="24"/>
        </w:rPr>
        <w:t xml:space="preserve">, </w:t>
      </w:r>
      <w:r w:rsidRPr="007215E1">
        <w:rPr>
          <w:rFonts w:cs="Times New Roman"/>
          <w:i/>
          <w:iCs/>
          <w:noProof/>
          <w:szCs w:val="24"/>
        </w:rPr>
        <w:t>8</w:t>
      </w:r>
      <w:r w:rsidRPr="007215E1">
        <w:rPr>
          <w:rFonts w:cs="Times New Roman"/>
          <w:noProof/>
          <w:szCs w:val="24"/>
        </w:rPr>
        <w:t>, 1–20. https://doi.org/10.7554/eLife.43510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The White House. (2021). </w:t>
      </w:r>
      <w:r w:rsidRPr="007215E1">
        <w:rPr>
          <w:rFonts w:cs="Times New Roman"/>
          <w:i/>
          <w:iCs/>
          <w:noProof/>
          <w:szCs w:val="24"/>
        </w:rPr>
        <w:t>Report on the Impact of climate change on Migration</w:t>
      </w:r>
      <w:r w:rsidRPr="007215E1">
        <w:rPr>
          <w:rFonts w:cs="Times New Roman"/>
          <w:noProof/>
          <w:szCs w:val="24"/>
        </w:rPr>
        <w:t xml:space="preserve"> (Issue October).</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Throne, R. (2012). </w:t>
      </w:r>
      <w:r w:rsidRPr="007215E1">
        <w:rPr>
          <w:rFonts w:cs="Times New Roman"/>
          <w:i/>
          <w:iCs/>
          <w:noProof/>
          <w:szCs w:val="24"/>
        </w:rPr>
        <w:t>Positionality</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Tilman, D. (1997). Distinguishing between the effects of species diversity and species composition. </w:t>
      </w:r>
      <w:r w:rsidRPr="007215E1">
        <w:rPr>
          <w:rFonts w:cs="Times New Roman"/>
          <w:i/>
          <w:iCs/>
          <w:noProof/>
          <w:szCs w:val="24"/>
        </w:rPr>
        <w:t>Oikos</w:t>
      </w:r>
      <w:r w:rsidRPr="007215E1">
        <w:rPr>
          <w:rFonts w:cs="Times New Roman"/>
          <w:noProof/>
          <w:szCs w:val="24"/>
        </w:rPr>
        <w:t xml:space="preserve">, </w:t>
      </w:r>
      <w:r w:rsidRPr="007215E1">
        <w:rPr>
          <w:rFonts w:cs="Times New Roman"/>
          <w:i/>
          <w:iCs/>
          <w:noProof/>
          <w:szCs w:val="24"/>
        </w:rPr>
        <w:t>80</w:t>
      </w:r>
      <w:r w:rsidRPr="007215E1">
        <w:rPr>
          <w:rFonts w:cs="Times New Roman"/>
          <w:noProof/>
          <w:szCs w:val="24"/>
        </w:rPr>
        <w:t>, 185. https://api.semanticscholar.org/CorpusID:88172564</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Timpong-Jones, E. C., Samuels, I., Sarkwa, F. O., Oppong-Anane, K., &amp; Majekodumni, A. O. (2023). Transhumance pastoralism in West Africa–its importance, policies and challenges. </w:t>
      </w:r>
      <w:r w:rsidRPr="007215E1">
        <w:rPr>
          <w:rFonts w:cs="Times New Roman"/>
          <w:i/>
          <w:iCs/>
          <w:noProof/>
          <w:szCs w:val="24"/>
        </w:rPr>
        <w:t>African Journal of Range and Forage Science</w:t>
      </w:r>
      <w:r w:rsidRPr="007215E1">
        <w:rPr>
          <w:rFonts w:cs="Times New Roman"/>
          <w:noProof/>
          <w:szCs w:val="24"/>
        </w:rPr>
        <w:t xml:space="preserve">, </w:t>
      </w:r>
      <w:r w:rsidRPr="007215E1">
        <w:rPr>
          <w:rFonts w:cs="Times New Roman"/>
          <w:i/>
          <w:iCs/>
          <w:noProof/>
          <w:szCs w:val="24"/>
        </w:rPr>
        <w:t>40</w:t>
      </w:r>
      <w:r w:rsidRPr="007215E1">
        <w:rPr>
          <w:rFonts w:cs="Times New Roman"/>
          <w:noProof/>
          <w:szCs w:val="24"/>
        </w:rPr>
        <w:t>(1), 114–128. https://doi.org/10.2989/10220119.2022.2160012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Tonah, S. (2005). Chieftaincy succession disputes and the challenge to traditional authority in Mamprugu - northern Ghana. </w:t>
      </w:r>
      <w:r w:rsidRPr="007215E1">
        <w:rPr>
          <w:rFonts w:cs="Times New Roman"/>
          <w:i/>
          <w:iCs/>
          <w:noProof/>
          <w:szCs w:val="24"/>
        </w:rPr>
        <w:t>Research Review of the Institute of African Studies</w:t>
      </w:r>
      <w:r w:rsidRPr="007215E1">
        <w:rPr>
          <w:rFonts w:cs="Times New Roman"/>
          <w:noProof/>
          <w:szCs w:val="24"/>
        </w:rPr>
        <w:t xml:space="preserve">, </w:t>
      </w:r>
      <w:r w:rsidRPr="007215E1">
        <w:rPr>
          <w:rFonts w:cs="Times New Roman"/>
          <w:i/>
          <w:iCs/>
          <w:noProof/>
          <w:szCs w:val="24"/>
        </w:rPr>
        <w:t>21</w:t>
      </w:r>
      <w:r w:rsidRPr="007215E1">
        <w:rPr>
          <w:rFonts w:cs="Times New Roman"/>
          <w:noProof/>
          <w:szCs w:val="24"/>
        </w:rPr>
        <w:t>. https://doi.org/10.4314/rrias.v21i1.22932</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Toulmin, C., &amp; Krätli, S. (2020). </w:t>
      </w:r>
      <w:r w:rsidRPr="007215E1">
        <w:rPr>
          <w:rFonts w:cs="Times New Roman"/>
          <w:i/>
          <w:iCs/>
          <w:noProof/>
          <w:szCs w:val="24"/>
        </w:rPr>
        <w:t>Farmer-herder conflict in sub-Saharan Africa?</w:t>
      </w:r>
      <w:r w:rsidRPr="007215E1">
        <w:rPr>
          <w:rFonts w:cs="Times New Roman"/>
          <w:noProof/>
          <w:szCs w:val="24"/>
        </w:rPr>
        <w:t xml:space="preserve"> http://pubs.iied.org/10208IIED ISBN:</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Turner, M. D., &amp; Schlecht, E. (2019). Livestock mobility in sub-Saharan Africa: A critical review. </w:t>
      </w:r>
      <w:r w:rsidRPr="007215E1">
        <w:rPr>
          <w:rFonts w:cs="Times New Roman"/>
          <w:i/>
          <w:iCs/>
          <w:noProof/>
          <w:szCs w:val="24"/>
        </w:rPr>
        <w:t>Pastoralism</w:t>
      </w:r>
      <w:r w:rsidRPr="007215E1">
        <w:rPr>
          <w:rFonts w:cs="Times New Roman"/>
          <w:noProof/>
          <w:szCs w:val="24"/>
        </w:rPr>
        <w:t xml:space="preserve">, </w:t>
      </w:r>
      <w:r w:rsidRPr="007215E1">
        <w:rPr>
          <w:rFonts w:cs="Times New Roman"/>
          <w:i/>
          <w:iCs/>
          <w:noProof/>
          <w:szCs w:val="24"/>
        </w:rPr>
        <w:t>9</w:t>
      </w:r>
      <w:r w:rsidRPr="007215E1">
        <w:rPr>
          <w:rFonts w:cs="Times New Roman"/>
          <w:noProof/>
          <w:szCs w:val="24"/>
        </w:rPr>
        <w:t>(1). https://doi.org/10.1186/s13570-019-0150-z</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Tymore, M. (2020). </w:t>
      </w:r>
      <w:r w:rsidRPr="007215E1">
        <w:rPr>
          <w:rFonts w:cs="Times New Roman"/>
          <w:i/>
          <w:iCs/>
          <w:noProof/>
          <w:szCs w:val="24"/>
        </w:rPr>
        <w:t>Climate Change &amp; Human Mobility ; The interconnectedness of colonial , contemporary development policies , and climate change in shaping human mobility in Zimbabwe ’ s small - scale rural farming areas By Trymore Maganga</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lastRenderedPageBreak/>
        <w:t xml:space="preserve">Uddin, M. E., &amp; Kebreab, E. (2020). Review: Impact of Food and Climate Change on Pastoral Industries. </w:t>
      </w:r>
      <w:r w:rsidRPr="007215E1">
        <w:rPr>
          <w:rFonts w:cs="Times New Roman"/>
          <w:i/>
          <w:iCs/>
          <w:noProof/>
          <w:szCs w:val="24"/>
        </w:rPr>
        <w:t>Frontiers in Sustainable Food Systems</w:t>
      </w:r>
      <w:r w:rsidRPr="007215E1">
        <w:rPr>
          <w:rFonts w:cs="Times New Roman"/>
          <w:noProof/>
          <w:szCs w:val="24"/>
        </w:rPr>
        <w:t xml:space="preserve">, </w:t>
      </w:r>
      <w:r w:rsidRPr="007215E1">
        <w:rPr>
          <w:rFonts w:cs="Times New Roman"/>
          <w:i/>
          <w:iCs/>
          <w:noProof/>
          <w:szCs w:val="24"/>
        </w:rPr>
        <w:t>4</w:t>
      </w:r>
      <w:r w:rsidRPr="007215E1">
        <w:rPr>
          <w:rFonts w:cs="Times New Roman"/>
          <w:noProof/>
          <w:szCs w:val="24"/>
        </w:rPr>
        <w:t>(October), 1–13. https://doi.org/10.3389/fsufs.2020.543403</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UN. (2010). Advocating for Safe Movement as a Climate Change Adaptation Strategy for Pastoralists in the Horn and East Africa. </w:t>
      </w:r>
      <w:r w:rsidRPr="007215E1">
        <w:rPr>
          <w:rFonts w:cs="Times New Roman"/>
          <w:i/>
          <w:iCs/>
          <w:noProof/>
          <w:szCs w:val="24"/>
        </w:rPr>
        <w:t>UN Office for the Coordination of Humanitarian Affairs</w:t>
      </w:r>
      <w:r w:rsidRPr="007215E1">
        <w:rPr>
          <w:rFonts w:cs="Times New Roman"/>
          <w:noProof/>
          <w:szCs w:val="24"/>
        </w:rPr>
        <w:t>, 1–22. http://ochaonline.un.org/rocea</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UNDP. (2021). </w:t>
      </w:r>
      <w:r w:rsidRPr="007215E1">
        <w:rPr>
          <w:rFonts w:cs="Times New Roman"/>
          <w:i/>
          <w:iCs/>
          <w:noProof/>
          <w:szCs w:val="24"/>
        </w:rPr>
        <w:t>Environment and Climate Change in Ghana: Policy Brief</w:t>
      </w:r>
      <w:r w:rsidRPr="007215E1">
        <w:rPr>
          <w:rFonts w:cs="Times New Roman"/>
          <w:noProof/>
          <w:szCs w:val="24"/>
        </w:rPr>
        <w:t xml:space="preserve">. </w:t>
      </w:r>
      <w:r w:rsidRPr="007215E1">
        <w:rPr>
          <w:rFonts w:cs="Times New Roman"/>
          <w:i/>
          <w:iCs/>
          <w:noProof/>
          <w:szCs w:val="24"/>
        </w:rPr>
        <w:t>December</w:t>
      </w:r>
      <w:r w:rsidRPr="007215E1">
        <w:rPr>
          <w:rFonts w:cs="Times New Roman"/>
          <w:noProof/>
          <w:szCs w:val="24"/>
        </w:rPr>
        <w:t>, 1–10. http://www.energycom.gov.gh/files/concept note D</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UNEP. (1985). Environmental Refugees. In </w:t>
      </w:r>
      <w:r w:rsidRPr="007215E1">
        <w:rPr>
          <w:rFonts w:ascii="Leelawadee UI" w:hAnsi="Leelawadee UI" w:cs="Leelawadee UI"/>
          <w:i/>
          <w:iCs/>
          <w:noProof/>
          <w:szCs w:val="24"/>
        </w:rPr>
        <w:t>วารสารวิชาการมหาวิทยาลัยอีสเทิร์นเอเชีย</w:t>
      </w:r>
      <w:r w:rsidRPr="007215E1">
        <w:rPr>
          <w:rFonts w:cs="Times New Roman"/>
          <w:noProof/>
          <w:szCs w:val="24"/>
        </w:rPr>
        <w:t xml:space="preserve"> (Vol. 4, Issue 1). Bibliography: p. 41.</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United nation. (2021). </w:t>
      </w:r>
      <w:r w:rsidRPr="007215E1">
        <w:rPr>
          <w:rFonts w:cs="Times New Roman"/>
          <w:i/>
          <w:iCs/>
          <w:noProof/>
          <w:szCs w:val="24"/>
        </w:rPr>
        <w:t>SDG INDICATOR 10.7.2</w:t>
      </w:r>
      <w:r w:rsidRPr="007215E1">
        <w:rPr>
          <w:rFonts w:cs="Times New Roman"/>
          <w:noProof/>
          <w:szCs w:val="24"/>
        </w:rPr>
        <w:t>. 1–8.</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UNOWAS. (2018). </w:t>
      </w:r>
      <w:r w:rsidRPr="007215E1">
        <w:rPr>
          <w:rFonts w:cs="Times New Roman"/>
          <w:i/>
          <w:iCs/>
          <w:noProof/>
          <w:szCs w:val="24"/>
        </w:rPr>
        <w:t>Pastoralism and Security in West Africa and the Sahel Towards Peaceful Coexistence</w:t>
      </w:r>
      <w:r w:rsidRPr="007215E1">
        <w:rPr>
          <w:rFonts w:cs="Times New Roman"/>
          <w:noProof/>
          <w:szCs w:val="24"/>
        </w:rPr>
        <w:t>. 1–90. https://unowas.unmissions.org/sites/default/files/rapport_pastoralisme_eng-april_2019_-_online.pdf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USAID. (2016). USAID East Africa Resilience Learning Project RESILIENCE AND RISK IN PASTORALIST AREAS : RECENT TRENDS IN DIVERSIFIED. </w:t>
      </w:r>
      <w:r w:rsidRPr="007215E1">
        <w:rPr>
          <w:rFonts w:cs="Times New Roman"/>
          <w:i/>
          <w:iCs/>
          <w:noProof/>
          <w:szCs w:val="24"/>
        </w:rPr>
        <w:t>Feed the Future</w:t>
      </w:r>
      <w:r w:rsidRPr="007215E1">
        <w:rPr>
          <w:rFonts w:cs="Times New Roman"/>
          <w:noProof/>
          <w:szCs w:val="24"/>
        </w:rPr>
        <w:t>.</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USAID. (2017). </w:t>
      </w:r>
      <w:r w:rsidRPr="007215E1">
        <w:rPr>
          <w:rFonts w:cs="Times New Roman"/>
          <w:i/>
          <w:iCs/>
          <w:noProof/>
          <w:szCs w:val="24"/>
        </w:rPr>
        <w:t>Climate Change Risk Profile: GHANA</w:t>
      </w:r>
      <w:r w:rsidRPr="007215E1">
        <w:rPr>
          <w:rFonts w:cs="Times New Roman"/>
          <w:noProof/>
          <w:szCs w:val="24"/>
        </w:rPr>
        <w:t xml:space="preserve">. </w:t>
      </w:r>
      <w:r w:rsidRPr="007215E1">
        <w:rPr>
          <w:rFonts w:cs="Times New Roman"/>
          <w:i/>
          <w:iCs/>
          <w:noProof/>
          <w:szCs w:val="24"/>
        </w:rPr>
        <w:t>January</w:t>
      </w:r>
      <w:r w:rsidRPr="007215E1">
        <w:rPr>
          <w:rFonts w:cs="Times New Roman"/>
          <w:noProof/>
          <w:szCs w:val="24"/>
        </w:rPr>
        <w:t>. https://www.climatelinks.org/sites/default/files/asset/document/2017_USAID ATLAS_Climate Risk Profile - India.pdf</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Vicente, M., Priehodová, E., Diallo, I., Podgorná, E., Poloni, E. S., Černý, V., &amp; Schlebusch, C. M. (2019). Population history and genetic adaptation of the Fulani nomads: inferences from genome-wide data and the lactase persistence trait. </w:t>
      </w:r>
      <w:r w:rsidRPr="007215E1">
        <w:rPr>
          <w:rFonts w:cs="Times New Roman"/>
          <w:i/>
          <w:iCs/>
          <w:noProof/>
          <w:szCs w:val="24"/>
        </w:rPr>
        <w:t>BMC Genomics</w:t>
      </w:r>
      <w:r w:rsidRPr="007215E1">
        <w:rPr>
          <w:rFonts w:cs="Times New Roman"/>
          <w:noProof/>
          <w:szCs w:val="24"/>
        </w:rPr>
        <w:t xml:space="preserve">, </w:t>
      </w:r>
      <w:r w:rsidRPr="007215E1">
        <w:rPr>
          <w:rFonts w:cs="Times New Roman"/>
          <w:i/>
          <w:iCs/>
          <w:noProof/>
          <w:szCs w:val="24"/>
        </w:rPr>
        <w:t>20</w:t>
      </w:r>
      <w:r w:rsidRPr="007215E1">
        <w:rPr>
          <w:rFonts w:cs="Times New Roman"/>
          <w:noProof/>
          <w:szCs w:val="24"/>
        </w:rPr>
        <w:t xml:space="preserve">(1), 915. </w:t>
      </w:r>
      <w:r w:rsidRPr="007215E1">
        <w:rPr>
          <w:rFonts w:cs="Times New Roman"/>
          <w:noProof/>
          <w:szCs w:val="24"/>
        </w:rPr>
        <w:lastRenderedPageBreak/>
        <w:t>https://doi.org/10.1186/s12864-019-6296-7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Walliman, N. (2011). </w:t>
      </w:r>
      <w:r w:rsidRPr="007215E1">
        <w:rPr>
          <w:rFonts w:cs="Times New Roman"/>
          <w:i/>
          <w:iCs/>
          <w:noProof/>
          <w:szCs w:val="24"/>
        </w:rPr>
        <w:t>Your research project: Designing and planning your work</w:t>
      </w:r>
      <w:r w:rsidRPr="007215E1">
        <w:rPr>
          <w:rFonts w:cs="Times New Roman"/>
          <w:noProof/>
          <w:szCs w:val="24"/>
        </w:rPr>
        <w:t>. Sage Publications.</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Weesie, R. (2019). Towards adaptive commons: A case study of agro-pastoral dams in Northern Ghana. </w:t>
      </w:r>
      <w:r w:rsidRPr="007215E1">
        <w:rPr>
          <w:rFonts w:cs="Times New Roman"/>
          <w:i/>
          <w:iCs/>
          <w:noProof/>
          <w:szCs w:val="24"/>
        </w:rPr>
        <w:t>Sustainability (Switzerland)</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(2). https://doi.org/10.3390/su11020319</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Wiegel, H., Boas, I., &amp; Warner, J. (2019). A mobilities perspective on migration in the context of environmental change. </w:t>
      </w:r>
      <w:r w:rsidRPr="007215E1">
        <w:rPr>
          <w:rFonts w:cs="Times New Roman"/>
          <w:i/>
          <w:iCs/>
          <w:noProof/>
          <w:szCs w:val="24"/>
        </w:rPr>
        <w:t>Wiley Interdisciplinary Reviews: Climate Change</w:t>
      </w:r>
      <w:r w:rsidRPr="007215E1">
        <w:rPr>
          <w:rFonts w:cs="Times New Roman"/>
          <w:noProof/>
          <w:szCs w:val="24"/>
        </w:rPr>
        <w:t xml:space="preserve">, </w:t>
      </w:r>
      <w:r w:rsidRPr="007215E1">
        <w:rPr>
          <w:rFonts w:cs="Times New Roman"/>
          <w:i/>
          <w:iCs/>
          <w:noProof/>
          <w:szCs w:val="24"/>
        </w:rPr>
        <w:t>10</w:t>
      </w:r>
      <w:r w:rsidRPr="007215E1">
        <w:rPr>
          <w:rFonts w:cs="Times New Roman"/>
          <w:noProof/>
          <w:szCs w:val="24"/>
        </w:rPr>
        <w:t>(6), 1–9. https://doi.org/10.1002/wcc.610</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World Bank. (2021). </w:t>
      </w:r>
      <w:r w:rsidRPr="007215E1">
        <w:rPr>
          <w:rFonts w:cs="Times New Roman"/>
          <w:i/>
          <w:iCs/>
          <w:noProof/>
          <w:szCs w:val="24"/>
        </w:rPr>
        <w:t>Climate risk country profile - Ghana</w:t>
      </w:r>
      <w:r w:rsidRPr="007215E1">
        <w:rPr>
          <w:rFonts w:cs="Times New Roman"/>
          <w:noProof/>
          <w:szCs w:val="24"/>
        </w:rPr>
        <w:t>. 32. www.worldbank.org</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szCs w:val="24"/>
        </w:rPr>
      </w:pPr>
      <w:r w:rsidRPr="007215E1">
        <w:rPr>
          <w:rFonts w:cs="Times New Roman"/>
          <w:noProof/>
          <w:szCs w:val="24"/>
        </w:rPr>
        <w:t xml:space="preserve">Yidana, A., Mensah, A., Salifu, M., &amp; Owusu, K. (2018). Social Differences in the Vulnerability and Adaptation Patterns among Smallholder Farmers : Evidence from Lawra District in the Upper West Region of Ghana . </w:t>
      </w:r>
      <w:r w:rsidRPr="007215E1">
        <w:rPr>
          <w:rFonts w:cs="Times New Roman"/>
          <w:i/>
          <w:iCs/>
          <w:noProof/>
          <w:szCs w:val="24"/>
        </w:rPr>
        <w:t>Journal of Economics and Sustainable Development</w:t>
      </w:r>
      <w:r w:rsidRPr="007215E1">
        <w:rPr>
          <w:rFonts w:cs="Times New Roman"/>
          <w:noProof/>
          <w:szCs w:val="24"/>
        </w:rPr>
        <w:t xml:space="preserve">, </w:t>
      </w:r>
      <w:r w:rsidRPr="007215E1">
        <w:rPr>
          <w:rFonts w:cs="Times New Roman"/>
          <w:i/>
          <w:iCs/>
          <w:noProof/>
          <w:szCs w:val="24"/>
        </w:rPr>
        <w:t>9</w:t>
      </w:r>
      <w:r w:rsidRPr="007215E1">
        <w:rPr>
          <w:rFonts w:cs="Times New Roman"/>
          <w:noProof/>
          <w:szCs w:val="24"/>
        </w:rPr>
        <w:t>(10), 175–187.</w:t>
      </w:r>
    </w:p>
    <w:p w:rsidR="007215E1" w:rsidRPr="007215E1" w:rsidRDefault="007215E1" w:rsidP="007215E1">
      <w:pPr>
        <w:widowControl w:val="0"/>
        <w:autoSpaceDE w:val="0"/>
        <w:autoSpaceDN w:val="0"/>
        <w:adjustRightInd w:val="0"/>
        <w:spacing w:before="0" w:after="0" w:line="480" w:lineRule="auto"/>
        <w:ind w:left="480" w:hanging="480"/>
        <w:rPr>
          <w:rFonts w:cs="Times New Roman"/>
          <w:noProof/>
        </w:rPr>
      </w:pPr>
      <w:r w:rsidRPr="007215E1">
        <w:rPr>
          <w:rFonts w:cs="Times New Roman"/>
          <w:noProof/>
          <w:szCs w:val="24"/>
        </w:rPr>
        <w:t xml:space="preserve">Zampaligré, N., &amp; Fuchs, L. E. (2019). Determinants of adoption of multiple climate-smart adaptation practices in Sudano-Sahelian pastoral and agro-pastoral production systems. </w:t>
      </w:r>
      <w:r w:rsidRPr="007215E1">
        <w:rPr>
          <w:rFonts w:cs="Times New Roman"/>
          <w:i/>
          <w:iCs/>
          <w:noProof/>
          <w:szCs w:val="24"/>
        </w:rPr>
        <w:t>Sustainability (Switzerland)</w:t>
      </w:r>
      <w:r w:rsidRPr="007215E1">
        <w:rPr>
          <w:rFonts w:cs="Times New Roman"/>
          <w:noProof/>
          <w:szCs w:val="24"/>
        </w:rPr>
        <w:t xml:space="preserve">, </w:t>
      </w:r>
      <w:r w:rsidRPr="007215E1">
        <w:rPr>
          <w:rFonts w:cs="Times New Roman"/>
          <w:i/>
          <w:iCs/>
          <w:noProof/>
          <w:szCs w:val="24"/>
        </w:rPr>
        <w:t>11</w:t>
      </w:r>
      <w:r w:rsidRPr="007215E1">
        <w:rPr>
          <w:rFonts w:cs="Times New Roman"/>
          <w:noProof/>
          <w:szCs w:val="24"/>
        </w:rPr>
        <w:t>(18), 1–15. https://doi.org/10.3390/su11184831</w:t>
      </w:r>
    </w:p>
    <w:p w:rsidR="00E53882" w:rsidRDefault="00B16FF7">
      <w:pPr>
        <w:spacing w:before="0" w:after="0" w:line="480" w:lineRule="auto"/>
        <w:rPr>
          <w:rFonts w:cs="Times New Roman"/>
          <w:b/>
          <w:szCs w:val="24"/>
        </w:rPr>
      </w:pPr>
      <w:r>
        <w:rPr>
          <w:rFonts w:cs="Times New Roman"/>
          <w:b/>
          <w:szCs w:val="24"/>
        </w:rPr>
        <w:fldChar w:fldCharType="end"/>
      </w:r>
    </w:p>
    <w:p w:rsidR="007215E1" w:rsidRDefault="007215E1">
      <w:pPr>
        <w:spacing w:before="0" w:after="0" w:line="480" w:lineRule="auto"/>
        <w:rPr>
          <w:rFonts w:cs="Times New Roman"/>
          <w:b/>
          <w:szCs w:val="24"/>
        </w:rPr>
      </w:pPr>
    </w:p>
    <w:p w:rsidR="007215E1" w:rsidRDefault="007215E1">
      <w:pPr>
        <w:spacing w:before="0" w:after="0" w:line="480" w:lineRule="auto"/>
        <w:rPr>
          <w:rFonts w:cs="Times New Roman"/>
          <w:b/>
          <w:szCs w:val="24"/>
        </w:rPr>
      </w:pPr>
    </w:p>
    <w:p w:rsidR="007215E1" w:rsidRDefault="007215E1">
      <w:pPr>
        <w:spacing w:before="0" w:after="0" w:line="480" w:lineRule="auto"/>
        <w:rPr>
          <w:rFonts w:cs="Times New Roman"/>
          <w:b/>
          <w:szCs w:val="24"/>
        </w:rPr>
      </w:pPr>
    </w:p>
    <w:p w:rsidR="007215E1" w:rsidRDefault="007215E1">
      <w:pPr>
        <w:spacing w:before="0" w:after="0" w:line="480" w:lineRule="auto"/>
        <w:rPr>
          <w:rFonts w:cs="Times New Roman"/>
          <w:b/>
          <w:szCs w:val="24"/>
        </w:rPr>
      </w:pPr>
    </w:p>
    <w:p w:rsidR="007215E1" w:rsidRDefault="007215E1">
      <w:pPr>
        <w:spacing w:before="0" w:after="0" w:line="480" w:lineRule="auto"/>
        <w:rPr>
          <w:rFonts w:cs="Times New Roman"/>
          <w:b/>
          <w:szCs w:val="24"/>
        </w:rPr>
      </w:pPr>
    </w:p>
    <w:p w:rsidR="00E53882" w:rsidRDefault="00B16FF7">
      <w:pPr>
        <w:spacing w:after="0" w:line="480" w:lineRule="auto"/>
        <w:jc w:val="center"/>
        <w:rPr>
          <w:rFonts w:cs="Times New Roman"/>
          <w:b/>
          <w:szCs w:val="24"/>
        </w:rPr>
      </w:pPr>
      <w:r>
        <w:rPr>
          <w:rFonts w:cs="Times New Roman"/>
          <w:b/>
          <w:szCs w:val="24"/>
        </w:rPr>
        <w:lastRenderedPageBreak/>
        <w:t>Appendix A1</w:t>
      </w:r>
    </w:p>
    <w:p w:rsidR="00E53882" w:rsidRDefault="00B16FF7">
      <w:pPr>
        <w:spacing w:after="0" w:line="480" w:lineRule="auto"/>
        <w:rPr>
          <w:rFonts w:cs="Times New Roman"/>
          <w:b/>
          <w:szCs w:val="24"/>
        </w:rPr>
      </w:pPr>
      <w:r>
        <w:rPr>
          <w:rFonts w:cs="Times New Roman"/>
          <w:b/>
          <w:szCs w:val="24"/>
        </w:rPr>
        <w:t xml:space="preserve">Introduction </w:t>
      </w:r>
    </w:p>
    <w:p w:rsidR="00E53882" w:rsidRDefault="00B16FF7">
      <w:pPr>
        <w:spacing w:after="0" w:line="480" w:lineRule="auto"/>
        <w:rPr>
          <w:rFonts w:cs="Times New Roman"/>
          <w:i/>
          <w:szCs w:val="24"/>
        </w:rPr>
      </w:pPr>
      <w:r>
        <w:rPr>
          <w:rFonts w:cs="Times New Roman"/>
          <w:i/>
          <w:szCs w:val="24"/>
        </w:rPr>
        <w:t xml:space="preserve">My name is Abdul </w:t>
      </w:r>
      <w:proofErr w:type="spellStart"/>
      <w:r>
        <w:rPr>
          <w:rFonts w:cs="Times New Roman"/>
          <w:i/>
          <w:szCs w:val="24"/>
        </w:rPr>
        <w:t>Ganiyu</w:t>
      </w:r>
      <w:proofErr w:type="spellEnd"/>
      <w:r>
        <w:rPr>
          <w:rFonts w:cs="Times New Roman"/>
          <w:i/>
          <w:szCs w:val="24"/>
        </w:rPr>
        <w:t xml:space="preserve"> Alhassan I am a graduate student from the SDD University of Business and Integrated Development Studies working towards attaining MPhil Degree in Development Management. As part of my studies, I am interviewing pastoralists in </w:t>
      </w:r>
      <w:proofErr w:type="spellStart"/>
      <w:r>
        <w:rPr>
          <w:rFonts w:cs="Times New Roman"/>
          <w:i/>
          <w:szCs w:val="24"/>
        </w:rPr>
        <w:t>Gusheigu</w:t>
      </w:r>
      <w:proofErr w:type="spellEnd"/>
      <w:r>
        <w:rPr>
          <w:rFonts w:cs="Times New Roman"/>
          <w:i/>
          <w:szCs w:val="24"/>
        </w:rPr>
        <w:t xml:space="preserve"> Municipal to learn more about how climate change has influence their movement and how they deal with various challenges in the course of their movement. The answers given during the interview will be kept absolutely confidential and anonymous and will be used to help me learn more about the lives and needs of pastoralists. Further, the answers will also add to a larger study working toward ensuring better policies and programs for helping pastoralists as they face a variety of problems. Participation is voluntary and you can stop at any time, but we would really appreciate it if you could spare some of your time for this interview</w:t>
      </w:r>
    </w:p>
    <w:p w:rsidR="00E53882" w:rsidRDefault="00B16FF7">
      <w:pPr>
        <w:spacing w:after="0" w:line="480" w:lineRule="auto"/>
        <w:rPr>
          <w:rFonts w:cs="Times New Roman"/>
          <w:b/>
          <w:szCs w:val="24"/>
        </w:rPr>
      </w:pPr>
      <w:r>
        <w:rPr>
          <w:rFonts w:cs="Times New Roman"/>
          <w:b/>
          <w:szCs w:val="24"/>
        </w:rPr>
        <w:t xml:space="preserve">Key Informant Interview Guide  </w:t>
      </w:r>
    </w:p>
    <w:p w:rsidR="00E53882" w:rsidRDefault="00B16FF7">
      <w:pPr>
        <w:spacing w:after="0" w:line="480" w:lineRule="auto"/>
        <w:rPr>
          <w:rFonts w:cs="Times New Roman"/>
          <w:b/>
          <w:szCs w:val="24"/>
        </w:rPr>
      </w:pPr>
      <w:r>
        <w:rPr>
          <w:rFonts w:cs="Times New Roman"/>
          <w:b/>
          <w:szCs w:val="24"/>
        </w:rPr>
        <w:t>Background</w:t>
      </w:r>
    </w:p>
    <w:tbl>
      <w:tblPr>
        <w:tblStyle w:val="TableGrid"/>
        <w:tblW w:w="0" w:type="auto"/>
        <w:tblLook w:val="04A0" w:firstRow="1" w:lastRow="0" w:firstColumn="1" w:lastColumn="0" w:noHBand="0" w:noVBand="1"/>
      </w:tblPr>
      <w:tblGrid>
        <w:gridCol w:w="4460"/>
        <w:gridCol w:w="4458"/>
      </w:tblGrid>
      <w:tr w:rsidR="00E53882">
        <w:tc>
          <w:tcPr>
            <w:tcW w:w="4508" w:type="dxa"/>
          </w:tcPr>
          <w:p w:rsidR="00E53882" w:rsidRDefault="00B16FF7">
            <w:pPr>
              <w:spacing w:line="480" w:lineRule="auto"/>
              <w:rPr>
                <w:rFonts w:cs="Times New Roman"/>
                <w:szCs w:val="24"/>
                <w:lang w:val="en-US"/>
              </w:rPr>
            </w:pPr>
            <w:r>
              <w:rPr>
                <w:rFonts w:cs="Times New Roman"/>
                <w:szCs w:val="24"/>
                <w:lang w:val="en-US"/>
              </w:rPr>
              <w:t>Date::</w:t>
            </w:r>
          </w:p>
        </w:tc>
        <w:tc>
          <w:tcPr>
            <w:tcW w:w="4508" w:type="dxa"/>
          </w:tcPr>
          <w:p w:rsidR="00E53882" w:rsidRDefault="00B16FF7">
            <w:pPr>
              <w:spacing w:line="480" w:lineRule="auto"/>
              <w:rPr>
                <w:rFonts w:cs="Times New Roman"/>
                <w:szCs w:val="24"/>
                <w:lang w:val="en-US"/>
              </w:rPr>
            </w:pPr>
            <w:r>
              <w:rPr>
                <w:rFonts w:cs="Times New Roman"/>
                <w:szCs w:val="24"/>
                <w:lang w:val="en-US"/>
              </w:rPr>
              <w:t xml:space="preserve">Name of Participant:  </w:t>
            </w:r>
          </w:p>
        </w:tc>
      </w:tr>
      <w:tr w:rsidR="00E53882">
        <w:tc>
          <w:tcPr>
            <w:tcW w:w="4508" w:type="dxa"/>
          </w:tcPr>
          <w:p w:rsidR="00E53882" w:rsidRDefault="00B16FF7">
            <w:pPr>
              <w:spacing w:line="480" w:lineRule="auto"/>
              <w:rPr>
                <w:rFonts w:cs="Times New Roman"/>
                <w:szCs w:val="24"/>
                <w:lang w:val="en-US"/>
              </w:rPr>
            </w:pPr>
            <w:r>
              <w:rPr>
                <w:rFonts w:cs="Times New Roman"/>
                <w:szCs w:val="24"/>
                <w:lang w:val="en-US"/>
              </w:rPr>
              <w:t xml:space="preserve">Community:   </w:t>
            </w:r>
          </w:p>
        </w:tc>
        <w:tc>
          <w:tcPr>
            <w:tcW w:w="4508" w:type="dxa"/>
          </w:tcPr>
          <w:p w:rsidR="00E53882" w:rsidRDefault="00B16FF7">
            <w:pPr>
              <w:spacing w:line="480" w:lineRule="auto"/>
              <w:rPr>
                <w:rFonts w:cs="Times New Roman"/>
                <w:szCs w:val="24"/>
                <w:lang w:val="en-US"/>
              </w:rPr>
            </w:pPr>
            <w:r>
              <w:rPr>
                <w:rFonts w:cs="Times New Roman"/>
                <w:szCs w:val="24"/>
                <w:lang w:val="en-US"/>
              </w:rPr>
              <w:t>Number of HH:</w:t>
            </w:r>
          </w:p>
        </w:tc>
      </w:tr>
    </w:tbl>
    <w:p w:rsidR="00E53882" w:rsidRDefault="00E53882">
      <w:pPr>
        <w:spacing w:line="480" w:lineRule="auto"/>
        <w:rPr>
          <w:rFonts w:eastAsia="Calibri" w:cs="Times New Roman"/>
          <w:b/>
          <w:szCs w:val="24"/>
        </w:rPr>
      </w:pPr>
    </w:p>
    <w:p w:rsidR="00E53882" w:rsidRDefault="00E53882">
      <w:pPr>
        <w:spacing w:line="480" w:lineRule="auto"/>
        <w:rPr>
          <w:rFonts w:eastAsia="Calibri" w:cs="Times New Roman"/>
          <w:b/>
          <w:szCs w:val="24"/>
        </w:rPr>
      </w:pPr>
    </w:p>
    <w:p w:rsidR="00E53882" w:rsidRDefault="00E53882">
      <w:pPr>
        <w:spacing w:line="480" w:lineRule="auto"/>
        <w:rPr>
          <w:rFonts w:eastAsia="Calibri" w:cs="Times New Roman"/>
          <w:b/>
          <w:szCs w:val="24"/>
        </w:rPr>
      </w:pPr>
    </w:p>
    <w:p w:rsidR="00E53882" w:rsidRDefault="00B16FF7">
      <w:pPr>
        <w:spacing w:before="0" w:after="0" w:line="480" w:lineRule="auto"/>
        <w:rPr>
          <w:rFonts w:eastAsia="Calibri" w:cs="Times New Roman"/>
          <w:b/>
          <w:szCs w:val="24"/>
        </w:rPr>
      </w:pPr>
      <w:r>
        <w:rPr>
          <w:rFonts w:eastAsia="Calibri" w:cs="Times New Roman"/>
          <w:b/>
          <w:szCs w:val="24"/>
        </w:rPr>
        <w:lastRenderedPageBreak/>
        <w:t>Characteristics of Pastoralists</w:t>
      </w:r>
    </w:p>
    <w:p w:rsidR="00E53882" w:rsidRDefault="00B16FF7">
      <w:pPr>
        <w:numPr>
          <w:ilvl w:val="0"/>
          <w:numId w:val="11"/>
        </w:numPr>
        <w:spacing w:before="0" w:after="0" w:line="480" w:lineRule="auto"/>
        <w:contextualSpacing/>
        <w:jc w:val="left"/>
        <w:rPr>
          <w:rFonts w:eastAsia="Calibri" w:cs="Times New Roman"/>
          <w:szCs w:val="24"/>
        </w:rPr>
      </w:pPr>
      <w:r>
        <w:rPr>
          <w:rFonts w:eastAsia="Calibri" w:cs="Times New Roman"/>
          <w:szCs w:val="24"/>
        </w:rPr>
        <w:t xml:space="preserve">Tell me about your background (If the respondent is </w:t>
      </w:r>
      <w:proofErr w:type="spellStart"/>
      <w:r>
        <w:rPr>
          <w:rFonts w:eastAsia="Calibri" w:cs="Times New Roman"/>
          <w:szCs w:val="24"/>
        </w:rPr>
        <w:t>fulbe</w:t>
      </w:r>
      <w:proofErr w:type="spellEnd"/>
      <w:r>
        <w:rPr>
          <w:rFonts w:eastAsia="Calibri" w:cs="Times New Roman"/>
          <w:szCs w:val="24"/>
        </w:rPr>
        <w:t>; probe for origins, marriage, beliefs system, aristocracy etc.</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How did you get into this community?</w:t>
      </w:r>
    </w:p>
    <w:p w:rsidR="00E53882" w:rsidRDefault="00B16FF7">
      <w:pPr>
        <w:numPr>
          <w:ilvl w:val="0"/>
          <w:numId w:val="11"/>
        </w:numPr>
        <w:spacing w:before="0" w:after="0" w:line="480" w:lineRule="auto"/>
        <w:contextualSpacing/>
        <w:jc w:val="left"/>
        <w:rPr>
          <w:rFonts w:eastAsia="Calibri" w:cs="Times New Roman"/>
          <w:szCs w:val="24"/>
        </w:rPr>
      </w:pPr>
      <w:r>
        <w:rPr>
          <w:rFonts w:cs="Times New Roman"/>
          <w:szCs w:val="24"/>
        </w:rPr>
        <w:t>Are you one group from the same place, or different group from different place? Or the same group from different places?</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What makes you different?</w:t>
      </w:r>
    </w:p>
    <w:p w:rsidR="00E53882" w:rsidRDefault="00B16FF7">
      <w:pPr>
        <w:numPr>
          <w:ilvl w:val="0"/>
          <w:numId w:val="11"/>
        </w:numPr>
        <w:spacing w:before="0" w:after="0" w:line="480" w:lineRule="auto"/>
        <w:contextualSpacing/>
        <w:jc w:val="left"/>
        <w:rPr>
          <w:rFonts w:eastAsia="Calibri" w:cs="Times New Roman"/>
          <w:szCs w:val="24"/>
        </w:rPr>
      </w:pPr>
      <w:r>
        <w:rPr>
          <w:rFonts w:eastAsia="Calibri" w:cs="Times New Roman"/>
          <w:szCs w:val="24"/>
        </w:rPr>
        <w:t xml:space="preserve">What differentiate you from those who move around </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How do their presents affect your activities?</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How do the people in this community perceive you?</w:t>
      </w:r>
    </w:p>
    <w:p w:rsidR="00E53882" w:rsidRDefault="00B16FF7">
      <w:pPr>
        <w:numPr>
          <w:ilvl w:val="0"/>
          <w:numId w:val="11"/>
        </w:numPr>
        <w:spacing w:before="0" w:after="0" w:line="480" w:lineRule="auto"/>
        <w:contextualSpacing/>
        <w:jc w:val="left"/>
        <w:rPr>
          <w:rFonts w:eastAsia="Calibri" w:cs="Times New Roman"/>
          <w:szCs w:val="24"/>
        </w:rPr>
      </w:pPr>
      <w:r>
        <w:rPr>
          <w:rFonts w:eastAsia="Calibri" w:cs="Times New Roman"/>
          <w:szCs w:val="24"/>
        </w:rPr>
        <w:t>When you come in here first, how was your relationship with this people?</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What is your relationship with the people in this community now?</w:t>
      </w:r>
    </w:p>
    <w:p w:rsidR="00E53882" w:rsidRDefault="00B16FF7">
      <w:pPr>
        <w:numPr>
          <w:ilvl w:val="0"/>
          <w:numId w:val="11"/>
        </w:numPr>
        <w:spacing w:before="0" w:after="0" w:line="480" w:lineRule="auto"/>
        <w:contextualSpacing/>
        <w:jc w:val="left"/>
        <w:rPr>
          <w:rFonts w:eastAsia="Calibri" w:cs="Times New Roman"/>
          <w:szCs w:val="24"/>
        </w:rPr>
      </w:pPr>
      <w:r>
        <w:rPr>
          <w:rFonts w:cs="Times New Roman"/>
          <w:szCs w:val="24"/>
        </w:rPr>
        <w:t>Why do you choose pastoralism as your main occupation?</w:t>
      </w:r>
    </w:p>
    <w:p w:rsidR="00E53882" w:rsidRDefault="00B16FF7">
      <w:pPr>
        <w:pStyle w:val="ListParagraph"/>
        <w:numPr>
          <w:ilvl w:val="0"/>
          <w:numId w:val="11"/>
        </w:numPr>
        <w:spacing w:before="0" w:after="160" w:line="480" w:lineRule="auto"/>
        <w:jc w:val="left"/>
        <w:rPr>
          <w:rFonts w:cs="Times New Roman"/>
          <w:szCs w:val="24"/>
        </w:rPr>
      </w:pPr>
      <w:r>
        <w:rPr>
          <w:rFonts w:cs="Times New Roman"/>
          <w:szCs w:val="24"/>
        </w:rPr>
        <w:t>Why do you undertake this livelihood?</w:t>
      </w:r>
    </w:p>
    <w:p w:rsidR="00E53882" w:rsidRDefault="00B16FF7">
      <w:pPr>
        <w:pStyle w:val="ListParagraph"/>
        <w:numPr>
          <w:ilvl w:val="0"/>
          <w:numId w:val="11"/>
        </w:numPr>
        <w:spacing w:before="0" w:after="0" w:line="480" w:lineRule="auto"/>
        <w:jc w:val="left"/>
        <w:rPr>
          <w:rFonts w:cs="Times New Roman"/>
          <w:szCs w:val="24"/>
        </w:rPr>
      </w:pPr>
      <w:r>
        <w:rPr>
          <w:rFonts w:cs="Times New Roman"/>
          <w:szCs w:val="24"/>
        </w:rPr>
        <w:t xml:space="preserve">Apart from </w:t>
      </w:r>
      <w:proofErr w:type="spellStart"/>
      <w:r>
        <w:rPr>
          <w:rFonts w:cs="Times New Roman"/>
          <w:szCs w:val="24"/>
        </w:rPr>
        <w:t>Fulanis</w:t>
      </w:r>
      <w:proofErr w:type="spellEnd"/>
      <w:r>
        <w:rPr>
          <w:rFonts w:cs="Times New Roman"/>
          <w:szCs w:val="24"/>
        </w:rPr>
        <w:t>, which tribe choose pastoralism as their main occupation? (Probe; Do they also cross-border to Ghana? How is your relationship with them)?</w:t>
      </w:r>
    </w:p>
    <w:p w:rsidR="00E53882" w:rsidRDefault="00E53882">
      <w:pPr>
        <w:spacing w:before="0" w:after="0" w:line="480" w:lineRule="auto"/>
        <w:rPr>
          <w:rFonts w:eastAsia="Calibri" w:cs="Times New Roman"/>
          <w:b/>
          <w:szCs w:val="24"/>
        </w:rPr>
      </w:pPr>
    </w:p>
    <w:p w:rsidR="00E53882" w:rsidRDefault="00B16FF7">
      <w:pPr>
        <w:spacing w:before="0" w:after="0" w:line="480" w:lineRule="auto"/>
        <w:rPr>
          <w:rFonts w:eastAsia="Calibri" w:cs="Times New Roman"/>
          <w:b/>
          <w:szCs w:val="24"/>
        </w:rPr>
      </w:pPr>
      <w:r>
        <w:rPr>
          <w:rFonts w:eastAsia="Calibri" w:cs="Times New Roman"/>
          <w:b/>
          <w:szCs w:val="24"/>
        </w:rPr>
        <w:t>Vulnerability context</w:t>
      </w:r>
      <w:r>
        <w:rPr>
          <w:rFonts w:eastAsia="Calibri" w:cs="Times New Roman"/>
          <w:b/>
          <w:szCs w:val="24"/>
        </w:rPr>
        <w:tab/>
      </w:r>
    </w:p>
    <w:p w:rsidR="00E53882" w:rsidRDefault="00B16FF7">
      <w:pPr>
        <w:numPr>
          <w:ilvl w:val="0"/>
          <w:numId w:val="12"/>
        </w:numPr>
        <w:spacing w:before="0" w:after="0" w:line="480" w:lineRule="auto"/>
        <w:contextualSpacing/>
        <w:jc w:val="left"/>
        <w:rPr>
          <w:rFonts w:eastAsia="Calibri" w:cs="Times New Roman"/>
          <w:szCs w:val="24"/>
        </w:rPr>
      </w:pPr>
      <w:r>
        <w:rPr>
          <w:rFonts w:cs="Times New Roman"/>
          <w:szCs w:val="24"/>
        </w:rPr>
        <w:t>What are your livelihood strategies?</w:t>
      </w:r>
    </w:p>
    <w:p w:rsidR="00E53882" w:rsidRDefault="00B16FF7">
      <w:pPr>
        <w:numPr>
          <w:ilvl w:val="0"/>
          <w:numId w:val="12"/>
        </w:numPr>
        <w:spacing w:before="0" w:after="0" w:line="480" w:lineRule="auto"/>
        <w:contextualSpacing/>
        <w:jc w:val="left"/>
        <w:rPr>
          <w:rFonts w:eastAsia="Calibri" w:cs="Times New Roman"/>
          <w:szCs w:val="24"/>
        </w:rPr>
      </w:pPr>
      <w:r>
        <w:rPr>
          <w:rFonts w:eastAsia="Calibri" w:cs="Times New Roman"/>
          <w:szCs w:val="24"/>
        </w:rPr>
        <w:t xml:space="preserve">What are your major challenges in your livelihood activities? (Identify both climatic and non-climatic stressors).  Probe for economic, environmental, social and economic stressors. </w:t>
      </w:r>
    </w:p>
    <w:p w:rsidR="00E53882" w:rsidRDefault="00B16FF7">
      <w:pPr>
        <w:numPr>
          <w:ilvl w:val="0"/>
          <w:numId w:val="12"/>
        </w:numPr>
        <w:spacing w:before="0" w:after="0" w:line="480" w:lineRule="auto"/>
        <w:contextualSpacing/>
        <w:jc w:val="left"/>
        <w:rPr>
          <w:rFonts w:eastAsia="Calibri" w:cs="Times New Roman"/>
          <w:szCs w:val="24"/>
        </w:rPr>
      </w:pPr>
      <w:r>
        <w:rPr>
          <w:rFonts w:eastAsia="Calibri" w:cs="Times New Roman"/>
          <w:szCs w:val="24"/>
        </w:rPr>
        <w:t>How do you deal with factors constraining your livelihood activities?</w:t>
      </w:r>
    </w:p>
    <w:p w:rsidR="00E53882" w:rsidRDefault="00B16FF7">
      <w:pPr>
        <w:numPr>
          <w:ilvl w:val="0"/>
          <w:numId w:val="12"/>
        </w:numPr>
        <w:spacing w:before="0" w:after="0" w:line="480" w:lineRule="auto"/>
        <w:contextualSpacing/>
        <w:jc w:val="left"/>
        <w:rPr>
          <w:rFonts w:eastAsia="Calibri" w:cs="Times New Roman"/>
          <w:szCs w:val="24"/>
        </w:rPr>
      </w:pPr>
      <w:r>
        <w:rPr>
          <w:rFonts w:eastAsia="Calibri" w:cs="Times New Roman"/>
          <w:szCs w:val="24"/>
        </w:rPr>
        <w:lastRenderedPageBreak/>
        <w:t xml:space="preserve">How do you access the resources you need to undertake your livelihood </w:t>
      </w:r>
      <w:proofErr w:type="spellStart"/>
      <w:r>
        <w:rPr>
          <w:rFonts w:eastAsia="Calibri" w:cs="Times New Roman"/>
          <w:szCs w:val="24"/>
        </w:rPr>
        <w:t>activit</w:t>
      </w:r>
      <w:proofErr w:type="spellEnd"/>
      <w:r>
        <w:rPr>
          <w:rFonts w:eastAsia="Calibri" w:cs="Times New Roman"/>
          <w:szCs w:val="24"/>
        </w:rPr>
        <w:tab/>
      </w:r>
    </w:p>
    <w:p w:rsidR="00E53882" w:rsidRDefault="00B16FF7">
      <w:pPr>
        <w:pStyle w:val="ListParagraph"/>
        <w:numPr>
          <w:ilvl w:val="0"/>
          <w:numId w:val="12"/>
        </w:numPr>
        <w:spacing w:before="0" w:after="0" w:line="480" w:lineRule="auto"/>
        <w:jc w:val="left"/>
        <w:rPr>
          <w:rFonts w:cs="Times New Roman"/>
          <w:szCs w:val="24"/>
        </w:rPr>
      </w:pPr>
      <w:r>
        <w:rPr>
          <w:rFonts w:cs="Times New Roman"/>
          <w:szCs w:val="24"/>
        </w:rPr>
        <w:t>How changes in climate does affects your animal’s production?</w:t>
      </w:r>
    </w:p>
    <w:p w:rsidR="00E53882" w:rsidRDefault="00B16FF7">
      <w:pPr>
        <w:pStyle w:val="ListParagraph"/>
        <w:numPr>
          <w:ilvl w:val="0"/>
          <w:numId w:val="12"/>
        </w:numPr>
        <w:spacing w:before="0" w:after="0" w:line="480" w:lineRule="auto"/>
        <w:jc w:val="left"/>
        <w:rPr>
          <w:rFonts w:cs="Times New Roman"/>
          <w:szCs w:val="24"/>
        </w:rPr>
      </w:pPr>
      <w:r>
        <w:rPr>
          <w:rFonts w:cs="Times New Roman"/>
          <w:szCs w:val="24"/>
        </w:rPr>
        <w:t xml:space="preserve">How do different pastoralists respond to climate change? (probe for their health, production  </w:t>
      </w:r>
      <w:proofErr w:type="spellStart"/>
      <w:r>
        <w:rPr>
          <w:rFonts w:cs="Times New Roman"/>
          <w:szCs w:val="24"/>
        </w:rPr>
        <w:t>etc</w:t>
      </w:r>
      <w:proofErr w:type="spellEnd"/>
    </w:p>
    <w:p w:rsidR="00E53882" w:rsidRDefault="00B16FF7">
      <w:pPr>
        <w:pStyle w:val="ListParagraph"/>
        <w:numPr>
          <w:ilvl w:val="0"/>
          <w:numId w:val="12"/>
        </w:numPr>
        <w:spacing w:before="0" w:after="0" w:line="480" w:lineRule="auto"/>
        <w:jc w:val="left"/>
        <w:rPr>
          <w:rFonts w:eastAsia="Calibri" w:cs="Times New Roman"/>
          <w:b/>
          <w:szCs w:val="24"/>
        </w:rPr>
      </w:pPr>
      <w:r>
        <w:rPr>
          <w:rFonts w:cs="Times New Roman"/>
          <w:szCs w:val="24"/>
        </w:rPr>
        <w:t xml:space="preserve">Why don’t you undertake other livelihood activities/opportunities available?   </w:t>
      </w:r>
    </w:p>
    <w:p w:rsidR="00E53882" w:rsidRDefault="00B16FF7">
      <w:pPr>
        <w:spacing w:line="480" w:lineRule="auto"/>
        <w:rPr>
          <w:rFonts w:eastAsia="Calibri" w:cs="Times New Roman"/>
          <w:szCs w:val="24"/>
        </w:rPr>
      </w:pPr>
      <w:r>
        <w:rPr>
          <w:rFonts w:eastAsia="Calibri" w:cs="Times New Roman"/>
          <w:b/>
          <w:szCs w:val="24"/>
        </w:rPr>
        <w:t xml:space="preserve">Pastoralists Perceptions of Climate Changes </w:t>
      </w:r>
    </w:p>
    <w:p w:rsidR="00E53882" w:rsidRDefault="00B16FF7">
      <w:pPr>
        <w:pStyle w:val="ListParagraph"/>
        <w:numPr>
          <w:ilvl w:val="0"/>
          <w:numId w:val="13"/>
        </w:numPr>
        <w:spacing w:before="0" w:after="0" w:line="480" w:lineRule="auto"/>
        <w:rPr>
          <w:rFonts w:cs="Times New Roman"/>
          <w:szCs w:val="24"/>
        </w:rPr>
      </w:pPr>
      <w:r>
        <w:rPr>
          <w:rFonts w:cs="Times New Roman"/>
          <w:szCs w:val="24"/>
        </w:rPr>
        <w:t>How do you perceived changes in weather patterns and variability in the study area over the past 20 years? (Probe for change in temperature, wind and rainfall)</w:t>
      </w:r>
    </w:p>
    <w:p w:rsidR="00E53882" w:rsidRDefault="00B16FF7">
      <w:pPr>
        <w:pStyle w:val="ListParagraph"/>
        <w:numPr>
          <w:ilvl w:val="0"/>
          <w:numId w:val="13"/>
        </w:numPr>
        <w:spacing w:before="0" w:after="0" w:line="480" w:lineRule="auto"/>
        <w:rPr>
          <w:rFonts w:cs="Times New Roman"/>
          <w:szCs w:val="24"/>
        </w:rPr>
      </w:pPr>
      <w:r>
        <w:rPr>
          <w:rFonts w:cs="Times New Roman"/>
          <w:szCs w:val="24"/>
        </w:rPr>
        <w:t>How this changes does affects the environment and your cattle?</w:t>
      </w:r>
    </w:p>
    <w:p w:rsidR="00E53882" w:rsidRDefault="00B16FF7">
      <w:pPr>
        <w:numPr>
          <w:ilvl w:val="0"/>
          <w:numId w:val="13"/>
        </w:numPr>
        <w:spacing w:before="0" w:after="0" w:line="480" w:lineRule="auto"/>
        <w:contextualSpacing/>
        <w:jc w:val="left"/>
        <w:rPr>
          <w:rFonts w:eastAsia="Calibri" w:cs="Times New Roman"/>
          <w:szCs w:val="24"/>
        </w:rPr>
      </w:pPr>
      <w:r>
        <w:rPr>
          <w:rFonts w:eastAsia="Calibri" w:cs="Times New Roman"/>
          <w:szCs w:val="24"/>
        </w:rPr>
        <w:t>What is responsible for the changes in climate?</w:t>
      </w:r>
    </w:p>
    <w:p w:rsidR="00E53882" w:rsidRDefault="00B16FF7">
      <w:pPr>
        <w:numPr>
          <w:ilvl w:val="0"/>
          <w:numId w:val="13"/>
        </w:numPr>
        <w:spacing w:before="0" w:after="0" w:line="480" w:lineRule="auto"/>
        <w:contextualSpacing/>
        <w:jc w:val="left"/>
        <w:rPr>
          <w:rFonts w:eastAsia="Calibri" w:cs="Times New Roman"/>
          <w:szCs w:val="24"/>
        </w:rPr>
      </w:pPr>
      <w:r>
        <w:rPr>
          <w:rFonts w:eastAsia="Calibri" w:cs="Times New Roman"/>
          <w:szCs w:val="24"/>
        </w:rPr>
        <w:t>How do these changes affect animal production?</w:t>
      </w:r>
    </w:p>
    <w:p w:rsidR="00E53882" w:rsidRDefault="00B16FF7">
      <w:pPr>
        <w:pStyle w:val="ListParagraph"/>
        <w:numPr>
          <w:ilvl w:val="0"/>
          <w:numId w:val="13"/>
        </w:numPr>
        <w:spacing w:before="0" w:after="160" w:line="480" w:lineRule="auto"/>
        <w:rPr>
          <w:rFonts w:cs="Times New Roman"/>
          <w:szCs w:val="24"/>
        </w:rPr>
      </w:pPr>
      <w:r>
        <w:rPr>
          <w:rFonts w:cs="Times New Roman"/>
          <w:szCs w:val="24"/>
        </w:rPr>
        <w:t>How do you perceived the future prospects and sustainability of their livelihood?</w:t>
      </w:r>
    </w:p>
    <w:p w:rsidR="00E53882" w:rsidRDefault="00B16FF7">
      <w:pPr>
        <w:spacing w:line="480" w:lineRule="auto"/>
        <w:rPr>
          <w:rFonts w:eastAsia="Calibri" w:cs="Times New Roman"/>
          <w:b/>
          <w:szCs w:val="24"/>
        </w:rPr>
      </w:pPr>
      <w:r>
        <w:rPr>
          <w:rFonts w:eastAsia="Calibri" w:cs="Times New Roman"/>
          <w:b/>
          <w:szCs w:val="24"/>
        </w:rPr>
        <w:t xml:space="preserve">Pastoralists Adaptation strategies to climate changes </w:t>
      </w:r>
    </w:p>
    <w:p w:rsidR="00E53882" w:rsidRDefault="00B16FF7">
      <w:pPr>
        <w:numPr>
          <w:ilvl w:val="0"/>
          <w:numId w:val="14"/>
        </w:numPr>
        <w:spacing w:before="0" w:after="160" w:line="480" w:lineRule="auto"/>
        <w:contextualSpacing/>
        <w:jc w:val="left"/>
        <w:rPr>
          <w:rFonts w:eastAsia="Calibri" w:cs="Times New Roman"/>
          <w:szCs w:val="24"/>
        </w:rPr>
      </w:pPr>
      <w:r>
        <w:rPr>
          <w:rFonts w:eastAsia="Calibri" w:cs="Times New Roman"/>
          <w:szCs w:val="24"/>
        </w:rPr>
        <w:t>What adjustments have you made to changes in temperature and rainfall in your pastoralism? (probe for livelihood diversification, mobility)</w:t>
      </w:r>
    </w:p>
    <w:p w:rsidR="00E53882" w:rsidRDefault="00B16FF7">
      <w:pPr>
        <w:numPr>
          <w:ilvl w:val="0"/>
          <w:numId w:val="14"/>
        </w:numPr>
        <w:spacing w:before="0" w:after="160" w:line="480" w:lineRule="auto"/>
        <w:contextualSpacing/>
        <w:jc w:val="left"/>
        <w:rPr>
          <w:rFonts w:eastAsia="Calibri" w:cs="Times New Roman"/>
          <w:szCs w:val="24"/>
        </w:rPr>
      </w:pPr>
      <w:r>
        <w:rPr>
          <w:rFonts w:eastAsia="Calibri" w:cs="Times New Roman"/>
          <w:szCs w:val="24"/>
        </w:rPr>
        <w:t xml:space="preserve">Which adaptation strategies did you adopt to cope with climate related hazards? For each </w:t>
      </w:r>
    </w:p>
    <w:p w:rsidR="00E53882" w:rsidRDefault="00B16FF7">
      <w:pPr>
        <w:numPr>
          <w:ilvl w:val="0"/>
          <w:numId w:val="14"/>
        </w:numPr>
        <w:spacing w:before="0" w:after="160" w:line="480" w:lineRule="auto"/>
        <w:contextualSpacing/>
        <w:jc w:val="left"/>
        <w:rPr>
          <w:rFonts w:eastAsia="Calibri" w:cs="Times New Roman"/>
          <w:szCs w:val="24"/>
        </w:rPr>
      </w:pPr>
      <w:r>
        <w:rPr>
          <w:rFonts w:eastAsia="Calibri" w:cs="Times New Roman"/>
          <w:szCs w:val="24"/>
        </w:rPr>
        <w:t>Were you able to increase your animal production as a result of the strategy adopted?</w:t>
      </w:r>
    </w:p>
    <w:p w:rsidR="00E53882" w:rsidRDefault="00B16FF7">
      <w:pPr>
        <w:numPr>
          <w:ilvl w:val="0"/>
          <w:numId w:val="14"/>
        </w:numPr>
        <w:spacing w:before="0" w:after="160" w:line="480" w:lineRule="auto"/>
        <w:contextualSpacing/>
        <w:jc w:val="left"/>
        <w:rPr>
          <w:rFonts w:eastAsia="Calibri" w:cs="Times New Roman"/>
          <w:szCs w:val="24"/>
        </w:rPr>
      </w:pPr>
      <w:r>
        <w:rPr>
          <w:rFonts w:eastAsia="Calibri" w:cs="Times New Roman"/>
          <w:szCs w:val="24"/>
        </w:rPr>
        <w:t>How do you normally survive the consequences of climate change on your animals and other aspects of life?</w:t>
      </w:r>
    </w:p>
    <w:p w:rsidR="00E53882" w:rsidRDefault="00E53882">
      <w:pPr>
        <w:spacing w:before="0" w:after="160" w:line="480" w:lineRule="auto"/>
        <w:contextualSpacing/>
        <w:jc w:val="left"/>
        <w:rPr>
          <w:rFonts w:eastAsia="Calibri" w:cs="Times New Roman"/>
          <w:szCs w:val="24"/>
        </w:rPr>
      </w:pPr>
    </w:p>
    <w:p w:rsidR="00E53882" w:rsidRDefault="00E53882">
      <w:pPr>
        <w:spacing w:before="0" w:after="160" w:line="480" w:lineRule="auto"/>
        <w:contextualSpacing/>
        <w:jc w:val="left"/>
        <w:rPr>
          <w:rFonts w:eastAsia="Calibri" w:cs="Times New Roman"/>
          <w:szCs w:val="24"/>
        </w:rPr>
      </w:pPr>
    </w:p>
    <w:p w:rsidR="00E53882" w:rsidRDefault="00E53882">
      <w:pPr>
        <w:spacing w:before="0" w:after="160" w:line="480" w:lineRule="auto"/>
        <w:contextualSpacing/>
        <w:jc w:val="left"/>
        <w:rPr>
          <w:rFonts w:eastAsia="Calibri" w:cs="Times New Roman"/>
          <w:szCs w:val="24"/>
        </w:rPr>
      </w:pPr>
    </w:p>
    <w:p w:rsidR="00E53882" w:rsidRDefault="00B16FF7">
      <w:pPr>
        <w:spacing w:line="480" w:lineRule="auto"/>
        <w:contextualSpacing/>
        <w:rPr>
          <w:rFonts w:eastAsia="Calibri" w:cs="Times New Roman"/>
          <w:b/>
          <w:szCs w:val="24"/>
        </w:rPr>
      </w:pPr>
      <w:r>
        <w:rPr>
          <w:rFonts w:eastAsia="Calibri" w:cs="Times New Roman"/>
          <w:b/>
          <w:szCs w:val="24"/>
        </w:rPr>
        <w:t>Pastoralist Mobility</w:t>
      </w:r>
    </w:p>
    <w:p w:rsidR="00E53882" w:rsidRDefault="00B16FF7">
      <w:pPr>
        <w:pStyle w:val="ListParagraph"/>
        <w:numPr>
          <w:ilvl w:val="0"/>
          <w:numId w:val="15"/>
        </w:numPr>
        <w:spacing w:before="0" w:after="160" w:line="480" w:lineRule="auto"/>
        <w:rPr>
          <w:rFonts w:cs="Times New Roman"/>
          <w:szCs w:val="24"/>
        </w:rPr>
      </w:pPr>
      <w:r>
        <w:rPr>
          <w:rFonts w:cs="Times New Roman"/>
          <w:szCs w:val="24"/>
        </w:rPr>
        <w:t xml:space="preserve">Describe various patterns of mobility </w:t>
      </w:r>
    </w:p>
    <w:p w:rsidR="00E53882" w:rsidRDefault="00B16FF7">
      <w:pPr>
        <w:pStyle w:val="ListParagraph"/>
        <w:numPr>
          <w:ilvl w:val="0"/>
          <w:numId w:val="15"/>
        </w:numPr>
        <w:spacing w:before="0" w:after="160" w:line="480" w:lineRule="auto"/>
        <w:rPr>
          <w:rFonts w:cs="Times New Roman"/>
          <w:szCs w:val="24"/>
        </w:rPr>
      </w:pPr>
      <w:r>
        <w:rPr>
          <w:rFonts w:cs="Times New Roman"/>
          <w:szCs w:val="24"/>
        </w:rPr>
        <w:t>What are your reasons for mobility?</w:t>
      </w:r>
    </w:p>
    <w:p w:rsidR="00E53882" w:rsidRDefault="00B16FF7">
      <w:pPr>
        <w:pStyle w:val="ListParagraph"/>
        <w:numPr>
          <w:ilvl w:val="0"/>
          <w:numId w:val="15"/>
        </w:numPr>
        <w:spacing w:before="0" w:after="160" w:line="480" w:lineRule="auto"/>
        <w:jc w:val="left"/>
        <w:rPr>
          <w:rFonts w:cs="Times New Roman"/>
          <w:szCs w:val="24"/>
        </w:rPr>
      </w:pPr>
      <w:r>
        <w:rPr>
          <w:rFonts w:cs="Times New Roman"/>
          <w:szCs w:val="24"/>
        </w:rPr>
        <w:t>What are the current forms and practices of pastoralism?</w:t>
      </w:r>
    </w:p>
    <w:p w:rsidR="00E53882" w:rsidRDefault="00B16FF7">
      <w:pPr>
        <w:pStyle w:val="ListParagraph"/>
        <w:numPr>
          <w:ilvl w:val="0"/>
          <w:numId w:val="15"/>
        </w:numPr>
        <w:spacing w:before="0" w:after="160" w:line="480" w:lineRule="auto"/>
        <w:rPr>
          <w:rFonts w:cs="Times New Roman"/>
          <w:szCs w:val="24"/>
        </w:rPr>
      </w:pPr>
      <w:r>
        <w:rPr>
          <w:rFonts w:cs="Times New Roman"/>
          <w:szCs w:val="24"/>
        </w:rPr>
        <w:t>What social, cultural and economic factors interact with climate change to shape your mobility patterns in the study area (Probe for how it affects social relationships and interaction with host communities)</w:t>
      </w:r>
    </w:p>
    <w:p w:rsidR="00E53882" w:rsidRDefault="00B16FF7">
      <w:pPr>
        <w:pStyle w:val="ListParagraph"/>
        <w:numPr>
          <w:ilvl w:val="0"/>
          <w:numId w:val="15"/>
        </w:numPr>
        <w:spacing w:before="0" w:after="160" w:line="480" w:lineRule="auto"/>
        <w:rPr>
          <w:rFonts w:cs="Times New Roman"/>
          <w:szCs w:val="24"/>
        </w:rPr>
      </w:pPr>
      <w:r>
        <w:rPr>
          <w:rFonts w:cs="Times New Roman"/>
          <w:szCs w:val="24"/>
        </w:rPr>
        <w:t>How does the current form of mobility differ from the past?</w:t>
      </w:r>
    </w:p>
    <w:p w:rsidR="00E53882" w:rsidRDefault="00B16FF7">
      <w:pPr>
        <w:pStyle w:val="ListParagraph"/>
        <w:numPr>
          <w:ilvl w:val="0"/>
          <w:numId w:val="15"/>
        </w:numPr>
        <w:spacing w:before="0" w:after="160" w:line="480" w:lineRule="auto"/>
        <w:rPr>
          <w:rFonts w:cs="Times New Roman"/>
          <w:szCs w:val="24"/>
        </w:rPr>
      </w:pPr>
      <w:r>
        <w:rPr>
          <w:rFonts w:cs="Times New Roman"/>
          <w:szCs w:val="24"/>
        </w:rPr>
        <w:t>What are your observations about mobility in the study area?</w:t>
      </w: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B16FF7">
      <w:pPr>
        <w:spacing w:after="0" w:line="480" w:lineRule="auto"/>
        <w:jc w:val="center"/>
        <w:rPr>
          <w:rFonts w:cs="Times New Roman"/>
          <w:b/>
          <w:szCs w:val="24"/>
        </w:rPr>
      </w:pPr>
      <w:r>
        <w:rPr>
          <w:rFonts w:cs="Times New Roman"/>
          <w:b/>
          <w:szCs w:val="24"/>
        </w:rPr>
        <w:t>Appendix A2: In-depth Interview Guide</w:t>
      </w:r>
    </w:p>
    <w:p w:rsidR="00E53882" w:rsidRDefault="00B16FF7">
      <w:pPr>
        <w:spacing w:after="0" w:line="480" w:lineRule="auto"/>
        <w:rPr>
          <w:rFonts w:cs="Times New Roman"/>
          <w:b/>
          <w:szCs w:val="24"/>
        </w:rPr>
      </w:pPr>
      <w:r>
        <w:rPr>
          <w:rFonts w:cs="Times New Roman"/>
          <w:b/>
          <w:szCs w:val="24"/>
        </w:rPr>
        <w:t>Background</w:t>
      </w:r>
    </w:p>
    <w:tbl>
      <w:tblPr>
        <w:tblStyle w:val="TableGrid"/>
        <w:tblW w:w="0" w:type="auto"/>
        <w:tblLook w:val="04A0" w:firstRow="1" w:lastRow="0" w:firstColumn="1" w:lastColumn="0" w:noHBand="0" w:noVBand="1"/>
      </w:tblPr>
      <w:tblGrid>
        <w:gridCol w:w="4460"/>
        <w:gridCol w:w="4458"/>
      </w:tblGrid>
      <w:tr w:rsidR="00E53882">
        <w:tc>
          <w:tcPr>
            <w:tcW w:w="4508" w:type="dxa"/>
          </w:tcPr>
          <w:p w:rsidR="00E53882" w:rsidRDefault="00B16FF7">
            <w:pPr>
              <w:spacing w:before="0" w:after="0" w:line="480" w:lineRule="auto"/>
              <w:rPr>
                <w:rFonts w:cs="Times New Roman"/>
                <w:szCs w:val="24"/>
                <w:lang w:val="en-US"/>
              </w:rPr>
            </w:pPr>
            <w:r>
              <w:rPr>
                <w:rFonts w:cs="Times New Roman"/>
                <w:szCs w:val="24"/>
                <w:lang w:val="en-US"/>
              </w:rPr>
              <w:t>Date::</w:t>
            </w:r>
          </w:p>
        </w:tc>
        <w:tc>
          <w:tcPr>
            <w:tcW w:w="4508" w:type="dxa"/>
          </w:tcPr>
          <w:p w:rsidR="00E53882" w:rsidRDefault="00B16FF7">
            <w:pPr>
              <w:spacing w:before="0" w:after="0" w:line="480" w:lineRule="auto"/>
              <w:rPr>
                <w:rFonts w:cs="Times New Roman"/>
                <w:szCs w:val="24"/>
                <w:lang w:val="en-US"/>
              </w:rPr>
            </w:pPr>
            <w:r>
              <w:rPr>
                <w:rFonts w:cs="Times New Roman"/>
                <w:szCs w:val="24"/>
                <w:lang w:val="en-US"/>
              </w:rPr>
              <w:t xml:space="preserve">Name of Participant:  </w:t>
            </w:r>
          </w:p>
        </w:tc>
      </w:tr>
      <w:tr w:rsidR="00E53882">
        <w:tc>
          <w:tcPr>
            <w:tcW w:w="4508" w:type="dxa"/>
          </w:tcPr>
          <w:p w:rsidR="00E53882" w:rsidRDefault="00B16FF7">
            <w:pPr>
              <w:spacing w:before="0" w:after="0" w:line="480" w:lineRule="auto"/>
              <w:rPr>
                <w:rFonts w:cs="Times New Roman"/>
                <w:szCs w:val="24"/>
                <w:lang w:val="en-US"/>
              </w:rPr>
            </w:pPr>
            <w:r>
              <w:rPr>
                <w:rFonts w:cs="Times New Roman"/>
                <w:szCs w:val="24"/>
                <w:lang w:val="en-US"/>
              </w:rPr>
              <w:t xml:space="preserve">Community:   </w:t>
            </w:r>
          </w:p>
        </w:tc>
        <w:tc>
          <w:tcPr>
            <w:tcW w:w="4508" w:type="dxa"/>
          </w:tcPr>
          <w:p w:rsidR="00E53882" w:rsidRDefault="00B16FF7">
            <w:pPr>
              <w:spacing w:before="0" w:after="0" w:line="480" w:lineRule="auto"/>
              <w:rPr>
                <w:rFonts w:cs="Times New Roman"/>
                <w:szCs w:val="24"/>
                <w:lang w:val="en-US"/>
              </w:rPr>
            </w:pPr>
            <w:r>
              <w:rPr>
                <w:rFonts w:cs="Times New Roman"/>
                <w:szCs w:val="24"/>
                <w:lang w:val="en-US"/>
              </w:rPr>
              <w:t>Number of HH:</w:t>
            </w:r>
          </w:p>
        </w:tc>
      </w:tr>
    </w:tbl>
    <w:p w:rsidR="00E53882" w:rsidRDefault="00B16FF7">
      <w:pPr>
        <w:spacing w:line="480" w:lineRule="auto"/>
        <w:rPr>
          <w:rFonts w:eastAsia="Calibri" w:cs="Times New Roman"/>
          <w:b/>
          <w:szCs w:val="24"/>
        </w:rPr>
      </w:pPr>
      <w:r>
        <w:rPr>
          <w:rFonts w:eastAsia="Calibri" w:cs="Times New Roman"/>
          <w:b/>
          <w:szCs w:val="24"/>
        </w:rPr>
        <w:t>Vulnerability context</w:t>
      </w:r>
      <w:r>
        <w:rPr>
          <w:rFonts w:eastAsia="Calibri" w:cs="Times New Roman"/>
          <w:b/>
          <w:szCs w:val="24"/>
        </w:rPr>
        <w:tab/>
      </w:r>
    </w:p>
    <w:p w:rsidR="00E53882" w:rsidRDefault="00B16FF7">
      <w:pPr>
        <w:numPr>
          <w:ilvl w:val="0"/>
          <w:numId w:val="16"/>
        </w:numPr>
        <w:spacing w:before="0" w:after="0" w:line="480" w:lineRule="auto"/>
        <w:contextualSpacing/>
        <w:jc w:val="left"/>
        <w:rPr>
          <w:rFonts w:eastAsia="Calibri" w:cs="Times New Roman"/>
          <w:szCs w:val="24"/>
        </w:rPr>
      </w:pPr>
      <w:r>
        <w:rPr>
          <w:rFonts w:cs="Times New Roman"/>
          <w:szCs w:val="24"/>
        </w:rPr>
        <w:t>What are your livelihood strategies?</w:t>
      </w:r>
    </w:p>
    <w:p w:rsidR="00E53882" w:rsidRDefault="00B16FF7">
      <w:pPr>
        <w:numPr>
          <w:ilvl w:val="0"/>
          <w:numId w:val="16"/>
        </w:numPr>
        <w:spacing w:before="0" w:after="0" w:line="480" w:lineRule="auto"/>
        <w:contextualSpacing/>
        <w:jc w:val="left"/>
        <w:rPr>
          <w:rFonts w:eastAsia="Calibri" w:cs="Times New Roman"/>
          <w:szCs w:val="24"/>
        </w:rPr>
      </w:pPr>
      <w:r>
        <w:rPr>
          <w:rFonts w:eastAsia="Calibri" w:cs="Times New Roman"/>
          <w:szCs w:val="24"/>
        </w:rPr>
        <w:t xml:space="preserve">What are your major challenges in your livelihood activities? (Identify both climatic and non-climatic stressors).  Probe for economic, environmental, social and economic stressors. </w:t>
      </w:r>
    </w:p>
    <w:p w:rsidR="00E53882" w:rsidRDefault="00B16FF7">
      <w:pPr>
        <w:numPr>
          <w:ilvl w:val="0"/>
          <w:numId w:val="16"/>
        </w:numPr>
        <w:spacing w:before="0" w:after="0" w:line="480" w:lineRule="auto"/>
        <w:contextualSpacing/>
        <w:jc w:val="left"/>
        <w:rPr>
          <w:rFonts w:eastAsia="Calibri" w:cs="Times New Roman"/>
          <w:szCs w:val="24"/>
        </w:rPr>
      </w:pPr>
      <w:r>
        <w:rPr>
          <w:rFonts w:eastAsia="Calibri" w:cs="Times New Roman"/>
          <w:szCs w:val="24"/>
        </w:rPr>
        <w:t>How do you deal with factors constraining your livelihood activities?</w:t>
      </w:r>
    </w:p>
    <w:p w:rsidR="00E53882" w:rsidRDefault="00B16FF7">
      <w:pPr>
        <w:numPr>
          <w:ilvl w:val="0"/>
          <w:numId w:val="16"/>
        </w:numPr>
        <w:spacing w:before="0" w:after="0" w:line="480" w:lineRule="auto"/>
        <w:contextualSpacing/>
        <w:jc w:val="left"/>
        <w:rPr>
          <w:rFonts w:eastAsia="Calibri" w:cs="Times New Roman"/>
          <w:szCs w:val="24"/>
        </w:rPr>
      </w:pPr>
      <w:r>
        <w:rPr>
          <w:rFonts w:eastAsia="Calibri" w:cs="Times New Roman"/>
          <w:szCs w:val="24"/>
        </w:rPr>
        <w:t>How do you access the resources you need to undertake your livelihood activity?</w:t>
      </w:r>
    </w:p>
    <w:p w:rsidR="00E53882" w:rsidRDefault="00B16FF7">
      <w:pPr>
        <w:pStyle w:val="ListParagraph"/>
        <w:numPr>
          <w:ilvl w:val="0"/>
          <w:numId w:val="16"/>
        </w:numPr>
        <w:spacing w:before="0" w:after="0" w:line="480" w:lineRule="auto"/>
        <w:jc w:val="left"/>
        <w:rPr>
          <w:rFonts w:cs="Times New Roman"/>
          <w:szCs w:val="24"/>
        </w:rPr>
      </w:pPr>
      <w:r>
        <w:rPr>
          <w:rFonts w:cs="Times New Roman"/>
          <w:szCs w:val="24"/>
        </w:rPr>
        <w:t>How changes in climate does affects your animal’s production?</w:t>
      </w:r>
    </w:p>
    <w:p w:rsidR="00E53882" w:rsidRDefault="00B16FF7">
      <w:pPr>
        <w:pStyle w:val="ListParagraph"/>
        <w:numPr>
          <w:ilvl w:val="0"/>
          <w:numId w:val="16"/>
        </w:numPr>
        <w:spacing w:before="0" w:after="0" w:line="480" w:lineRule="auto"/>
        <w:jc w:val="left"/>
        <w:rPr>
          <w:rFonts w:cs="Times New Roman"/>
          <w:szCs w:val="24"/>
        </w:rPr>
      </w:pPr>
      <w:r>
        <w:rPr>
          <w:rFonts w:cs="Times New Roman"/>
          <w:szCs w:val="24"/>
        </w:rPr>
        <w:t xml:space="preserve">How do different pastoralists respond to climate change? (probe for their health, production  </w:t>
      </w:r>
      <w:proofErr w:type="spellStart"/>
      <w:r>
        <w:rPr>
          <w:rFonts w:cs="Times New Roman"/>
          <w:szCs w:val="24"/>
        </w:rPr>
        <w:t>etc</w:t>
      </w:r>
      <w:proofErr w:type="spellEnd"/>
    </w:p>
    <w:p w:rsidR="00E53882" w:rsidRDefault="00B16FF7">
      <w:pPr>
        <w:pStyle w:val="ListParagraph"/>
        <w:numPr>
          <w:ilvl w:val="0"/>
          <w:numId w:val="16"/>
        </w:numPr>
        <w:spacing w:before="0" w:after="0" w:line="480" w:lineRule="auto"/>
        <w:jc w:val="left"/>
        <w:rPr>
          <w:rFonts w:cs="Times New Roman"/>
          <w:szCs w:val="24"/>
        </w:rPr>
      </w:pPr>
      <w:r>
        <w:rPr>
          <w:rFonts w:cs="Times New Roman"/>
          <w:szCs w:val="24"/>
        </w:rPr>
        <w:t xml:space="preserve">Why don’t you undertake other livelihood activities/opportunities available?   </w:t>
      </w:r>
    </w:p>
    <w:p w:rsidR="00E53882" w:rsidRDefault="00B16FF7">
      <w:pPr>
        <w:spacing w:line="480" w:lineRule="auto"/>
        <w:rPr>
          <w:rFonts w:eastAsia="Calibri" w:cs="Times New Roman"/>
          <w:szCs w:val="24"/>
        </w:rPr>
      </w:pPr>
      <w:r>
        <w:rPr>
          <w:rFonts w:eastAsia="Calibri" w:cs="Times New Roman"/>
          <w:b/>
          <w:szCs w:val="24"/>
        </w:rPr>
        <w:t xml:space="preserve">Pastoralists Perceptions of Climate Changes </w:t>
      </w:r>
    </w:p>
    <w:p w:rsidR="00E53882" w:rsidRDefault="00B16FF7">
      <w:pPr>
        <w:pStyle w:val="ListParagraph"/>
        <w:numPr>
          <w:ilvl w:val="0"/>
          <w:numId w:val="17"/>
        </w:numPr>
        <w:spacing w:before="0" w:after="0" w:line="480" w:lineRule="auto"/>
        <w:rPr>
          <w:rFonts w:cs="Times New Roman"/>
          <w:szCs w:val="24"/>
        </w:rPr>
      </w:pPr>
      <w:r>
        <w:rPr>
          <w:rFonts w:cs="Times New Roman"/>
          <w:szCs w:val="24"/>
        </w:rPr>
        <w:t>How do you perceived changes in weather patterns and variability in the study area over the past 20 years? (Probe for change in temperature, wind and rainfall)</w:t>
      </w:r>
    </w:p>
    <w:p w:rsidR="00E53882" w:rsidRDefault="00B16FF7">
      <w:pPr>
        <w:pStyle w:val="ListParagraph"/>
        <w:numPr>
          <w:ilvl w:val="0"/>
          <w:numId w:val="17"/>
        </w:numPr>
        <w:spacing w:before="0" w:after="0" w:line="480" w:lineRule="auto"/>
        <w:rPr>
          <w:rFonts w:cs="Times New Roman"/>
          <w:szCs w:val="24"/>
        </w:rPr>
      </w:pPr>
      <w:r>
        <w:rPr>
          <w:rFonts w:cs="Times New Roman"/>
          <w:szCs w:val="24"/>
        </w:rPr>
        <w:t>How this changes does affects the environment and your cattle?</w:t>
      </w:r>
    </w:p>
    <w:p w:rsidR="00E53882" w:rsidRDefault="00B16FF7">
      <w:pPr>
        <w:numPr>
          <w:ilvl w:val="0"/>
          <w:numId w:val="17"/>
        </w:numPr>
        <w:spacing w:before="0" w:after="0" w:line="480" w:lineRule="auto"/>
        <w:contextualSpacing/>
        <w:jc w:val="left"/>
        <w:rPr>
          <w:rFonts w:eastAsia="Calibri" w:cs="Times New Roman"/>
          <w:szCs w:val="24"/>
        </w:rPr>
      </w:pPr>
      <w:r>
        <w:rPr>
          <w:rFonts w:eastAsia="Calibri" w:cs="Times New Roman"/>
          <w:szCs w:val="24"/>
        </w:rPr>
        <w:t>What is responsible for the changes in climate?</w:t>
      </w:r>
    </w:p>
    <w:p w:rsidR="00E53882" w:rsidRDefault="00B16FF7">
      <w:pPr>
        <w:numPr>
          <w:ilvl w:val="0"/>
          <w:numId w:val="17"/>
        </w:numPr>
        <w:spacing w:before="0" w:after="0" w:line="480" w:lineRule="auto"/>
        <w:contextualSpacing/>
        <w:jc w:val="left"/>
        <w:rPr>
          <w:rFonts w:eastAsia="Calibri" w:cs="Times New Roman"/>
          <w:szCs w:val="24"/>
        </w:rPr>
      </w:pPr>
      <w:r>
        <w:rPr>
          <w:rFonts w:eastAsia="Calibri" w:cs="Times New Roman"/>
          <w:szCs w:val="24"/>
        </w:rPr>
        <w:lastRenderedPageBreak/>
        <w:t>How do these changes affect animal production?</w:t>
      </w:r>
    </w:p>
    <w:p w:rsidR="00E53882" w:rsidRDefault="00B16FF7">
      <w:pPr>
        <w:pStyle w:val="ListParagraph"/>
        <w:numPr>
          <w:ilvl w:val="0"/>
          <w:numId w:val="17"/>
        </w:numPr>
        <w:spacing w:before="0" w:after="160" w:line="480" w:lineRule="auto"/>
        <w:rPr>
          <w:rFonts w:cs="Times New Roman"/>
          <w:szCs w:val="24"/>
        </w:rPr>
      </w:pPr>
      <w:r>
        <w:rPr>
          <w:rFonts w:cs="Times New Roman"/>
          <w:szCs w:val="24"/>
        </w:rPr>
        <w:t>How do you perceived the future prospects and sustainability of their livelihood?</w:t>
      </w:r>
    </w:p>
    <w:p w:rsidR="00E53882" w:rsidRDefault="00B16FF7">
      <w:pPr>
        <w:spacing w:line="480" w:lineRule="auto"/>
        <w:rPr>
          <w:rFonts w:eastAsia="Calibri" w:cs="Times New Roman"/>
          <w:b/>
          <w:szCs w:val="24"/>
        </w:rPr>
      </w:pPr>
      <w:r>
        <w:rPr>
          <w:rFonts w:eastAsia="Calibri" w:cs="Times New Roman"/>
          <w:b/>
          <w:szCs w:val="24"/>
        </w:rPr>
        <w:t xml:space="preserve">Pastoralists Adaptation strategies to climate changes </w:t>
      </w:r>
    </w:p>
    <w:p w:rsidR="00E53882" w:rsidRDefault="00B16FF7">
      <w:pPr>
        <w:numPr>
          <w:ilvl w:val="0"/>
          <w:numId w:val="18"/>
        </w:numPr>
        <w:spacing w:before="0" w:after="160" w:line="480" w:lineRule="auto"/>
        <w:contextualSpacing/>
        <w:jc w:val="left"/>
        <w:rPr>
          <w:rFonts w:eastAsia="Calibri" w:cs="Times New Roman"/>
          <w:szCs w:val="24"/>
        </w:rPr>
      </w:pPr>
      <w:r>
        <w:rPr>
          <w:rFonts w:eastAsia="Calibri" w:cs="Times New Roman"/>
          <w:szCs w:val="24"/>
        </w:rPr>
        <w:t>What adjustments have you made to changes in temperature and rainfall in your pastoralism? (probe for livelihood diversification, mobility)</w:t>
      </w:r>
    </w:p>
    <w:p w:rsidR="00E53882" w:rsidRDefault="00B16FF7">
      <w:pPr>
        <w:numPr>
          <w:ilvl w:val="0"/>
          <w:numId w:val="18"/>
        </w:numPr>
        <w:spacing w:before="0" w:after="160" w:line="480" w:lineRule="auto"/>
        <w:contextualSpacing/>
        <w:jc w:val="left"/>
        <w:rPr>
          <w:rFonts w:eastAsia="Calibri" w:cs="Times New Roman"/>
          <w:szCs w:val="24"/>
        </w:rPr>
      </w:pPr>
      <w:r>
        <w:rPr>
          <w:rFonts w:eastAsia="Calibri" w:cs="Times New Roman"/>
          <w:szCs w:val="24"/>
        </w:rPr>
        <w:t xml:space="preserve">Which adaptation strategies did you adopt to cope with climate related hazards? For each </w:t>
      </w:r>
    </w:p>
    <w:p w:rsidR="00E53882" w:rsidRDefault="00B16FF7">
      <w:pPr>
        <w:numPr>
          <w:ilvl w:val="0"/>
          <w:numId w:val="18"/>
        </w:numPr>
        <w:spacing w:before="0" w:after="160" w:line="480" w:lineRule="auto"/>
        <w:contextualSpacing/>
        <w:jc w:val="left"/>
        <w:rPr>
          <w:rFonts w:eastAsia="Calibri" w:cs="Times New Roman"/>
          <w:szCs w:val="24"/>
        </w:rPr>
      </w:pPr>
      <w:r>
        <w:rPr>
          <w:rFonts w:eastAsia="Calibri" w:cs="Times New Roman"/>
          <w:szCs w:val="24"/>
        </w:rPr>
        <w:t>Were you able to increase your animal production as a result of the strategy adopted?</w:t>
      </w:r>
    </w:p>
    <w:p w:rsidR="00E53882" w:rsidRDefault="00B16FF7">
      <w:pPr>
        <w:numPr>
          <w:ilvl w:val="0"/>
          <w:numId w:val="18"/>
        </w:numPr>
        <w:spacing w:before="0" w:after="160" w:line="480" w:lineRule="auto"/>
        <w:contextualSpacing/>
        <w:jc w:val="left"/>
        <w:rPr>
          <w:rFonts w:eastAsia="Calibri" w:cs="Times New Roman"/>
          <w:szCs w:val="24"/>
        </w:rPr>
      </w:pPr>
      <w:r>
        <w:rPr>
          <w:rFonts w:eastAsia="Calibri" w:cs="Times New Roman"/>
          <w:szCs w:val="24"/>
        </w:rPr>
        <w:t>How do you normally survive the consequences of climate change on your animals and other aspects of life?</w:t>
      </w:r>
    </w:p>
    <w:p w:rsidR="00E53882" w:rsidRDefault="00B16FF7">
      <w:pPr>
        <w:spacing w:line="480" w:lineRule="auto"/>
        <w:contextualSpacing/>
        <w:rPr>
          <w:rFonts w:eastAsia="Calibri" w:cs="Times New Roman"/>
          <w:b/>
          <w:szCs w:val="24"/>
        </w:rPr>
      </w:pPr>
      <w:r>
        <w:rPr>
          <w:rFonts w:eastAsia="Calibri" w:cs="Times New Roman"/>
          <w:b/>
          <w:szCs w:val="24"/>
        </w:rPr>
        <w:t>Pastoralist Mobility</w:t>
      </w:r>
    </w:p>
    <w:p w:rsidR="00E53882" w:rsidRDefault="00B16FF7">
      <w:pPr>
        <w:pStyle w:val="ListParagraph"/>
        <w:numPr>
          <w:ilvl w:val="0"/>
          <w:numId w:val="19"/>
        </w:numPr>
        <w:spacing w:before="0" w:after="160" w:line="480" w:lineRule="auto"/>
        <w:rPr>
          <w:rFonts w:cs="Times New Roman"/>
          <w:szCs w:val="24"/>
        </w:rPr>
      </w:pPr>
      <w:r>
        <w:rPr>
          <w:rFonts w:cs="Times New Roman"/>
          <w:szCs w:val="24"/>
        </w:rPr>
        <w:t>How does the current mobility patterns differ from the past?</w:t>
      </w:r>
    </w:p>
    <w:p w:rsidR="00E53882" w:rsidRDefault="00B16FF7">
      <w:pPr>
        <w:pStyle w:val="ListParagraph"/>
        <w:numPr>
          <w:ilvl w:val="0"/>
          <w:numId w:val="19"/>
        </w:numPr>
        <w:spacing w:before="0" w:after="160" w:line="480" w:lineRule="auto"/>
        <w:rPr>
          <w:rFonts w:cs="Times New Roman"/>
          <w:szCs w:val="24"/>
        </w:rPr>
      </w:pPr>
      <w:r>
        <w:rPr>
          <w:rFonts w:cs="Times New Roman"/>
          <w:szCs w:val="24"/>
        </w:rPr>
        <w:t>What are your observations about mobility in the study area?</w:t>
      </w:r>
    </w:p>
    <w:p w:rsidR="00E53882" w:rsidRDefault="00B16FF7">
      <w:pPr>
        <w:pStyle w:val="ListParagraph"/>
        <w:numPr>
          <w:ilvl w:val="0"/>
          <w:numId w:val="19"/>
        </w:numPr>
        <w:spacing w:before="0" w:after="160" w:line="480" w:lineRule="auto"/>
        <w:rPr>
          <w:rFonts w:cs="Times New Roman"/>
          <w:szCs w:val="24"/>
        </w:rPr>
      </w:pPr>
      <w:r>
        <w:rPr>
          <w:rFonts w:cs="Times New Roman"/>
          <w:szCs w:val="24"/>
        </w:rPr>
        <w:t>How did you get to this study area? (probe for social, economic, cultural and climate change)</w:t>
      </w:r>
    </w:p>
    <w:p w:rsidR="00E53882" w:rsidRDefault="00B16FF7">
      <w:pPr>
        <w:pStyle w:val="ListParagraph"/>
        <w:numPr>
          <w:ilvl w:val="0"/>
          <w:numId w:val="19"/>
        </w:numPr>
        <w:spacing w:before="0" w:after="160" w:line="480" w:lineRule="auto"/>
        <w:rPr>
          <w:rFonts w:cs="Times New Roman"/>
          <w:szCs w:val="24"/>
        </w:rPr>
      </w:pPr>
      <w:r>
        <w:rPr>
          <w:rFonts w:cs="Times New Roman"/>
          <w:szCs w:val="24"/>
        </w:rPr>
        <w:t>What social, cultural and economic factors interact with climate change to shape your mobility patterns in the study area (Probe for how it affects social relationships and interaction with host communities</w:t>
      </w: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E53882">
      <w:pPr>
        <w:spacing w:after="0" w:line="480" w:lineRule="auto"/>
        <w:rPr>
          <w:rFonts w:cs="Times New Roman"/>
          <w:b/>
          <w:szCs w:val="24"/>
        </w:rPr>
      </w:pPr>
    </w:p>
    <w:p w:rsidR="00E53882" w:rsidRDefault="00B16FF7">
      <w:pPr>
        <w:spacing w:after="0" w:line="480" w:lineRule="auto"/>
        <w:jc w:val="center"/>
        <w:rPr>
          <w:rFonts w:cs="Times New Roman"/>
          <w:b/>
          <w:szCs w:val="24"/>
        </w:rPr>
      </w:pPr>
      <w:r>
        <w:rPr>
          <w:rFonts w:cs="Times New Roman"/>
          <w:b/>
          <w:szCs w:val="24"/>
        </w:rPr>
        <w:t>Appendix A3: Focus Group Discussion Guide</w:t>
      </w:r>
    </w:p>
    <w:p w:rsidR="00E53882" w:rsidRDefault="00B16FF7">
      <w:pPr>
        <w:spacing w:after="0" w:line="480" w:lineRule="auto"/>
        <w:rPr>
          <w:rFonts w:cs="Times New Roman"/>
          <w:b/>
          <w:szCs w:val="24"/>
        </w:rPr>
      </w:pPr>
      <w:r>
        <w:rPr>
          <w:rFonts w:cs="Times New Roman"/>
          <w:b/>
          <w:szCs w:val="24"/>
        </w:rPr>
        <w:t>Background</w:t>
      </w:r>
    </w:p>
    <w:tbl>
      <w:tblPr>
        <w:tblStyle w:val="TableGrid"/>
        <w:tblW w:w="0" w:type="auto"/>
        <w:tblLook w:val="04A0" w:firstRow="1" w:lastRow="0" w:firstColumn="1" w:lastColumn="0" w:noHBand="0" w:noVBand="1"/>
      </w:tblPr>
      <w:tblGrid>
        <w:gridCol w:w="4459"/>
        <w:gridCol w:w="4459"/>
      </w:tblGrid>
      <w:tr w:rsidR="00E53882">
        <w:tc>
          <w:tcPr>
            <w:tcW w:w="4508" w:type="dxa"/>
          </w:tcPr>
          <w:p w:rsidR="00E53882" w:rsidRDefault="00B16FF7">
            <w:pPr>
              <w:spacing w:before="0" w:after="0" w:line="480" w:lineRule="auto"/>
              <w:rPr>
                <w:rFonts w:cs="Times New Roman"/>
                <w:szCs w:val="24"/>
                <w:lang w:val="en-US"/>
              </w:rPr>
            </w:pPr>
            <w:r>
              <w:rPr>
                <w:rFonts w:cs="Times New Roman"/>
                <w:szCs w:val="24"/>
                <w:lang w:val="en-US"/>
              </w:rPr>
              <w:t>Date::</w:t>
            </w:r>
          </w:p>
        </w:tc>
        <w:tc>
          <w:tcPr>
            <w:tcW w:w="4508" w:type="dxa"/>
          </w:tcPr>
          <w:p w:rsidR="00E53882" w:rsidRDefault="00B16FF7">
            <w:pPr>
              <w:spacing w:before="0" w:after="0" w:line="480" w:lineRule="auto"/>
              <w:rPr>
                <w:rFonts w:cs="Times New Roman"/>
                <w:szCs w:val="24"/>
                <w:lang w:val="en-US"/>
              </w:rPr>
            </w:pPr>
            <w:r>
              <w:rPr>
                <w:rFonts w:cs="Times New Roman"/>
                <w:szCs w:val="24"/>
                <w:lang w:val="en-US"/>
              </w:rPr>
              <w:t xml:space="preserve">Number of Participants: </w:t>
            </w:r>
          </w:p>
        </w:tc>
      </w:tr>
      <w:tr w:rsidR="00E53882">
        <w:tc>
          <w:tcPr>
            <w:tcW w:w="4508" w:type="dxa"/>
          </w:tcPr>
          <w:p w:rsidR="00E53882" w:rsidRDefault="00B16FF7">
            <w:pPr>
              <w:spacing w:before="0" w:after="0" w:line="480" w:lineRule="auto"/>
              <w:rPr>
                <w:rFonts w:cs="Times New Roman"/>
                <w:szCs w:val="24"/>
                <w:lang w:val="en-US"/>
              </w:rPr>
            </w:pPr>
            <w:r>
              <w:rPr>
                <w:rFonts w:cs="Times New Roman"/>
                <w:szCs w:val="24"/>
                <w:lang w:val="en-US"/>
              </w:rPr>
              <w:t xml:space="preserve">Community:   </w:t>
            </w:r>
          </w:p>
        </w:tc>
        <w:tc>
          <w:tcPr>
            <w:tcW w:w="4508" w:type="dxa"/>
          </w:tcPr>
          <w:p w:rsidR="00E53882" w:rsidRDefault="00B16FF7">
            <w:pPr>
              <w:spacing w:before="0" w:after="0" w:line="480" w:lineRule="auto"/>
              <w:rPr>
                <w:rFonts w:cs="Times New Roman"/>
                <w:szCs w:val="24"/>
                <w:lang w:val="en-US"/>
              </w:rPr>
            </w:pPr>
            <w:r>
              <w:rPr>
                <w:rFonts w:cs="Times New Roman"/>
                <w:szCs w:val="24"/>
                <w:lang w:val="en-US"/>
              </w:rPr>
              <w:t>Duration</w:t>
            </w:r>
          </w:p>
        </w:tc>
      </w:tr>
    </w:tbl>
    <w:p w:rsidR="00E53882" w:rsidRDefault="00B16FF7">
      <w:pPr>
        <w:spacing w:line="480" w:lineRule="auto"/>
        <w:rPr>
          <w:rFonts w:eastAsia="Calibri" w:cs="Times New Roman"/>
          <w:b/>
          <w:szCs w:val="24"/>
        </w:rPr>
      </w:pPr>
      <w:r>
        <w:rPr>
          <w:rFonts w:eastAsia="Calibri" w:cs="Times New Roman"/>
          <w:b/>
          <w:szCs w:val="24"/>
        </w:rPr>
        <w:t>Vulnerability context</w:t>
      </w:r>
      <w:r>
        <w:rPr>
          <w:rFonts w:eastAsia="Calibri" w:cs="Times New Roman"/>
          <w:b/>
          <w:szCs w:val="24"/>
        </w:rPr>
        <w:tab/>
      </w:r>
    </w:p>
    <w:p w:rsidR="00E53882" w:rsidRDefault="00B16FF7">
      <w:pPr>
        <w:numPr>
          <w:ilvl w:val="0"/>
          <w:numId w:val="20"/>
        </w:numPr>
        <w:spacing w:before="0" w:after="0" w:line="480" w:lineRule="auto"/>
        <w:contextualSpacing/>
        <w:jc w:val="left"/>
        <w:rPr>
          <w:rFonts w:eastAsia="Calibri" w:cs="Times New Roman"/>
          <w:szCs w:val="24"/>
        </w:rPr>
      </w:pPr>
      <w:r>
        <w:rPr>
          <w:rFonts w:cs="Times New Roman"/>
          <w:szCs w:val="24"/>
        </w:rPr>
        <w:t>What are your livelihood strategies?</w:t>
      </w:r>
    </w:p>
    <w:p w:rsidR="00E53882" w:rsidRDefault="00B16FF7">
      <w:pPr>
        <w:numPr>
          <w:ilvl w:val="0"/>
          <w:numId w:val="20"/>
        </w:numPr>
        <w:spacing w:before="0" w:after="0" w:line="480" w:lineRule="auto"/>
        <w:contextualSpacing/>
        <w:jc w:val="left"/>
        <w:rPr>
          <w:rFonts w:eastAsia="Calibri" w:cs="Times New Roman"/>
          <w:szCs w:val="24"/>
        </w:rPr>
      </w:pPr>
      <w:r>
        <w:rPr>
          <w:rFonts w:eastAsia="Calibri" w:cs="Times New Roman"/>
          <w:szCs w:val="24"/>
        </w:rPr>
        <w:t xml:space="preserve">What are your major challenges in your livelihood activities? (Identify both climatic and non-climatic stressors).  Probe for economic, environmental, social and economic stressors. </w:t>
      </w:r>
    </w:p>
    <w:p w:rsidR="00E53882" w:rsidRDefault="00B16FF7">
      <w:pPr>
        <w:numPr>
          <w:ilvl w:val="0"/>
          <w:numId w:val="20"/>
        </w:numPr>
        <w:spacing w:before="0" w:after="0" w:line="480" w:lineRule="auto"/>
        <w:contextualSpacing/>
        <w:jc w:val="left"/>
        <w:rPr>
          <w:rFonts w:eastAsia="Calibri" w:cs="Times New Roman"/>
          <w:szCs w:val="24"/>
        </w:rPr>
      </w:pPr>
      <w:r>
        <w:rPr>
          <w:rFonts w:eastAsia="Calibri" w:cs="Times New Roman"/>
          <w:szCs w:val="24"/>
        </w:rPr>
        <w:t>How do you deal with factors constraining your livelihood activities?</w:t>
      </w:r>
    </w:p>
    <w:p w:rsidR="00E53882" w:rsidRDefault="00B16FF7">
      <w:pPr>
        <w:numPr>
          <w:ilvl w:val="0"/>
          <w:numId w:val="20"/>
        </w:numPr>
        <w:spacing w:before="0" w:after="0" w:line="480" w:lineRule="auto"/>
        <w:contextualSpacing/>
        <w:jc w:val="left"/>
        <w:rPr>
          <w:rFonts w:eastAsia="Calibri" w:cs="Times New Roman"/>
          <w:szCs w:val="24"/>
        </w:rPr>
      </w:pPr>
      <w:r>
        <w:rPr>
          <w:rFonts w:eastAsia="Calibri" w:cs="Times New Roman"/>
          <w:szCs w:val="24"/>
        </w:rPr>
        <w:t>How do you access the resources you need to undertake your livelihood activity?</w:t>
      </w:r>
    </w:p>
    <w:p w:rsidR="00E53882" w:rsidRDefault="00B16FF7">
      <w:pPr>
        <w:pStyle w:val="ListParagraph"/>
        <w:numPr>
          <w:ilvl w:val="0"/>
          <w:numId w:val="20"/>
        </w:numPr>
        <w:spacing w:before="0" w:after="0" w:line="480" w:lineRule="auto"/>
        <w:jc w:val="left"/>
        <w:rPr>
          <w:rFonts w:cs="Times New Roman"/>
          <w:szCs w:val="24"/>
        </w:rPr>
      </w:pPr>
      <w:r>
        <w:rPr>
          <w:rFonts w:cs="Times New Roman"/>
          <w:szCs w:val="24"/>
        </w:rPr>
        <w:t>How changes in climate does affects your animal’s production?</w:t>
      </w:r>
    </w:p>
    <w:p w:rsidR="00E53882" w:rsidRDefault="00B16FF7">
      <w:pPr>
        <w:pStyle w:val="ListParagraph"/>
        <w:numPr>
          <w:ilvl w:val="0"/>
          <w:numId w:val="20"/>
        </w:numPr>
        <w:spacing w:before="0" w:after="0" w:line="480" w:lineRule="auto"/>
        <w:jc w:val="left"/>
        <w:rPr>
          <w:rFonts w:cs="Times New Roman"/>
          <w:szCs w:val="24"/>
        </w:rPr>
      </w:pPr>
      <w:r>
        <w:rPr>
          <w:rFonts w:cs="Times New Roman"/>
          <w:szCs w:val="24"/>
        </w:rPr>
        <w:t xml:space="preserve">How do different pastoralists respond to climate change? (probe for their health, production  </w:t>
      </w:r>
      <w:proofErr w:type="spellStart"/>
      <w:r>
        <w:rPr>
          <w:rFonts w:cs="Times New Roman"/>
          <w:szCs w:val="24"/>
        </w:rPr>
        <w:t>etc</w:t>
      </w:r>
      <w:proofErr w:type="spellEnd"/>
    </w:p>
    <w:p w:rsidR="00E53882" w:rsidRDefault="00B16FF7">
      <w:pPr>
        <w:pStyle w:val="ListParagraph"/>
        <w:numPr>
          <w:ilvl w:val="0"/>
          <w:numId w:val="20"/>
        </w:numPr>
        <w:spacing w:before="0" w:after="0" w:line="480" w:lineRule="auto"/>
        <w:jc w:val="left"/>
        <w:rPr>
          <w:rFonts w:cs="Times New Roman"/>
          <w:szCs w:val="24"/>
        </w:rPr>
      </w:pPr>
      <w:r>
        <w:rPr>
          <w:rFonts w:cs="Times New Roman"/>
          <w:szCs w:val="24"/>
        </w:rPr>
        <w:t xml:space="preserve">Why don’t you undertake other livelihood activities/opportunities available?   </w:t>
      </w:r>
    </w:p>
    <w:p w:rsidR="00E53882" w:rsidRDefault="00B16FF7">
      <w:pPr>
        <w:spacing w:line="480" w:lineRule="auto"/>
        <w:rPr>
          <w:rFonts w:eastAsia="Calibri" w:cs="Times New Roman"/>
          <w:szCs w:val="24"/>
        </w:rPr>
      </w:pPr>
      <w:r>
        <w:rPr>
          <w:rFonts w:eastAsia="Calibri" w:cs="Times New Roman"/>
          <w:b/>
          <w:szCs w:val="24"/>
        </w:rPr>
        <w:t xml:space="preserve">Pastoralists Perceptions of Climate Changes </w:t>
      </w:r>
    </w:p>
    <w:p w:rsidR="00E53882" w:rsidRDefault="00B16FF7">
      <w:pPr>
        <w:pStyle w:val="ListParagraph"/>
        <w:numPr>
          <w:ilvl w:val="0"/>
          <w:numId w:val="21"/>
        </w:numPr>
        <w:spacing w:before="0" w:after="160" w:line="480" w:lineRule="auto"/>
        <w:rPr>
          <w:rFonts w:cs="Times New Roman"/>
          <w:szCs w:val="24"/>
        </w:rPr>
      </w:pPr>
      <w:r>
        <w:rPr>
          <w:rFonts w:cs="Times New Roman"/>
          <w:szCs w:val="24"/>
        </w:rPr>
        <w:t>How do you defined or understand climate change?</w:t>
      </w:r>
    </w:p>
    <w:p w:rsidR="00E53882" w:rsidRDefault="00B16FF7">
      <w:pPr>
        <w:pStyle w:val="ListParagraph"/>
        <w:numPr>
          <w:ilvl w:val="0"/>
          <w:numId w:val="21"/>
        </w:numPr>
        <w:spacing w:before="0" w:after="0" w:line="480" w:lineRule="auto"/>
        <w:rPr>
          <w:rFonts w:cs="Times New Roman"/>
          <w:szCs w:val="24"/>
        </w:rPr>
      </w:pPr>
      <w:r>
        <w:rPr>
          <w:rFonts w:cs="Times New Roman"/>
          <w:szCs w:val="24"/>
        </w:rPr>
        <w:t>How do you perceived changes in weather patterns and variability in the study area over the past 20 years? (Probe for change in temperature, wind and rainfall)</w:t>
      </w:r>
    </w:p>
    <w:p w:rsidR="00E53882" w:rsidRDefault="00B16FF7">
      <w:pPr>
        <w:pStyle w:val="ListParagraph"/>
        <w:numPr>
          <w:ilvl w:val="0"/>
          <w:numId w:val="21"/>
        </w:numPr>
        <w:spacing w:before="0" w:after="0" w:line="480" w:lineRule="auto"/>
        <w:rPr>
          <w:rFonts w:cs="Times New Roman"/>
          <w:szCs w:val="24"/>
        </w:rPr>
      </w:pPr>
      <w:r>
        <w:rPr>
          <w:rFonts w:cs="Times New Roman"/>
          <w:szCs w:val="24"/>
        </w:rPr>
        <w:t>How this changes does affects the environment and your cattle?</w:t>
      </w:r>
    </w:p>
    <w:p w:rsidR="00E53882" w:rsidRDefault="00B16FF7">
      <w:pPr>
        <w:numPr>
          <w:ilvl w:val="0"/>
          <w:numId w:val="21"/>
        </w:numPr>
        <w:spacing w:before="0" w:after="0" w:line="480" w:lineRule="auto"/>
        <w:contextualSpacing/>
        <w:jc w:val="left"/>
        <w:rPr>
          <w:rFonts w:eastAsia="Calibri" w:cs="Times New Roman"/>
          <w:szCs w:val="24"/>
        </w:rPr>
      </w:pPr>
      <w:r>
        <w:rPr>
          <w:rFonts w:eastAsia="Calibri" w:cs="Times New Roman"/>
          <w:szCs w:val="24"/>
        </w:rPr>
        <w:lastRenderedPageBreak/>
        <w:t>What is responsible for the changes in climate?</w:t>
      </w:r>
    </w:p>
    <w:p w:rsidR="00E53882" w:rsidRDefault="00B16FF7">
      <w:pPr>
        <w:numPr>
          <w:ilvl w:val="0"/>
          <w:numId w:val="21"/>
        </w:numPr>
        <w:spacing w:before="0" w:after="0" w:line="480" w:lineRule="auto"/>
        <w:contextualSpacing/>
        <w:jc w:val="left"/>
        <w:rPr>
          <w:rFonts w:eastAsia="Calibri" w:cs="Times New Roman"/>
          <w:szCs w:val="24"/>
        </w:rPr>
      </w:pPr>
      <w:r>
        <w:rPr>
          <w:rFonts w:eastAsia="Calibri" w:cs="Times New Roman"/>
          <w:szCs w:val="24"/>
        </w:rPr>
        <w:t>How do these changes affect animal production?</w:t>
      </w:r>
    </w:p>
    <w:p w:rsidR="00E53882" w:rsidRDefault="00B16FF7">
      <w:pPr>
        <w:pStyle w:val="ListParagraph"/>
        <w:numPr>
          <w:ilvl w:val="0"/>
          <w:numId w:val="21"/>
        </w:numPr>
        <w:spacing w:before="0" w:after="160" w:line="480" w:lineRule="auto"/>
        <w:rPr>
          <w:rFonts w:cs="Times New Roman"/>
          <w:szCs w:val="24"/>
        </w:rPr>
      </w:pPr>
      <w:r>
        <w:rPr>
          <w:rFonts w:cs="Times New Roman"/>
          <w:szCs w:val="24"/>
        </w:rPr>
        <w:t>How do you perceived the future prospects and sustainability of their livelihood?</w:t>
      </w:r>
    </w:p>
    <w:p w:rsidR="00E53882" w:rsidRDefault="00B16FF7">
      <w:pPr>
        <w:spacing w:line="480" w:lineRule="auto"/>
        <w:rPr>
          <w:rFonts w:eastAsia="Calibri" w:cs="Times New Roman"/>
          <w:b/>
          <w:szCs w:val="24"/>
        </w:rPr>
      </w:pPr>
      <w:r>
        <w:rPr>
          <w:rFonts w:eastAsia="Calibri" w:cs="Times New Roman"/>
          <w:b/>
          <w:szCs w:val="24"/>
        </w:rPr>
        <w:t xml:space="preserve">Pastoralists Adaptation strategies to climate changes </w:t>
      </w:r>
    </w:p>
    <w:p w:rsidR="00E53882" w:rsidRDefault="00B16FF7">
      <w:pPr>
        <w:numPr>
          <w:ilvl w:val="0"/>
          <w:numId w:val="22"/>
        </w:numPr>
        <w:spacing w:before="0" w:after="160" w:line="480" w:lineRule="auto"/>
        <w:contextualSpacing/>
        <w:jc w:val="left"/>
        <w:rPr>
          <w:rFonts w:eastAsia="Calibri" w:cs="Times New Roman"/>
          <w:szCs w:val="24"/>
        </w:rPr>
      </w:pPr>
      <w:r>
        <w:rPr>
          <w:rFonts w:eastAsia="Calibri" w:cs="Times New Roman"/>
          <w:szCs w:val="24"/>
        </w:rPr>
        <w:t>What adjustments have you made to changes in temperature and rainfall in your pastoralism? (probe for livelihood diversification, mobility)</w:t>
      </w:r>
    </w:p>
    <w:p w:rsidR="00E53882" w:rsidRDefault="00B16FF7">
      <w:pPr>
        <w:numPr>
          <w:ilvl w:val="0"/>
          <w:numId w:val="22"/>
        </w:numPr>
        <w:spacing w:before="0" w:after="160" w:line="480" w:lineRule="auto"/>
        <w:contextualSpacing/>
        <w:jc w:val="left"/>
        <w:rPr>
          <w:rFonts w:eastAsia="Calibri" w:cs="Times New Roman"/>
          <w:szCs w:val="24"/>
        </w:rPr>
      </w:pPr>
      <w:r>
        <w:rPr>
          <w:rFonts w:eastAsia="Calibri" w:cs="Times New Roman"/>
          <w:szCs w:val="24"/>
        </w:rPr>
        <w:t xml:space="preserve">Which adaptation strategies did you adopt to cope with climate related hazards? For each </w:t>
      </w:r>
    </w:p>
    <w:p w:rsidR="00E53882" w:rsidRDefault="00B16FF7">
      <w:pPr>
        <w:numPr>
          <w:ilvl w:val="0"/>
          <w:numId w:val="22"/>
        </w:numPr>
        <w:spacing w:before="0" w:after="160" w:line="480" w:lineRule="auto"/>
        <w:contextualSpacing/>
        <w:jc w:val="left"/>
        <w:rPr>
          <w:rFonts w:eastAsia="Calibri" w:cs="Times New Roman"/>
          <w:szCs w:val="24"/>
        </w:rPr>
      </w:pPr>
      <w:r>
        <w:rPr>
          <w:rFonts w:eastAsia="Calibri" w:cs="Times New Roman"/>
          <w:szCs w:val="24"/>
        </w:rPr>
        <w:t>Were you able to increase your animal production as a result of the strategy adopted?</w:t>
      </w:r>
    </w:p>
    <w:p w:rsidR="00E53882" w:rsidRDefault="00B16FF7">
      <w:pPr>
        <w:numPr>
          <w:ilvl w:val="0"/>
          <w:numId w:val="22"/>
        </w:numPr>
        <w:spacing w:before="0" w:after="160" w:line="480" w:lineRule="auto"/>
        <w:contextualSpacing/>
        <w:jc w:val="left"/>
        <w:rPr>
          <w:rFonts w:eastAsia="Calibri" w:cs="Times New Roman"/>
          <w:szCs w:val="24"/>
        </w:rPr>
      </w:pPr>
      <w:r>
        <w:rPr>
          <w:rFonts w:eastAsia="Calibri" w:cs="Times New Roman"/>
          <w:szCs w:val="24"/>
        </w:rPr>
        <w:t>How do you normally survive the consequences of climate change on your animals and other aspects of life?</w:t>
      </w:r>
    </w:p>
    <w:p w:rsidR="00E53882" w:rsidRDefault="00B16FF7">
      <w:pPr>
        <w:spacing w:line="480" w:lineRule="auto"/>
        <w:contextualSpacing/>
        <w:rPr>
          <w:rFonts w:eastAsia="Calibri" w:cs="Times New Roman"/>
          <w:b/>
          <w:szCs w:val="24"/>
        </w:rPr>
      </w:pPr>
      <w:r>
        <w:rPr>
          <w:rFonts w:eastAsia="Calibri" w:cs="Times New Roman"/>
          <w:b/>
          <w:szCs w:val="24"/>
        </w:rPr>
        <w:t>Pastoralist Mobility</w:t>
      </w:r>
    </w:p>
    <w:p w:rsidR="00E53882" w:rsidRDefault="00B16FF7">
      <w:pPr>
        <w:pStyle w:val="ListParagraph"/>
        <w:numPr>
          <w:ilvl w:val="0"/>
          <w:numId w:val="23"/>
        </w:numPr>
        <w:spacing w:before="0" w:after="160" w:line="480" w:lineRule="auto"/>
        <w:rPr>
          <w:rFonts w:cs="Times New Roman"/>
          <w:szCs w:val="24"/>
        </w:rPr>
      </w:pPr>
      <w:r>
        <w:rPr>
          <w:rFonts w:cs="Times New Roman"/>
          <w:szCs w:val="24"/>
        </w:rPr>
        <w:t>What are the patterns of mobility in this study area?</w:t>
      </w:r>
    </w:p>
    <w:p w:rsidR="00E53882" w:rsidRDefault="00B16FF7">
      <w:pPr>
        <w:pStyle w:val="ListParagraph"/>
        <w:numPr>
          <w:ilvl w:val="0"/>
          <w:numId w:val="23"/>
        </w:numPr>
        <w:spacing w:before="0" w:after="160" w:line="480" w:lineRule="auto"/>
        <w:rPr>
          <w:rFonts w:cs="Times New Roman"/>
          <w:szCs w:val="24"/>
        </w:rPr>
      </w:pPr>
      <w:r>
        <w:rPr>
          <w:rFonts w:cs="Times New Roman"/>
          <w:szCs w:val="24"/>
        </w:rPr>
        <w:t>How did you get to this study area? (probe for social, economic, cultural and climate change)</w:t>
      </w:r>
    </w:p>
    <w:p w:rsidR="00E53882" w:rsidRDefault="00B16FF7">
      <w:pPr>
        <w:pStyle w:val="ListParagraph"/>
        <w:numPr>
          <w:ilvl w:val="0"/>
          <w:numId w:val="23"/>
        </w:numPr>
        <w:spacing w:before="0" w:after="160" w:line="480" w:lineRule="auto"/>
        <w:rPr>
          <w:rFonts w:cs="Times New Roman"/>
          <w:szCs w:val="24"/>
        </w:rPr>
      </w:pPr>
      <w:r>
        <w:rPr>
          <w:rFonts w:cs="Times New Roman"/>
          <w:szCs w:val="24"/>
        </w:rPr>
        <w:t>How does the current form of mobility differ from the past?</w:t>
      </w:r>
    </w:p>
    <w:p w:rsidR="00E53882" w:rsidRDefault="00B16FF7">
      <w:pPr>
        <w:pStyle w:val="ListParagraph"/>
        <w:numPr>
          <w:ilvl w:val="0"/>
          <w:numId w:val="23"/>
        </w:numPr>
        <w:spacing w:before="0" w:after="160" w:line="480" w:lineRule="auto"/>
        <w:rPr>
          <w:rFonts w:cs="Times New Roman"/>
          <w:szCs w:val="24"/>
        </w:rPr>
      </w:pPr>
      <w:r>
        <w:rPr>
          <w:rFonts w:cs="Times New Roman"/>
          <w:szCs w:val="24"/>
        </w:rPr>
        <w:t>What are your observations about mobility in the study area?</w:t>
      </w:r>
    </w:p>
    <w:p w:rsidR="00E53882" w:rsidRDefault="00B16FF7">
      <w:pPr>
        <w:pStyle w:val="ListParagraph"/>
        <w:numPr>
          <w:ilvl w:val="0"/>
          <w:numId w:val="23"/>
        </w:numPr>
        <w:spacing w:before="0" w:after="160" w:line="480" w:lineRule="auto"/>
        <w:rPr>
          <w:rFonts w:cs="Times New Roman"/>
          <w:szCs w:val="24"/>
        </w:rPr>
      </w:pPr>
      <w:r>
        <w:rPr>
          <w:rFonts w:cs="Times New Roman"/>
          <w:szCs w:val="24"/>
        </w:rPr>
        <w:t>What social, cultural and economic factors interact with climate change to shape your mobility patterns in the study area (Probe for how it affects social relationships and interaction with host communities)</w:t>
      </w:r>
    </w:p>
    <w:p w:rsidR="00E53882" w:rsidRDefault="00E53882">
      <w:pPr>
        <w:spacing w:line="480" w:lineRule="auto"/>
        <w:rPr>
          <w:rFonts w:eastAsia="Calibri" w:cs="Times New Roman"/>
          <w:b/>
          <w:szCs w:val="24"/>
        </w:rPr>
      </w:pPr>
    </w:p>
    <w:p w:rsidR="00E53882" w:rsidRDefault="00B16FF7">
      <w:pPr>
        <w:spacing w:line="480" w:lineRule="auto"/>
        <w:rPr>
          <w:rFonts w:eastAsia="Calibri" w:cs="Times New Roman"/>
          <w:b/>
          <w:szCs w:val="24"/>
        </w:rPr>
      </w:pPr>
      <w:r>
        <w:rPr>
          <w:rFonts w:eastAsia="Calibri" w:cs="Times New Roman"/>
          <w:b/>
          <w:szCs w:val="24"/>
        </w:rPr>
        <w:lastRenderedPageBreak/>
        <w:t>Pastoralist Internal Seasonal Mobility Patterns</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 xml:space="preserve">In the last 12 months, did you face a situation where there was not enough fodder for your herds as results of change in climate?  </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What did you do?</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How changes in climate does affects your internal movement? (Probe for other drivers of internal mobility; social economic, cultural etc.</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For the past two decades where were you grazing?</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Today where do you send your animals for grazing?</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What causes these changes? Probe for both climatic and non-climatic factors</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 xml:space="preserve">What are the major challenges that you face as a </w:t>
      </w:r>
      <w:r w:rsidR="007215E1">
        <w:rPr>
          <w:rFonts w:eastAsia="Calibri" w:cs="Times New Roman"/>
          <w:szCs w:val="24"/>
        </w:rPr>
        <w:t>result of these movements</w:t>
      </w:r>
      <w:r>
        <w:rPr>
          <w:rFonts w:eastAsia="Calibri" w:cs="Times New Roman"/>
          <w:szCs w:val="24"/>
        </w:rPr>
        <w:t>?</w:t>
      </w:r>
    </w:p>
    <w:p w:rsidR="00E53882" w:rsidRDefault="00B16FF7">
      <w:pPr>
        <w:numPr>
          <w:ilvl w:val="0"/>
          <w:numId w:val="24"/>
        </w:numPr>
        <w:spacing w:before="0" w:after="160" w:line="480" w:lineRule="auto"/>
        <w:contextualSpacing/>
        <w:jc w:val="left"/>
        <w:rPr>
          <w:rFonts w:eastAsia="Calibri" w:cs="Times New Roman"/>
          <w:szCs w:val="24"/>
        </w:rPr>
      </w:pPr>
      <w:r>
        <w:rPr>
          <w:rFonts w:eastAsia="Calibri" w:cs="Times New Roman"/>
          <w:szCs w:val="24"/>
        </w:rPr>
        <w:t>How do you overcome these challenges?</w:t>
      </w:r>
    </w:p>
    <w:p w:rsidR="00E53882" w:rsidRDefault="00E53882">
      <w:pPr>
        <w:spacing w:line="480" w:lineRule="auto"/>
        <w:contextualSpacing/>
        <w:rPr>
          <w:rFonts w:eastAsia="Calibri" w:cs="Times New Roman"/>
          <w:szCs w:val="24"/>
        </w:rPr>
      </w:pPr>
    </w:p>
    <w:p w:rsidR="00E53882" w:rsidRDefault="00E53882">
      <w:pPr>
        <w:spacing w:line="480" w:lineRule="auto"/>
        <w:contextualSpacing/>
        <w:rPr>
          <w:rFonts w:eastAsia="Calibri" w:cs="Times New Roman"/>
          <w:szCs w:val="24"/>
        </w:rPr>
      </w:pPr>
    </w:p>
    <w:p w:rsidR="00E53882" w:rsidRDefault="00E53882">
      <w:pPr>
        <w:spacing w:line="480" w:lineRule="auto"/>
        <w:contextualSpacing/>
        <w:rPr>
          <w:rFonts w:eastAsia="Calibri" w:cs="Times New Roman"/>
          <w:szCs w:val="24"/>
        </w:rPr>
      </w:pPr>
    </w:p>
    <w:p w:rsidR="00E53882" w:rsidRDefault="00E53882">
      <w:pPr>
        <w:spacing w:line="480" w:lineRule="auto"/>
        <w:contextualSpacing/>
        <w:rPr>
          <w:rFonts w:eastAsia="Calibri" w:cs="Times New Roman"/>
          <w:szCs w:val="24"/>
        </w:rPr>
      </w:pPr>
    </w:p>
    <w:p w:rsidR="00E53882" w:rsidRDefault="00E53882">
      <w:pPr>
        <w:widowControl w:val="0"/>
        <w:autoSpaceDE w:val="0"/>
        <w:autoSpaceDN w:val="0"/>
        <w:adjustRightInd w:val="0"/>
        <w:spacing w:line="480" w:lineRule="auto"/>
        <w:rPr>
          <w:rFonts w:cs="Times New Roman"/>
          <w:b/>
          <w:szCs w:val="24"/>
        </w:rPr>
      </w:pPr>
    </w:p>
    <w:sectPr w:rsidR="00E53882">
      <w:type w:val="continuous"/>
      <w:pgSz w:w="12240" w:h="15840"/>
      <w:pgMar w:top="1440" w:right="1440" w:bottom="1440" w:left="1872"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70D5F" w:rsidRDefault="00B70D5F">
      <w:pPr>
        <w:spacing w:line="240" w:lineRule="auto"/>
      </w:pPr>
      <w:r>
        <w:separator/>
      </w:r>
    </w:p>
  </w:endnote>
  <w:endnote w:type="continuationSeparator" w:id="0">
    <w:p w:rsidR="00B70D5F" w:rsidRDefault="00B70D5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等线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等线">
    <w:panose1 w:val="00000000000000000000"/>
    <w:charset w:val="80"/>
    <w:family w:val="roman"/>
    <w:notTrueType/>
    <w:pitch w:val="default"/>
  </w:font>
  <w:font w:name="Segoe UI">
    <w:panose1 w:val="020B0502040204020203"/>
    <w:charset w:val="00"/>
    <w:family w:val="swiss"/>
    <w:pitch w:val="variable"/>
    <w:sig w:usb0="E4002EFF" w:usb1="C000E47F" w:usb2="00000009" w:usb3="00000000" w:csb0="000001FF" w:csb1="00000000"/>
  </w:font>
  <w:font w:name="Leelawadee UI">
    <w:panose1 w:val="020B0502040204020203"/>
    <w:charset w:val="00"/>
    <w:family w:val="swiss"/>
    <w:pitch w:val="variable"/>
    <w:sig w:usb0="A3000003" w:usb1="00000000" w:usb2="00010000" w:usb3="00000000" w:csb0="000101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31697932"/>
      <w:docPartObj>
        <w:docPartGallery w:val="Page Numbers (Bottom of Page)"/>
        <w:docPartUnique/>
      </w:docPartObj>
    </w:sdtPr>
    <w:sdtEndPr>
      <w:rPr>
        <w:noProof/>
      </w:rPr>
    </w:sdtEndPr>
    <w:sdtContent>
      <w:p w:rsidR="00204C37" w:rsidRDefault="00204C37" w:rsidP="00EC50F4">
        <w:pPr>
          <w:pStyle w:val="Footer"/>
          <w:tabs>
            <w:tab w:val="left" w:pos="4355"/>
            <w:tab w:val="center" w:pos="4464"/>
          </w:tabs>
          <w:jc w:val="left"/>
        </w:pPr>
        <w:r>
          <w:tab/>
        </w:r>
        <w:r>
          <w:tab/>
        </w:r>
        <w:r>
          <w:fldChar w:fldCharType="begin"/>
        </w:r>
        <w:r>
          <w:instrText xml:space="preserve"> PAGE   \* MERGEFORMAT </w:instrText>
        </w:r>
        <w:r>
          <w:fldChar w:fldCharType="separate"/>
        </w:r>
        <w:r w:rsidR="00EB51F1">
          <w:rPr>
            <w:noProof/>
          </w:rPr>
          <w:t>7</w:t>
        </w:r>
        <w:r>
          <w:rPr>
            <w:noProof/>
          </w:rPr>
          <w:fldChar w:fldCharType="end"/>
        </w:r>
      </w:p>
    </w:sdtContent>
  </w:sdt>
  <w:p w:rsidR="00204C37" w:rsidRDefault="00204C37">
    <w:pPr>
      <w:pStyle w:val="Footer"/>
      <w:tabs>
        <w:tab w:val="clear" w:pos="4680"/>
        <w:tab w:val="clear" w:pos="9360"/>
        <w:tab w:val="left" w:pos="432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70D5F" w:rsidRDefault="00B70D5F">
      <w:pPr>
        <w:spacing w:before="0" w:after="0"/>
      </w:pPr>
      <w:r>
        <w:separator/>
      </w:r>
    </w:p>
  </w:footnote>
  <w:footnote w:type="continuationSeparator" w:id="0">
    <w:p w:rsidR="00B70D5F" w:rsidRDefault="00B70D5F">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A16F9B"/>
    <w:multiLevelType w:val="multilevel"/>
    <w:tmpl w:val="0AA16F9B"/>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B1269AE"/>
    <w:multiLevelType w:val="multilevel"/>
    <w:tmpl w:val="0B1269AE"/>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121C623D"/>
    <w:multiLevelType w:val="multilevel"/>
    <w:tmpl w:val="121C623D"/>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12B43CC6"/>
    <w:multiLevelType w:val="multilevel"/>
    <w:tmpl w:val="12B43CC6"/>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27F93F51"/>
    <w:multiLevelType w:val="multilevel"/>
    <w:tmpl w:val="27F93F51"/>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AEF4FF0"/>
    <w:multiLevelType w:val="multilevel"/>
    <w:tmpl w:val="2AEF4FF0"/>
    <w:lvl w:ilvl="0">
      <w:start w:val="1"/>
      <w:numFmt w:val="bullet"/>
      <w:lvlText w:val=""/>
      <w:lvlJc w:val="left"/>
      <w:pPr>
        <w:tabs>
          <w:tab w:val="left" w:pos="720"/>
        </w:tabs>
        <w:ind w:left="720" w:hanging="360"/>
      </w:pPr>
      <w:rPr>
        <w:rFonts w:ascii="Symbol" w:hAnsi="Symbol" w:hint="default"/>
        <w:sz w:val="20"/>
      </w:rPr>
    </w:lvl>
    <w:lvl w:ilvl="1">
      <w:start w:val="1"/>
      <w:numFmt w:val="bullet"/>
      <w:lvlText w:val=""/>
      <w:lvlJc w:val="left"/>
      <w:pPr>
        <w:tabs>
          <w:tab w:val="left" w:pos="1440"/>
        </w:tabs>
        <w:ind w:left="1440" w:hanging="360"/>
      </w:pPr>
      <w:rPr>
        <w:rFonts w:ascii="Symbol" w:hAnsi="Symbol" w:hint="default"/>
        <w:sz w:val="20"/>
      </w:rPr>
    </w:lvl>
    <w:lvl w:ilvl="2">
      <w:start w:val="1"/>
      <w:numFmt w:val="bullet"/>
      <w:lvlText w:val=""/>
      <w:lvlJc w:val="left"/>
      <w:pPr>
        <w:tabs>
          <w:tab w:val="left" w:pos="2160"/>
        </w:tabs>
        <w:ind w:left="2160" w:hanging="360"/>
      </w:pPr>
      <w:rPr>
        <w:rFonts w:ascii="Symbol" w:hAnsi="Symbol" w:hint="default"/>
        <w:sz w:val="20"/>
      </w:rPr>
    </w:lvl>
    <w:lvl w:ilvl="3">
      <w:start w:val="1"/>
      <w:numFmt w:val="bullet"/>
      <w:lvlText w:val=""/>
      <w:lvlJc w:val="left"/>
      <w:pPr>
        <w:tabs>
          <w:tab w:val="left" w:pos="2880"/>
        </w:tabs>
        <w:ind w:left="2880" w:hanging="360"/>
      </w:pPr>
      <w:rPr>
        <w:rFonts w:ascii="Symbol" w:hAnsi="Symbol" w:hint="default"/>
        <w:sz w:val="20"/>
      </w:rPr>
    </w:lvl>
    <w:lvl w:ilvl="4">
      <w:start w:val="1"/>
      <w:numFmt w:val="bullet"/>
      <w:lvlText w:val=""/>
      <w:lvlJc w:val="left"/>
      <w:pPr>
        <w:tabs>
          <w:tab w:val="left" w:pos="3600"/>
        </w:tabs>
        <w:ind w:left="3600" w:hanging="360"/>
      </w:pPr>
      <w:rPr>
        <w:rFonts w:ascii="Symbol" w:hAnsi="Symbol" w:hint="default"/>
        <w:sz w:val="20"/>
      </w:rPr>
    </w:lvl>
    <w:lvl w:ilvl="5">
      <w:start w:val="1"/>
      <w:numFmt w:val="bullet"/>
      <w:lvlText w:val=""/>
      <w:lvlJc w:val="left"/>
      <w:pPr>
        <w:tabs>
          <w:tab w:val="left" w:pos="4320"/>
        </w:tabs>
        <w:ind w:left="4320" w:hanging="360"/>
      </w:pPr>
      <w:rPr>
        <w:rFonts w:ascii="Symbol" w:hAnsi="Symbol" w:hint="default"/>
        <w:sz w:val="20"/>
      </w:rPr>
    </w:lvl>
    <w:lvl w:ilvl="6">
      <w:start w:val="1"/>
      <w:numFmt w:val="bullet"/>
      <w:lvlText w:val=""/>
      <w:lvlJc w:val="left"/>
      <w:pPr>
        <w:tabs>
          <w:tab w:val="left" w:pos="5040"/>
        </w:tabs>
        <w:ind w:left="5040" w:hanging="360"/>
      </w:pPr>
      <w:rPr>
        <w:rFonts w:ascii="Symbol" w:hAnsi="Symbol" w:hint="default"/>
        <w:sz w:val="20"/>
      </w:rPr>
    </w:lvl>
    <w:lvl w:ilvl="7">
      <w:start w:val="1"/>
      <w:numFmt w:val="bullet"/>
      <w:lvlText w:val=""/>
      <w:lvlJc w:val="left"/>
      <w:pPr>
        <w:tabs>
          <w:tab w:val="left" w:pos="5760"/>
        </w:tabs>
        <w:ind w:left="5760" w:hanging="360"/>
      </w:pPr>
      <w:rPr>
        <w:rFonts w:ascii="Symbol" w:hAnsi="Symbol" w:hint="default"/>
        <w:sz w:val="20"/>
      </w:rPr>
    </w:lvl>
    <w:lvl w:ilvl="8">
      <w:start w:val="1"/>
      <w:numFmt w:val="bullet"/>
      <w:lvlText w:val=""/>
      <w:lvlJc w:val="left"/>
      <w:pPr>
        <w:tabs>
          <w:tab w:val="left" w:pos="6480"/>
        </w:tabs>
        <w:ind w:left="6480" w:hanging="360"/>
      </w:pPr>
      <w:rPr>
        <w:rFonts w:ascii="Symbol" w:hAnsi="Symbol" w:hint="default"/>
        <w:sz w:val="20"/>
      </w:rPr>
    </w:lvl>
  </w:abstractNum>
  <w:abstractNum w:abstractNumId="6">
    <w:nsid w:val="2CF871A8"/>
    <w:multiLevelType w:val="multilevel"/>
    <w:tmpl w:val="2CF871A8"/>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nsid w:val="2CFD2126"/>
    <w:multiLevelType w:val="multilevel"/>
    <w:tmpl w:val="2CFD2126"/>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D6372A1"/>
    <w:multiLevelType w:val="multilevel"/>
    <w:tmpl w:val="2D6372A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352627F3"/>
    <w:multiLevelType w:val="multilevel"/>
    <w:tmpl w:val="352627F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nsid w:val="37B306E0"/>
    <w:multiLevelType w:val="multilevel"/>
    <w:tmpl w:val="37B306E0"/>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nsid w:val="39052E45"/>
    <w:multiLevelType w:val="multilevel"/>
    <w:tmpl w:val="39052E45"/>
    <w:lvl w:ilvl="0">
      <w:start w:val="1"/>
      <w:numFmt w:val="decimal"/>
      <w:lvlText w:val="%1."/>
      <w:lvlJc w:val="left"/>
      <w:pPr>
        <w:ind w:left="720" w:hanging="360"/>
      </w:pPr>
      <w:rPr>
        <w:rFonts w:hint="default"/>
      </w:rPr>
    </w:lvl>
    <w:lvl w:ilvl="1">
      <w:start w:val="7"/>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393A23DD"/>
    <w:multiLevelType w:val="multilevel"/>
    <w:tmpl w:val="393A23DD"/>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98A0FF9"/>
    <w:multiLevelType w:val="multilevel"/>
    <w:tmpl w:val="398A0FF9"/>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nsid w:val="39C04A62"/>
    <w:multiLevelType w:val="multilevel"/>
    <w:tmpl w:val="39C04A62"/>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44757C41"/>
    <w:multiLevelType w:val="hybridMultilevel"/>
    <w:tmpl w:val="3E664888"/>
    <w:lvl w:ilvl="0" w:tplc="FD763FEE">
      <w:start w:val="2"/>
      <w:numFmt w:val="decimal"/>
      <w:lvlText w:val="%1)"/>
      <w:lvlJc w:val="left"/>
      <w:pPr>
        <w:tabs>
          <w:tab w:val="num" w:pos="720"/>
        </w:tabs>
        <w:ind w:left="720" w:hanging="360"/>
      </w:pPr>
    </w:lvl>
    <w:lvl w:ilvl="1" w:tplc="FF806170" w:tentative="1">
      <w:start w:val="1"/>
      <w:numFmt w:val="decimal"/>
      <w:lvlText w:val="%2)"/>
      <w:lvlJc w:val="left"/>
      <w:pPr>
        <w:tabs>
          <w:tab w:val="num" w:pos="1440"/>
        </w:tabs>
        <w:ind w:left="1440" w:hanging="360"/>
      </w:pPr>
    </w:lvl>
    <w:lvl w:ilvl="2" w:tplc="9C201560" w:tentative="1">
      <w:start w:val="1"/>
      <w:numFmt w:val="decimal"/>
      <w:lvlText w:val="%3)"/>
      <w:lvlJc w:val="left"/>
      <w:pPr>
        <w:tabs>
          <w:tab w:val="num" w:pos="2160"/>
        </w:tabs>
        <w:ind w:left="2160" w:hanging="360"/>
      </w:pPr>
    </w:lvl>
    <w:lvl w:ilvl="3" w:tplc="89389340" w:tentative="1">
      <w:start w:val="1"/>
      <w:numFmt w:val="decimal"/>
      <w:lvlText w:val="%4)"/>
      <w:lvlJc w:val="left"/>
      <w:pPr>
        <w:tabs>
          <w:tab w:val="num" w:pos="2880"/>
        </w:tabs>
        <w:ind w:left="2880" w:hanging="360"/>
      </w:pPr>
    </w:lvl>
    <w:lvl w:ilvl="4" w:tplc="A1D04DF0" w:tentative="1">
      <w:start w:val="1"/>
      <w:numFmt w:val="decimal"/>
      <w:lvlText w:val="%5)"/>
      <w:lvlJc w:val="left"/>
      <w:pPr>
        <w:tabs>
          <w:tab w:val="num" w:pos="3600"/>
        </w:tabs>
        <w:ind w:left="3600" w:hanging="360"/>
      </w:pPr>
    </w:lvl>
    <w:lvl w:ilvl="5" w:tplc="5B2AEC30" w:tentative="1">
      <w:start w:val="1"/>
      <w:numFmt w:val="decimal"/>
      <w:lvlText w:val="%6)"/>
      <w:lvlJc w:val="left"/>
      <w:pPr>
        <w:tabs>
          <w:tab w:val="num" w:pos="4320"/>
        </w:tabs>
        <w:ind w:left="4320" w:hanging="360"/>
      </w:pPr>
    </w:lvl>
    <w:lvl w:ilvl="6" w:tplc="844257F6" w:tentative="1">
      <w:start w:val="1"/>
      <w:numFmt w:val="decimal"/>
      <w:lvlText w:val="%7)"/>
      <w:lvlJc w:val="left"/>
      <w:pPr>
        <w:tabs>
          <w:tab w:val="num" w:pos="5040"/>
        </w:tabs>
        <w:ind w:left="5040" w:hanging="360"/>
      </w:pPr>
    </w:lvl>
    <w:lvl w:ilvl="7" w:tplc="051673D2" w:tentative="1">
      <w:start w:val="1"/>
      <w:numFmt w:val="decimal"/>
      <w:lvlText w:val="%8)"/>
      <w:lvlJc w:val="left"/>
      <w:pPr>
        <w:tabs>
          <w:tab w:val="num" w:pos="5760"/>
        </w:tabs>
        <w:ind w:left="5760" w:hanging="360"/>
      </w:pPr>
    </w:lvl>
    <w:lvl w:ilvl="8" w:tplc="B9C8BA70" w:tentative="1">
      <w:start w:val="1"/>
      <w:numFmt w:val="decimal"/>
      <w:lvlText w:val="%9)"/>
      <w:lvlJc w:val="left"/>
      <w:pPr>
        <w:tabs>
          <w:tab w:val="num" w:pos="6480"/>
        </w:tabs>
        <w:ind w:left="6480" w:hanging="360"/>
      </w:pPr>
    </w:lvl>
  </w:abstractNum>
  <w:abstractNum w:abstractNumId="16">
    <w:nsid w:val="4A0C6038"/>
    <w:multiLevelType w:val="hybridMultilevel"/>
    <w:tmpl w:val="1B001E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31056DC"/>
    <w:multiLevelType w:val="multilevel"/>
    <w:tmpl w:val="531056D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nsid w:val="5D1E22CA"/>
    <w:multiLevelType w:val="multilevel"/>
    <w:tmpl w:val="5D1E22CA"/>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5F9C3A19"/>
    <w:multiLevelType w:val="multilevel"/>
    <w:tmpl w:val="5F9C3A1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nsid w:val="61E67C41"/>
    <w:multiLevelType w:val="multilevel"/>
    <w:tmpl w:val="61E67C4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nsid w:val="63B4310A"/>
    <w:multiLevelType w:val="multilevel"/>
    <w:tmpl w:val="63B4310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63E228E7"/>
    <w:multiLevelType w:val="hybridMultilevel"/>
    <w:tmpl w:val="B4CA3C3A"/>
    <w:lvl w:ilvl="0" w:tplc="E4E23166">
      <w:start w:val="1"/>
      <w:numFmt w:val="decimal"/>
      <w:lvlText w:val="%1)"/>
      <w:lvlJc w:val="left"/>
      <w:pPr>
        <w:tabs>
          <w:tab w:val="num" w:pos="720"/>
        </w:tabs>
        <w:ind w:left="720" w:hanging="360"/>
      </w:pPr>
    </w:lvl>
    <w:lvl w:ilvl="1" w:tplc="8C10B73A" w:tentative="1">
      <w:start w:val="1"/>
      <w:numFmt w:val="decimal"/>
      <w:lvlText w:val="%2)"/>
      <w:lvlJc w:val="left"/>
      <w:pPr>
        <w:tabs>
          <w:tab w:val="num" w:pos="1440"/>
        </w:tabs>
        <w:ind w:left="1440" w:hanging="360"/>
      </w:pPr>
    </w:lvl>
    <w:lvl w:ilvl="2" w:tplc="D8D6146A" w:tentative="1">
      <w:start w:val="1"/>
      <w:numFmt w:val="decimal"/>
      <w:lvlText w:val="%3)"/>
      <w:lvlJc w:val="left"/>
      <w:pPr>
        <w:tabs>
          <w:tab w:val="num" w:pos="2160"/>
        </w:tabs>
        <w:ind w:left="2160" w:hanging="360"/>
      </w:pPr>
    </w:lvl>
    <w:lvl w:ilvl="3" w:tplc="74F8ADA8" w:tentative="1">
      <w:start w:val="1"/>
      <w:numFmt w:val="decimal"/>
      <w:lvlText w:val="%4)"/>
      <w:lvlJc w:val="left"/>
      <w:pPr>
        <w:tabs>
          <w:tab w:val="num" w:pos="2880"/>
        </w:tabs>
        <w:ind w:left="2880" w:hanging="360"/>
      </w:pPr>
    </w:lvl>
    <w:lvl w:ilvl="4" w:tplc="B14079F0" w:tentative="1">
      <w:start w:val="1"/>
      <w:numFmt w:val="decimal"/>
      <w:lvlText w:val="%5)"/>
      <w:lvlJc w:val="left"/>
      <w:pPr>
        <w:tabs>
          <w:tab w:val="num" w:pos="3600"/>
        </w:tabs>
        <w:ind w:left="3600" w:hanging="360"/>
      </w:pPr>
    </w:lvl>
    <w:lvl w:ilvl="5" w:tplc="874E2448" w:tentative="1">
      <w:start w:val="1"/>
      <w:numFmt w:val="decimal"/>
      <w:lvlText w:val="%6)"/>
      <w:lvlJc w:val="left"/>
      <w:pPr>
        <w:tabs>
          <w:tab w:val="num" w:pos="4320"/>
        </w:tabs>
        <w:ind w:left="4320" w:hanging="360"/>
      </w:pPr>
    </w:lvl>
    <w:lvl w:ilvl="6" w:tplc="2F148A1C" w:tentative="1">
      <w:start w:val="1"/>
      <w:numFmt w:val="decimal"/>
      <w:lvlText w:val="%7)"/>
      <w:lvlJc w:val="left"/>
      <w:pPr>
        <w:tabs>
          <w:tab w:val="num" w:pos="5040"/>
        </w:tabs>
        <w:ind w:left="5040" w:hanging="360"/>
      </w:pPr>
    </w:lvl>
    <w:lvl w:ilvl="7" w:tplc="B3DA25D0" w:tentative="1">
      <w:start w:val="1"/>
      <w:numFmt w:val="decimal"/>
      <w:lvlText w:val="%8)"/>
      <w:lvlJc w:val="left"/>
      <w:pPr>
        <w:tabs>
          <w:tab w:val="num" w:pos="5760"/>
        </w:tabs>
        <w:ind w:left="5760" w:hanging="360"/>
      </w:pPr>
    </w:lvl>
    <w:lvl w:ilvl="8" w:tplc="1DFEFA08" w:tentative="1">
      <w:start w:val="1"/>
      <w:numFmt w:val="decimal"/>
      <w:lvlText w:val="%9)"/>
      <w:lvlJc w:val="left"/>
      <w:pPr>
        <w:tabs>
          <w:tab w:val="num" w:pos="6480"/>
        </w:tabs>
        <w:ind w:left="6480" w:hanging="360"/>
      </w:pPr>
    </w:lvl>
  </w:abstractNum>
  <w:abstractNum w:abstractNumId="23">
    <w:nsid w:val="67C661CB"/>
    <w:multiLevelType w:val="multilevel"/>
    <w:tmpl w:val="67C661CB"/>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4">
    <w:nsid w:val="756D29C3"/>
    <w:multiLevelType w:val="multilevel"/>
    <w:tmpl w:val="756D29C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nsid w:val="7E9E52C3"/>
    <w:multiLevelType w:val="multilevel"/>
    <w:tmpl w:val="7E9E52C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6">
    <w:nsid w:val="7F775AE3"/>
    <w:multiLevelType w:val="multilevel"/>
    <w:tmpl w:val="7F775AE3"/>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num w:numId="1">
    <w:abstractNumId w:val="13"/>
  </w:num>
  <w:num w:numId="2">
    <w:abstractNumId w:val="12"/>
  </w:num>
  <w:num w:numId="3">
    <w:abstractNumId w:val="24"/>
  </w:num>
  <w:num w:numId="4">
    <w:abstractNumId w:val="0"/>
  </w:num>
  <w:num w:numId="5">
    <w:abstractNumId w:val="19"/>
  </w:num>
  <w:num w:numId="6">
    <w:abstractNumId w:val="17"/>
  </w:num>
  <w:num w:numId="7">
    <w:abstractNumId w:val="25"/>
  </w:num>
  <w:num w:numId="8">
    <w:abstractNumId w:val="9"/>
  </w:num>
  <w:num w:numId="9">
    <w:abstractNumId w:val="5"/>
  </w:num>
  <w:num w:numId="10">
    <w:abstractNumId w:val="21"/>
  </w:num>
  <w:num w:numId="11">
    <w:abstractNumId w:val="3"/>
  </w:num>
  <w:num w:numId="12">
    <w:abstractNumId w:val="10"/>
  </w:num>
  <w:num w:numId="13">
    <w:abstractNumId w:val="26"/>
  </w:num>
  <w:num w:numId="14">
    <w:abstractNumId w:val="23"/>
  </w:num>
  <w:num w:numId="15">
    <w:abstractNumId w:val="18"/>
  </w:num>
  <w:num w:numId="16">
    <w:abstractNumId w:val="8"/>
  </w:num>
  <w:num w:numId="17">
    <w:abstractNumId w:val="6"/>
  </w:num>
  <w:num w:numId="18">
    <w:abstractNumId w:val="7"/>
  </w:num>
  <w:num w:numId="19">
    <w:abstractNumId w:val="4"/>
  </w:num>
  <w:num w:numId="20">
    <w:abstractNumId w:val="20"/>
  </w:num>
  <w:num w:numId="21">
    <w:abstractNumId w:val="1"/>
  </w:num>
  <w:num w:numId="22">
    <w:abstractNumId w:val="2"/>
  </w:num>
  <w:num w:numId="23">
    <w:abstractNumId w:val="11"/>
  </w:num>
  <w:num w:numId="24">
    <w:abstractNumId w:val="14"/>
  </w:num>
  <w:num w:numId="25">
    <w:abstractNumId w:val="22"/>
  </w:num>
  <w:num w:numId="26">
    <w:abstractNumId w:val="15"/>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9CA"/>
    <w:rsid w:val="00000553"/>
    <w:rsid w:val="000009C2"/>
    <w:rsid w:val="0000247C"/>
    <w:rsid w:val="00002BD9"/>
    <w:rsid w:val="00003790"/>
    <w:rsid w:val="00004214"/>
    <w:rsid w:val="0000425E"/>
    <w:rsid w:val="00004BCC"/>
    <w:rsid w:val="00005116"/>
    <w:rsid w:val="0000524D"/>
    <w:rsid w:val="000058EF"/>
    <w:rsid w:val="00005FAD"/>
    <w:rsid w:val="0000652E"/>
    <w:rsid w:val="000067AA"/>
    <w:rsid w:val="00006840"/>
    <w:rsid w:val="00006ADA"/>
    <w:rsid w:val="00007763"/>
    <w:rsid w:val="00007DBD"/>
    <w:rsid w:val="000105B0"/>
    <w:rsid w:val="000126DD"/>
    <w:rsid w:val="00012D2A"/>
    <w:rsid w:val="00012E7E"/>
    <w:rsid w:val="00013906"/>
    <w:rsid w:val="00014DC1"/>
    <w:rsid w:val="00015D16"/>
    <w:rsid w:val="00016051"/>
    <w:rsid w:val="00016D29"/>
    <w:rsid w:val="0001735B"/>
    <w:rsid w:val="00017CB7"/>
    <w:rsid w:val="000207D4"/>
    <w:rsid w:val="00020862"/>
    <w:rsid w:val="00020879"/>
    <w:rsid w:val="00021114"/>
    <w:rsid w:val="000216E7"/>
    <w:rsid w:val="00021F3B"/>
    <w:rsid w:val="00022342"/>
    <w:rsid w:val="000243AB"/>
    <w:rsid w:val="00024604"/>
    <w:rsid w:val="000248B6"/>
    <w:rsid w:val="00024F7F"/>
    <w:rsid w:val="000253E5"/>
    <w:rsid w:val="000259BF"/>
    <w:rsid w:val="000260E6"/>
    <w:rsid w:val="0002663F"/>
    <w:rsid w:val="00026B5E"/>
    <w:rsid w:val="00027676"/>
    <w:rsid w:val="00030205"/>
    <w:rsid w:val="00030C6B"/>
    <w:rsid w:val="00031CC2"/>
    <w:rsid w:val="000328F8"/>
    <w:rsid w:val="00032B94"/>
    <w:rsid w:val="00032E33"/>
    <w:rsid w:val="00033741"/>
    <w:rsid w:val="00033D10"/>
    <w:rsid w:val="0003438F"/>
    <w:rsid w:val="000345B2"/>
    <w:rsid w:val="00035B03"/>
    <w:rsid w:val="00035C80"/>
    <w:rsid w:val="0003638D"/>
    <w:rsid w:val="00036449"/>
    <w:rsid w:val="000364A6"/>
    <w:rsid w:val="00036C51"/>
    <w:rsid w:val="000371A1"/>
    <w:rsid w:val="00037371"/>
    <w:rsid w:val="000377D1"/>
    <w:rsid w:val="000403FB"/>
    <w:rsid w:val="000409CD"/>
    <w:rsid w:val="000410CC"/>
    <w:rsid w:val="000419C1"/>
    <w:rsid w:val="000424CA"/>
    <w:rsid w:val="0004264A"/>
    <w:rsid w:val="000428A5"/>
    <w:rsid w:val="00042B22"/>
    <w:rsid w:val="00042E82"/>
    <w:rsid w:val="00044226"/>
    <w:rsid w:val="00044351"/>
    <w:rsid w:val="00044427"/>
    <w:rsid w:val="00044E55"/>
    <w:rsid w:val="00046AA2"/>
    <w:rsid w:val="0004700B"/>
    <w:rsid w:val="0004744F"/>
    <w:rsid w:val="0004795E"/>
    <w:rsid w:val="000507EA"/>
    <w:rsid w:val="000520AF"/>
    <w:rsid w:val="000524F8"/>
    <w:rsid w:val="00052FBC"/>
    <w:rsid w:val="000541BD"/>
    <w:rsid w:val="00054842"/>
    <w:rsid w:val="000549A2"/>
    <w:rsid w:val="000551C5"/>
    <w:rsid w:val="000556D2"/>
    <w:rsid w:val="000558BF"/>
    <w:rsid w:val="00055C47"/>
    <w:rsid w:val="00055C59"/>
    <w:rsid w:val="00055CD0"/>
    <w:rsid w:val="00055ED9"/>
    <w:rsid w:val="0005607B"/>
    <w:rsid w:val="00056F77"/>
    <w:rsid w:val="000605BB"/>
    <w:rsid w:val="000607B3"/>
    <w:rsid w:val="00060AF5"/>
    <w:rsid w:val="00060D8E"/>
    <w:rsid w:val="000611A6"/>
    <w:rsid w:val="00061CF2"/>
    <w:rsid w:val="000622FC"/>
    <w:rsid w:val="000628BC"/>
    <w:rsid w:val="00062B3D"/>
    <w:rsid w:val="00062C19"/>
    <w:rsid w:val="00064E61"/>
    <w:rsid w:val="00065D69"/>
    <w:rsid w:val="00066BB9"/>
    <w:rsid w:val="00066FEF"/>
    <w:rsid w:val="000671B2"/>
    <w:rsid w:val="0006738A"/>
    <w:rsid w:val="0006753E"/>
    <w:rsid w:val="00067BBE"/>
    <w:rsid w:val="00067D8C"/>
    <w:rsid w:val="00071133"/>
    <w:rsid w:val="00071C78"/>
    <w:rsid w:val="00071D8E"/>
    <w:rsid w:val="00071E9B"/>
    <w:rsid w:val="00072622"/>
    <w:rsid w:val="00072DDF"/>
    <w:rsid w:val="00073313"/>
    <w:rsid w:val="0007345C"/>
    <w:rsid w:val="000735E0"/>
    <w:rsid w:val="0007457C"/>
    <w:rsid w:val="000747F5"/>
    <w:rsid w:val="00074890"/>
    <w:rsid w:val="00075854"/>
    <w:rsid w:val="00076280"/>
    <w:rsid w:val="000771E0"/>
    <w:rsid w:val="000800BC"/>
    <w:rsid w:val="00080450"/>
    <w:rsid w:val="00081D31"/>
    <w:rsid w:val="00082D06"/>
    <w:rsid w:val="00083518"/>
    <w:rsid w:val="00084848"/>
    <w:rsid w:val="00084ACA"/>
    <w:rsid w:val="00084C83"/>
    <w:rsid w:val="00085335"/>
    <w:rsid w:val="00085521"/>
    <w:rsid w:val="000857B6"/>
    <w:rsid w:val="00085830"/>
    <w:rsid w:val="00085DD6"/>
    <w:rsid w:val="00086F51"/>
    <w:rsid w:val="00090762"/>
    <w:rsid w:val="00090B4F"/>
    <w:rsid w:val="00091278"/>
    <w:rsid w:val="000917E4"/>
    <w:rsid w:val="00091913"/>
    <w:rsid w:val="00091ACA"/>
    <w:rsid w:val="000929CE"/>
    <w:rsid w:val="00092BE6"/>
    <w:rsid w:val="000939EB"/>
    <w:rsid w:val="0009406E"/>
    <w:rsid w:val="0009445D"/>
    <w:rsid w:val="00094B62"/>
    <w:rsid w:val="0009544C"/>
    <w:rsid w:val="0009563B"/>
    <w:rsid w:val="00095BCD"/>
    <w:rsid w:val="00095EFC"/>
    <w:rsid w:val="00096688"/>
    <w:rsid w:val="00096842"/>
    <w:rsid w:val="000A0DA6"/>
    <w:rsid w:val="000A161D"/>
    <w:rsid w:val="000A276B"/>
    <w:rsid w:val="000A2954"/>
    <w:rsid w:val="000A3070"/>
    <w:rsid w:val="000A39CA"/>
    <w:rsid w:val="000A3ADD"/>
    <w:rsid w:val="000A3F3E"/>
    <w:rsid w:val="000A498E"/>
    <w:rsid w:val="000A4AD2"/>
    <w:rsid w:val="000A4C0D"/>
    <w:rsid w:val="000A501D"/>
    <w:rsid w:val="000A6BCE"/>
    <w:rsid w:val="000A74F8"/>
    <w:rsid w:val="000A7F15"/>
    <w:rsid w:val="000B0126"/>
    <w:rsid w:val="000B03D4"/>
    <w:rsid w:val="000B0DA5"/>
    <w:rsid w:val="000B0ED2"/>
    <w:rsid w:val="000B0F82"/>
    <w:rsid w:val="000B1566"/>
    <w:rsid w:val="000B1574"/>
    <w:rsid w:val="000B16F0"/>
    <w:rsid w:val="000B19CA"/>
    <w:rsid w:val="000B262E"/>
    <w:rsid w:val="000B2A90"/>
    <w:rsid w:val="000B46D1"/>
    <w:rsid w:val="000B4F0B"/>
    <w:rsid w:val="000B53CD"/>
    <w:rsid w:val="000B5CF4"/>
    <w:rsid w:val="000B64E5"/>
    <w:rsid w:val="000B768F"/>
    <w:rsid w:val="000B76DA"/>
    <w:rsid w:val="000C0D93"/>
    <w:rsid w:val="000C0DA5"/>
    <w:rsid w:val="000C0F13"/>
    <w:rsid w:val="000C16A8"/>
    <w:rsid w:val="000C1BEF"/>
    <w:rsid w:val="000C20CF"/>
    <w:rsid w:val="000C28E6"/>
    <w:rsid w:val="000C2DA8"/>
    <w:rsid w:val="000C2DDC"/>
    <w:rsid w:val="000C31E9"/>
    <w:rsid w:val="000C3385"/>
    <w:rsid w:val="000C3BA9"/>
    <w:rsid w:val="000C3E53"/>
    <w:rsid w:val="000C40E7"/>
    <w:rsid w:val="000C48F1"/>
    <w:rsid w:val="000C4ED4"/>
    <w:rsid w:val="000C713E"/>
    <w:rsid w:val="000C798A"/>
    <w:rsid w:val="000D069E"/>
    <w:rsid w:val="000D0970"/>
    <w:rsid w:val="000D124A"/>
    <w:rsid w:val="000D1A07"/>
    <w:rsid w:val="000D1CFE"/>
    <w:rsid w:val="000D1F54"/>
    <w:rsid w:val="000D276C"/>
    <w:rsid w:val="000D30B0"/>
    <w:rsid w:val="000D4540"/>
    <w:rsid w:val="000D51CE"/>
    <w:rsid w:val="000D611C"/>
    <w:rsid w:val="000D6D91"/>
    <w:rsid w:val="000E0839"/>
    <w:rsid w:val="000E1C95"/>
    <w:rsid w:val="000E1F13"/>
    <w:rsid w:val="000E2135"/>
    <w:rsid w:val="000E294E"/>
    <w:rsid w:val="000E362B"/>
    <w:rsid w:val="000E3950"/>
    <w:rsid w:val="000E3ADA"/>
    <w:rsid w:val="000E3DCF"/>
    <w:rsid w:val="000E43DF"/>
    <w:rsid w:val="000E4849"/>
    <w:rsid w:val="000E5496"/>
    <w:rsid w:val="000E6598"/>
    <w:rsid w:val="000E6A43"/>
    <w:rsid w:val="000E7260"/>
    <w:rsid w:val="000E7554"/>
    <w:rsid w:val="000E7A34"/>
    <w:rsid w:val="000E7D26"/>
    <w:rsid w:val="000F0D26"/>
    <w:rsid w:val="000F1305"/>
    <w:rsid w:val="000F1404"/>
    <w:rsid w:val="000F154C"/>
    <w:rsid w:val="000F1D9C"/>
    <w:rsid w:val="000F22F2"/>
    <w:rsid w:val="000F237A"/>
    <w:rsid w:val="000F2711"/>
    <w:rsid w:val="000F294C"/>
    <w:rsid w:val="000F2AB8"/>
    <w:rsid w:val="000F2AE7"/>
    <w:rsid w:val="000F42BB"/>
    <w:rsid w:val="000F488C"/>
    <w:rsid w:val="000F53AE"/>
    <w:rsid w:val="000F547E"/>
    <w:rsid w:val="000F5740"/>
    <w:rsid w:val="000F6782"/>
    <w:rsid w:val="000F7FDB"/>
    <w:rsid w:val="00100736"/>
    <w:rsid w:val="001007F6"/>
    <w:rsid w:val="00101623"/>
    <w:rsid w:val="0010165B"/>
    <w:rsid w:val="00101A51"/>
    <w:rsid w:val="00101EB6"/>
    <w:rsid w:val="001046FA"/>
    <w:rsid w:val="001061C6"/>
    <w:rsid w:val="0010639E"/>
    <w:rsid w:val="0010735B"/>
    <w:rsid w:val="0010772F"/>
    <w:rsid w:val="00110AA4"/>
    <w:rsid w:val="00110CF0"/>
    <w:rsid w:val="0011304F"/>
    <w:rsid w:val="00113C14"/>
    <w:rsid w:val="00114CB2"/>
    <w:rsid w:val="00115A03"/>
    <w:rsid w:val="00115D43"/>
    <w:rsid w:val="00115E7C"/>
    <w:rsid w:val="00116FD8"/>
    <w:rsid w:val="001173AD"/>
    <w:rsid w:val="0011772C"/>
    <w:rsid w:val="00117E55"/>
    <w:rsid w:val="00120153"/>
    <w:rsid w:val="001208CF"/>
    <w:rsid w:val="001218AB"/>
    <w:rsid w:val="00122053"/>
    <w:rsid w:val="00122ABB"/>
    <w:rsid w:val="00124520"/>
    <w:rsid w:val="001246EC"/>
    <w:rsid w:val="00124ABE"/>
    <w:rsid w:val="00124BF2"/>
    <w:rsid w:val="00125639"/>
    <w:rsid w:val="00125A59"/>
    <w:rsid w:val="001260B8"/>
    <w:rsid w:val="0012631F"/>
    <w:rsid w:val="001265FC"/>
    <w:rsid w:val="00126DDD"/>
    <w:rsid w:val="0012751F"/>
    <w:rsid w:val="001279FE"/>
    <w:rsid w:val="00127EC7"/>
    <w:rsid w:val="00130659"/>
    <w:rsid w:val="00131A80"/>
    <w:rsid w:val="00131C25"/>
    <w:rsid w:val="00131C62"/>
    <w:rsid w:val="0013219C"/>
    <w:rsid w:val="001324D4"/>
    <w:rsid w:val="00132EA8"/>
    <w:rsid w:val="00133091"/>
    <w:rsid w:val="00134242"/>
    <w:rsid w:val="001343A3"/>
    <w:rsid w:val="001348E4"/>
    <w:rsid w:val="00135111"/>
    <w:rsid w:val="00135943"/>
    <w:rsid w:val="00135D62"/>
    <w:rsid w:val="00136182"/>
    <w:rsid w:val="00137106"/>
    <w:rsid w:val="001373DD"/>
    <w:rsid w:val="001375FE"/>
    <w:rsid w:val="00137DE5"/>
    <w:rsid w:val="001417A2"/>
    <w:rsid w:val="00142D06"/>
    <w:rsid w:val="001432E1"/>
    <w:rsid w:val="001448C7"/>
    <w:rsid w:val="001452DD"/>
    <w:rsid w:val="00145651"/>
    <w:rsid w:val="00145C9D"/>
    <w:rsid w:val="001462B3"/>
    <w:rsid w:val="001463F9"/>
    <w:rsid w:val="0014656C"/>
    <w:rsid w:val="00147228"/>
    <w:rsid w:val="00147285"/>
    <w:rsid w:val="001474EC"/>
    <w:rsid w:val="001478D0"/>
    <w:rsid w:val="00147978"/>
    <w:rsid w:val="00147AB6"/>
    <w:rsid w:val="001501CE"/>
    <w:rsid w:val="00150603"/>
    <w:rsid w:val="0015145D"/>
    <w:rsid w:val="001522C2"/>
    <w:rsid w:val="00152C20"/>
    <w:rsid w:val="001530F3"/>
    <w:rsid w:val="001531CD"/>
    <w:rsid w:val="00153276"/>
    <w:rsid w:val="0015336A"/>
    <w:rsid w:val="0015391D"/>
    <w:rsid w:val="00154199"/>
    <w:rsid w:val="001547A0"/>
    <w:rsid w:val="00154878"/>
    <w:rsid w:val="00154EC1"/>
    <w:rsid w:val="00156CF6"/>
    <w:rsid w:val="001578BD"/>
    <w:rsid w:val="001601AB"/>
    <w:rsid w:val="00161115"/>
    <w:rsid w:val="0016288E"/>
    <w:rsid w:val="001629B4"/>
    <w:rsid w:val="00163512"/>
    <w:rsid w:val="00163FF8"/>
    <w:rsid w:val="00164082"/>
    <w:rsid w:val="001644A8"/>
    <w:rsid w:val="00164A58"/>
    <w:rsid w:val="001650C9"/>
    <w:rsid w:val="00165C41"/>
    <w:rsid w:val="00166505"/>
    <w:rsid w:val="0016734F"/>
    <w:rsid w:val="00167B8F"/>
    <w:rsid w:val="001704C6"/>
    <w:rsid w:val="0017080C"/>
    <w:rsid w:val="0017081A"/>
    <w:rsid w:val="00170A25"/>
    <w:rsid w:val="00170EB9"/>
    <w:rsid w:val="00171005"/>
    <w:rsid w:val="00172B90"/>
    <w:rsid w:val="00173EA2"/>
    <w:rsid w:val="0017405C"/>
    <w:rsid w:val="00174C93"/>
    <w:rsid w:val="00175371"/>
    <w:rsid w:val="001754E1"/>
    <w:rsid w:val="00175AA0"/>
    <w:rsid w:val="00175F78"/>
    <w:rsid w:val="0017617E"/>
    <w:rsid w:val="00176222"/>
    <w:rsid w:val="00176477"/>
    <w:rsid w:val="001768D5"/>
    <w:rsid w:val="001768DC"/>
    <w:rsid w:val="00180439"/>
    <w:rsid w:val="001813FA"/>
    <w:rsid w:val="00181F52"/>
    <w:rsid w:val="00182121"/>
    <w:rsid w:val="001823EC"/>
    <w:rsid w:val="001829D1"/>
    <w:rsid w:val="00182CB0"/>
    <w:rsid w:val="00183553"/>
    <w:rsid w:val="00183CA0"/>
    <w:rsid w:val="00183FDB"/>
    <w:rsid w:val="00184DED"/>
    <w:rsid w:val="001863DA"/>
    <w:rsid w:val="00186618"/>
    <w:rsid w:val="001868EA"/>
    <w:rsid w:val="00186CC3"/>
    <w:rsid w:val="0019184A"/>
    <w:rsid w:val="0019198B"/>
    <w:rsid w:val="00191E11"/>
    <w:rsid w:val="00191E26"/>
    <w:rsid w:val="0019203F"/>
    <w:rsid w:val="00192287"/>
    <w:rsid w:val="00192844"/>
    <w:rsid w:val="0019287F"/>
    <w:rsid w:val="00192908"/>
    <w:rsid w:val="00192DA7"/>
    <w:rsid w:val="00193277"/>
    <w:rsid w:val="00193E95"/>
    <w:rsid w:val="0019411F"/>
    <w:rsid w:val="0019496F"/>
    <w:rsid w:val="00195885"/>
    <w:rsid w:val="00195F7F"/>
    <w:rsid w:val="00196515"/>
    <w:rsid w:val="00196838"/>
    <w:rsid w:val="0019699C"/>
    <w:rsid w:val="001969BF"/>
    <w:rsid w:val="00196C87"/>
    <w:rsid w:val="00196F95"/>
    <w:rsid w:val="00197826"/>
    <w:rsid w:val="001978AF"/>
    <w:rsid w:val="001A0550"/>
    <w:rsid w:val="001A069F"/>
    <w:rsid w:val="001A0FAE"/>
    <w:rsid w:val="001A14D8"/>
    <w:rsid w:val="001A1D53"/>
    <w:rsid w:val="001A275E"/>
    <w:rsid w:val="001A2DCC"/>
    <w:rsid w:val="001A3DE5"/>
    <w:rsid w:val="001A4DD5"/>
    <w:rsid w:val="001A5E16"/>
    <w:rsid w:val="001A5E68"/>
    <w:rsid w:val="001A5F42"/>
    <w:rsid w:val="001A6219"/>
    <w:rsid w:val="001A688A"/>
    <w:rsid w:val="001A730F"/>
    <w:rsid w:val="001A7E70"/>
    <w:rsid w:val="001B0E3F"/>
    <w:rsid w:val="001B129C"/>
    <w:rsid w:val="001B1473"/>
    <w:rsid w:val="001B1850"/>
    <w:rsid w:val="001B6717"/>
    <w:rsid w:val="001B781F"/>
    <w:rsid w:val="001B7844"/>
    <w:rsid w:val="001B7F09"/>
    <w:rsid w:val="001B7FC9"/>
    <w:rsid w:val="001C0187"/>
    <w:rsid w:val="001C1028"/>
    <w:rsid w:val="001C18B8"/>
    <w:rsid w:val="001C1907"/>
    <w:rsid w:val="001C34EB"/>
    <w:rsid w:val="001C4A4D"/>
    <w:rsid w:val="001C5266"/>
    <w:rsid w:val="001C5362"/>
    <w:rsid w:val="001C58BB"/>
    <w:rsid w:val="001C5A10"/>
    <w:rsid w:val="001C5CED"/>
    <w:rsid w:val="001C6006"/>
    <w:rsid w:val="001C6976"/>
    <w:rsid w:val="001C6E62"/>
    <w:rsid w:val="001C7717"/>
    <w:rsid w:val="001D21DD"/>
    <w:rsid w:val="001D25B3"/>
    <w:rsid w:val="001D25BF"/>
    <w:rsid w:val="001D2690"/>
    <w:rsid w:val="001D2AB5"/>
    <w:rsid w:val="001D325C"/>
    <w:rsid w:val="001D42CF"/>
    <w:rsid w:val="001D5697"/>
    <w:rsid w:val="001D5BDD"/>
    <w:rsid w:val="001D764A"/>
    <w:rsid w:val="001D7D44"/>
    <w:rsid w:val="001E0B06"/>
    <w:rsid w:val="001E1AAB"/>
    <w:rsid w:val="001E1B4F"/>
    <w:rsid w:val="001E276C"/>
    <w:rsid w:val="001E3581"/>
    <w:rsid w:val="001E35E7"/>
    <w:rsid w:val="001E3625"/>
    <w:rsid w:val="001E390F"/>
    <w:rsid w:val="001E3B1B"/>
    <w:rsid w:val="001E4B29"/>
    <w:rsid w:val="001E60C3"/>
    <w:rsid w:val="001E75D9"/>
    <w:rsid w:val="001F07AA"/>
    <w:rsid w:val="001F0ACD"/>
    <w:rsid w:val="001F1D0A"/>
    <w:rsid w:val="001F2BA3"/>
    <w:rsid w:val="001F2E78"/>
    <w:rsid w:val="001F3361"/>
    <w:rsid w:val="001F3DFB"/>
    <w:rsid w:val="001F413B"/>
    <w:rsid w:val="001F459F"/>
    <w:rsid w:val="001F4C6C"/>
    <w:rsid w:val="001F647A"/>
    <w:rsid w:val="001F678C"/>
    <w:rsid w:val="001F696C"/>
    <w:rsid w:val="001F6F24"/>
    <w:rsid w:val="002002ED"/>
    <w:rsid w:val="002004C8"/>
    <w:rsid w:val="00200595"/>
    <w:rsid w:val="00200D12"/>
    <w:rsid w:val="002021B8"/>
    <w:rsid w:val="002040F4"/>
    <w:rsid w:val="0020492C"/>
    <w:rsid w:val="00204C37"/>
    <w:rsid w:val="00204FF1"/>
    <w:rsid w:val="002053CE"/>
    <w:rsid w:val="0020597E"/>
    <w:rsid w:val="00205F5C"/>
    <w:rsid w:val="0020661D"/>
    <w:rsid w:val="00206C2A"/>
    <w:rsid w:val="00207033"/>
    <w:rsid w:val="00207365"/>
    <w:rsid w:val="00207C88"/>
    <w:rsid w:val="00211BE0"/>
    <w:rsid w:val="00211E4B"/>
    <w:rsid w:val="0021208B"/>
    <w:rsid w:val="00212E90"/>
    <w:rsid w:val="00213EE2"/>
    <w:rsid w:val="0021459E"/>
    <w:rsid w:val="00214C3F"/>
    <w:rsid w:val="00214D12"/>
    <w:rsid w:val="00214F9A"/>
    <w:rsid w:val="002165AF"/>
    <w:rsid w:val="00216E0C"/>
    <w:rsid w:val="00217A37"/>
    <w:rsid w:val="00217EF0"/>
    <w:rsid w:val="002205E0"/>
    <w:rsid w:val="00220855"/>
    <w:rsid w:val="002209D3"/>
    <w:rsid w:val="00220A61"/>
    <w:rsid w:val="0022125F"/>
    <w:rsid w:val="00221C87"/>
    <w:rsid w:val="00222841"/>
    <w:rsid w:val="002239AE"/>
    <w:rsid w:val="00223EE1"/>
    <w:rsid w:val="00224D10"/>
    <w:rsid w:val="0022591F"/>
    <w:rsid w:val="002273AD"/>
    <w:rsid w:val="00227C44"/>
    <w:rsid w:val="00227E13"/>
    <w:rsid w:val="002309FC"/>
    <w:rsid w:val="00230B2F"/>
    <w:rsid w:val="00230B8C"/>
    <w:rsid w:val="00230DBA"/>
    <w:rsid w:val="00231096"/>
    <w:rsid w:val="0023114D"/>
    <w:rsid w:val="00231936"/>
    <w:rsid w:val="00231E98"/>
    <w:rsid w:val="00232B5D"/>
    <w:rsid w:val="00234598"/>
    <w:rsid w:val="00234670"/>
    <w:rsid w:val="0023555B"/>
    <w:rsid w:val="00235AAC"/>
    <w:rsid w:val="00235FBA"/>
    <w:rsid w:val="00236308"/>
    <w:rsid w:val="00236A1A"/>
    <w:rsid w:val="0023726E"/>
    <w:rsid w:val="002402D7"/>
    <w:rsid w:val="00240BF9"/>
    <w:rsid w:val="002410D9"/>
    <w:rsid w:val="00241250"/>
    <w:rsid w:val="002432AB"/>
    <w:rsid w:val="002435E5"/>
    <w:rsid w:val="00243C90"/>
    <w:rsid w:val="00244639"/>
    <w:rsid w:val="00244B7A"/>
    <w:rsid w:val="0024510A"/>
    <w:rsid w:val="0024523D"/>
    <w:rsid w:val="00245C6C"/>
    <w:rsid w:val="002464AE"/>
    <w:rsid w:val="0024652F"/>
    <w:rsid w:val="002467EF"/>
    <w:rsid w:val="002472AE"/>
    <w:rsid w:val="0025096B"/>
    <w:rsid w:val="00250D3F"/>
    <w:rsid w:val="00250EA6"/>
    <w:rsid w:val="002512B7"/>
    <w:rsid w:val="00251E06"/>
    <w:rsid w:val="00252363"/>
    <w:rsid w:val="0025267D"/>
    <w:rsid w:val="00252B3D"/>
    <w:rsid w:val="002531B1"/>
    <w:rsid w:val="00253D81"/>
    <w:rsid w:val="002548D2"/>
    <w:rsid w:val="00255675"/>
    <w:rsid w:val="002558C8"/>
    <w:rsid w:val="00255D07"/>
    <w:rsid w:val="00256070"/>
    <w:rsid w:val="00257599"/>
    <w:rsid w:val="002610DA"/>
    <w:rsid w:val="002621BA"/>
    <w:rsid w:val="002623F2"/>
    <w:rsid w:val="0026306A"/>
    <w:rsid w:val="00263161"/>
    <w:rsid w:val="00263F26"/>
    <w:rsid w:val="00264BA2"/>
    <w:rsid w:val="00264D25"/>
    <w:rsid w:val="00264FEE"/>
    <w:rsid w:val="00265E18"/>
    <w:rsid w:val="0026617A"/>
    <w:rsid w:val="0026620C"/>
    <w:rsid w:val="00270D67"/>
    <w:rsid w:val="00270E2A"/>
    <w:rsid w:val="00270E9B"/>
    <w:rsid w:val="00270EAD"/>
    <w:rsid w:val="002714BB"/>
    <w:rsid w:val="00271B1A"/>
    <w:rsid w:val="00271BE8"/>
    <w:rsid w:val="00272884"/>
    <w:rsid w:val="002728A5"/>
    <w:rsid w:val="00273346"/>
    <w:rsid w:val="00273C0B"/>
    <w:rsid w:val="0027424E"/>
    <w:rsid w:val="002748C7"/>
    <w:rsid w:val="00274A08"/>
    <w:rsid w:val="002760A9"/>
    <w:rsid w:val="002766A4"/>
    <w:rsid w:val="002775C0"/>
    <w:rsid w:val="00277A41"/>
    <w:rsid w:val="002800B0"/>
    <w:rsid w:val="00280B0F"/>
    <w:rsid w:val="00280D0F"/>
    <w:rsid w:val="00280E84"/>
    <w:rsid w:val="0028130F"/>
    <w:rsid w:val="0028178E"/>
    <w:rsid w:val="00281EC0"/>
    <w:rsid w:val="0028328F"/>
    <w:rsid w:val="00283AB4"/>
    <w:rsid w:val="00283C02"/>
    <w:rsid w:val="002848D6"/>
    <w:rsid w:val="00284972"/>
    <w:rsid w:val="002851FF"/>
    <w:rsid w:val="00285702"/>
    <w:rsid w:val="00285956"/>
    <w:rsid w:val="00285C49"/>
    <w:rsid w:val="002861B6"/>
    <w:rsid w:val="00286AD6"/>
    <w:rsid w:val="00286BB7"/>
    <w:rsid w:val="00286C5C"/>
    <w:rsid w:val="002870C9"/>
    <w:rsid w:val="002905AC"/>
    <w:rsid w:val="00290FF7"/>
    <w:rsid w:val="00293360"/>
    <w:rsid w:val="002936BD"/>
    <w:rsid w:val="002944DC"/>
    <w:rsid w:val="002945B0"/>
    <w:rsid w:val="002945C1"/>
    <w:rsid w:val="00294F5C"/>
    <w:rsid w:val="0029589D"/>
    <w:rsid w:val="00296436"/>
    <w:rsid w:val="00296DAE"/>
    <w:rsid w:val="002974F6"/>
    <w:rsid w:val="0029787C"/>
    <w:rsid w:val="00297E11"/>
    <w:rsid w:val="002A0533"/>
    <w:rsid w:val="002A0AE8"/>
    <w:rsid w:val="002A19E9"/>
    <w:rsid w:val="002A238F"/>
    <w:rsid w:val="002A29D4"/>
    <w:rsid w:val="002A429B"/>
    <w:rsid w:val="002A4535"/>
    <w:rsid w:val="002A6694"/>
    <w:rsid w:val="002A6D63"/>
    <w:rsid w:val="002A7229"/>
    <w:rsid w:val="002A77B7"/>
    <w:rsid w:val="002A79AE"/>
    <w:rsid w:val="002B02F2"/>
    <w:rsid w:val="002B10D5"/>
    <w:rsid w:val="002B128F"/>
    <w:rsid w:val="002B1799"/>
    <w:rsid w:val="002B2182"/>
    <w:rsid w:val="002B3742"/>
    <w:rsid w:val="002B41A3"/>
    <w:rsid w:val="002B43C0"/>
    <w:rsid w:val="002B67A1"/>
    <w:rsid w:val="002B6B0A"/>
    <w:rsid w:val="002B771A"/>
    <w:rsid w:val="002B7F5C"/>
    <w:rsid w:val="002C0B14"/>
    <w:rsid w:val="002C10BA"/>
    <w:rsid w:val="002C12E7"/>
    <w:rsid w:val="002C15F5"/>
    <w:rsid w:val="002C1DF6"/>
    <w:rsid w:val="002C1F73"/>
    <w:rsid w:val="002C29B7"/>
    <w:rsid w:val="002C34CF"/>
    <w:rsid w:val="002C4D7D"/>
    <w:rsid w:val="002C4E75"/>
    <w:rsid w:val="002C5078"/>
    <w:rsid w:val="002C75C1"/>
    <w:rsid w:val="002C7BE3"/>
    <w:rsid w:val="002C7DDD"/>
    <w:rsid w:val="002D07AC"/>
    <w:rsid w:val="002D18CB"/>
    <w:rsid w:val="002D2587"/>
    <w:rsid w:val="002D263D"/>
    <w:rsid w:val="002D2C6D"/>
    <w:rsid w:val="002D436A"/>
    <w:rsid w:val="002D44FA"/>
    <w:rsid w:val="002D5047"/>
    <w:rsid w:val="002D573C"/>
    <w:rsid w:val="002D631D"/>
    <w:rsid w:val="002D7AF2"/>
    <w:rsid w:val="002D7B3F"/>
    <w:rsid w:val="002E1CE5"/>
    <w:rsid w:val="002E1E58"/>
    <w:rsid w:val="002E2F42"/>
    <w:rsid w:val="002E34F3"/>
    <w:rsid w:val="002E3A34"/>
    <w:rsid w:val="002E4511"/>
    <w:rsid w:val="002E49F2"/>
    <w:rsid w:val="002E4A43"/>
    <w:rsid w:val="002E5148"/>
    <w:rsid w:val="002E524A"/>
    <w:rsid w:val="002E6305"/>
    <w:rsid w:val="002E6E25"/>
    <w:rsid w:val="002E7189"/>
    <w:rsid w:val="002E7302"/>
    <w:rsid w:val="002F0614"/>
    <w:rsid w:val="002F303B"/>
    <w:rsid w:val="002F3579"/>
    <w:rsid w:val="002F4437"/>
    <w:rsid w:val="002F4678"/>
    <w:rsid w:val="002F5704"/>
    <w:rsid w:val="002F58D4"/>
    <w:rsid w:val="002F7722"/>
    <w:rsid w:val="0030037B"/>
    <w:rsid w:val="00300C4A"/>
    <w:rsid w:val="00300E11"/>
    <w:rsid w:val="00301864"/>
    <w:rsid w:val="00302201"/>
    <w:rsid w:val="003025E3"/>
    <w:rsid w:val="00303D77"/>
    <w:rsid w:val="00304CF2"/>
    <w:rsid w:val="00304DE5"/>
    <w:rsid w:val="00305A5E"/>
    <w:rsid w:val="00305D89"/>
    <w:rsid w:val="003064CE"/>
    <w:rsid w:val="00307109"/>
    <w:rsid w:val="003108BF"/>
    <w:rsid w:val="00310F22"/>
    <w:rsid w:val="0031156D"/>
    <w:rsid w:val="0031194D"/>
    <w:rsid w:val="003119C0"/>
    <w:rsid w:val="003144FE"/>
    <w:rsid w:val="00314ED1"/>
    <w:rsid w:val="00317048"/>
    <w:rsid w:val="00320CFF"/>
    <w:rsid w:val="00321A28"/>
    <w:rsid w:val="00321C15"/>
    <w:rsid w:val="00321C46"/>
    <w:rsid w:val="00321FEB"/>
    <w:rsid w:val="00323665"/>
    <w:rsid w:val="00323FFD"/>
    <w:rsid w:val="00324F95"/>
    <w:rsid w:val="00324FBD"/>
    <w:rsid w:val="003262FD"/>
    <w:rsid w:val="0032744F"/>
    <w:rsid w:val="00327624"/>
    <w:rsid w:val="00327AB5"/>
    <w:rsid w:val="003306A7"/>
    <w:rsid w:val="0033133A"/>
    <w:rsid w:val="00331AD1"/>
    <w:rsid w:val="00331C26"/>
    <w:rsid w:val="00331F9A"/>
    <w:rsid w:val="003326CC"/>
    <w:rsid w:val="00332B20"/>
    <w:rsid w:val="00333209"/>
    <w:rsid w:val="00334185"/>
    <w:rsid w:val="003344F7"/>
    <w:rsid w:val="003349B5"/>
    <w:rsid w:val="003352B2"/>
    <w:rsid w:val="00335774"/>
    <w:rsid w:val="00336735"/>
    <w:rsid w:val="00336DDC"/>
    <w:rsid w:val="00340293"/>
    <w:rsid w:val="00340EBF"/>
    <w:rsid w:val="00340ED1"/>
    <w:rsid w:val="003421F8"/>
    <w:rsid w:val="00342F44"/>
    <w:rsid w:val="00343011"/>
    <w:rsid w:val="003431E0"/>
    <w:rsid w:val="00343A6C"/>
    <w:rsid w:val="00343E57"/>
    <w:rsid w:val="003440E9"/>
    <w:rsid w:val="003441B2"/>
    <w:rsid w:val="00344B62"/>
    <w:rsid w:val="00344BD0"/>
    <w:rsid w:val="00344E27"/>
    <w:rsid w:val="0034513E"/>
    <w:rsid w:val="003452A6"/>
    <w:rsid w:val="00347133"/>
    <w:rsid w:val="00347674"/>
    <w:rsid w:val="00350625"/>
    <w:rsid w:val="003507F5"/>
    <w:rsid w:val="003513BF"/>
    <w:rsid w:val="00352B4F"/>
    <w:rsid w:val="0035342A"/>
    <w:rsid w:val="00357251"/>
    <w:rsid w:val="00357655"/>
    <w:rsid w:val="003577CB"/>
    <w:rsid w:val="00357DE0"/>
    <w:rsid w:val="0036012A"/>
    <w:rsid w:val="003603BD"/>
    <w:rsid w:val="00360F15"/>
    <w:rsid w:val="003613A7"/>
    <w:rsid w:val="003613AC"/>
    <w:rsid w:val="003618E5"/>
    <w:rsid w:val="00361F1A"/>
    <w:rsid w:val="00361FBF"/>
    <w:rsid w:val="003624FE"/>
    <w:rsid w:val="003626D8"/>
    <w:rsid w:val="00362956"/>
    <w:rsid w:val="00363272"/>
    <w:rsid w:val="003633C4"/>
    <w:rsid w:val="0036458A"/>
    <w:rsid w:val="003647F7"/>
    <w:rsid w:val="003651C8"/>
    <w:rsid w:val="00365679"/>
    <w:rsid w:val="0036649B"/>
    <w:rsid w:val="0036672C"/>
    <w:rsid w:val="00367429"/>
    <w:rsid w:val="003674CE"/>
    <w:rsid w:val="00367633"/>
    <w:rsid w:val="00367BBD"/>
    <w:rsid w:val="00367E87"/>
    <w:rsid w:val="0037085C"/>
    <w:rsid w:val="003709F8"/>
    <w:rsid w:val="00370D31"/>
    <w:rsid w:val="00371093"/>
    <w:rsid w:val="00371373"/>
    <w:rsid w:val="00371B10"/>
    <w:rsid w:val="003721F2"/>
    <w:rsid w:val="0037286E"/>
    <w:rsid w:val="00372B4D"/>
    <w:rsid w:val="0037325C"/>
    <w:rsid w:val="003736A9"/>
    <w:rsid w:val="00373E2D"/>
    <w:rsid w:val="003754D8"/>
    <w:rsid w:val="00375FE7"/>
    <w:rsid w:val="00376130"/>
    <w:rsid w:val="00376740"/>
    <w:rsid w:val="00376D7B"/>
    <w:rsid w:val="0037785F"/>
    <w:rsid w:val="003778F5"/>
    <w:rsid w:val="00381334"/>
    <w:rsid w:val="0038181E"/>
    <w:rsid w:val="00381C7D"/>
    <w:rsid w:val="00381F64"/>
    <w:rsid w:val="0038231D"/>
    <w:rsid w:val="003829CE"/>
    <w:rsid w:val="0038321B"/>
    <w:rsid w:val="00383B1E"/>
    <w:rsid w:val="003845F5"/>
    <w:rsid w:val="00384758"/>
    <w:rsid w:val="003847EF"/>
    <w:rsid w:val="00384AE0"/>
    <w:rsid w:val="003861FA"/>
    <w:rsid w:val="00387596"/>
    <w:rsid w:val="00390B0D"/>
    <w:rsid w:val="00393231"/>
    <w:rsid w:val="00393EB9"/>
    <w:rsid w:val="00393F01"/>
    <w:rsid w:val="0039519A"/>
    <w:rsid w:val="003959F4"/>
    <w:rsid w:val="00395C6D"/>
    <w:rsid w:val="003964F8"/>
    <w:rsid w:val="00396A13"/>
    <w:rsid w:val="003970BF"/>
    <w:rsid w:val="003A04EF"/>
    <w:rsid w:val="003A200C"/>
    <w:rsid w:val="003A2BAD"/>
    <w:rsid w:val="003A2CF4"/>
    <w:rsid w:val="003A2E36"/>
    <w:rsid w:val="003A45B2"/>
    <w:rsid w:val="003A46B8"/>
    <w:rsid w:val="003A5699"/>
    <w:rsid w:val="003A5F97"/>
    <w:rsid w:val="003A6501"/>
    <w:rsid w:val="003A6E24"/>
    <w:rsid w:val="003A700A"/>
    <w:rsid w:val="003A7EA6"/>
    <w:rsid w:val="003B0338"/>
    <w:rsid w:val="003B0C09"/>
    <w:rsid w:val="003B1DF3"/>
    <w:rsid w:val="003B25AC"/>
    <w:rsid w:val="003B2FC4"/>
    <w:rsid w:val="003B3369"/>
    <w:rsid w:val="003B36A4"/>
    <w:rsid w:val="003B3DB6"/>
    <w:rsid w:val="003B3F5F"/>
    <w:rsid w:val="003B3F8B"/>
    <w:rsid w:val="003B41A7"/>
    <w:rsid w:val="003B4902"/>
    <w:rsid w:val="003B4A2D"/>
    <w:rsid w:val="003B4D86"/>
    <w:rsid w:val="003B52B3"/>
    <w:rsid w:val="003B55B9"/>
    <w:rsid w:val="003B58BE"/>
    <w:rsid w:val="003B5C06"/>
    <w:rsid w:val="003B74F7"/>
    <w:rsid w:val="003B76AB"/>
    <w:rsid w:val="003B78CC"/>
    <w:rsid w:val="003C0596"/>
    <w:rsid w:val="003C0AB6"/>
    <w:rsid w:val="003C1424"/>
    <w:rsid w:val="003C1C64"/>
    <w:rsid w:val="003C2009"/>
    <w:rsid w:val="003C2A98"/>
    <w:rsid w:val="003C3263"/>
    <w:rsid w:val="003C43E0"/>
    <w:rsid w:val="003C47E8"/>
    <w:rsid w:val="003C49A2"/>
    <w:rsid w:val="003C509A"/>
    <w:rsid w:val="003C52AE"/>
    <w:rsid w:val="003C5717"/>
    <w:rsid w:val="003C6383"/>
    <w:rsid w:val="003C6430"/>
    <w:rsid w:val="003C746D"/>
    <w:rsid w:val="003C7A6F"/>
    <w:rsid w:val="003D07E8"/>
    <w:rsid w:val="003D11FC"/>
    <w:rsid w:val="003D1B3C"/>
    <w:rsid w:val="003D1DF7"/>
    <w:rsid w:val="003D24F4"/>
    <w:rsid w:val="003D25F1"/>
    <w:rsid w:val="003D2C46"/>
    <w:rsid w:val="003D3582"/>
    <w:rsid w:val="003D368B"/>
    <w:rsid w:val="003D3D3F"/>
    <w:rsid w:val="003D3F69"/>
    <w:rsid w:val="003D414A"/>
    <w:rsid w:val="003D4624"/>
    <w:rsid w:val="003D52D1"/>
    <w:rsid w:val="003D5634"/>
    <w:rsid w:val="003D76D9"/>
    <w:rsid w:val="003D78A3"/>
    <w:rsid w:val="003E040C"/>
    <w:rsid w:val="003E1E41"/>
    <w:rsid w:val="003E5E54"/>
    <w:rsid w:val="003E7387"/>
    <w:rsid w:val="003E7CDA"/>
    <w:rsid w:val="003F0D68"/>
    <w:rsid w:val="003F129A"/>
    <w:rsid w:val="003F1B41"/>
    <w:rsid w:val="003F1CCF"/>
    <w:rsid w:val="003F1F04"/>
    <w:rsid w:val="003F2138"/>
    <w:rsid w:val="003F36F3"/>
    <w:rsid w:val="003F49D5"/>
    <w:rsid w:val="003F4D01"/>
    <w:rsid w:val="003F722F"/>
    <w:rsid w:val="003F73E8"/>
    <w:rsid w:val="003F753E"/>
    <w:rsid w:val="00401286"/>
    <w:rsid w:val="00401AAA"/>
    <w:rsid w:val="00401E3A"/>
    <w:rsid w:val="00401E83"/>
    <w:rsid w:val="00402141"/>
    <w:rsid w:val="00402436"/>
    <w:rsid w:val="004033D5"/>
    <w:rsid w:val="00403EAE"/>
    <w:rsid w:val="00404369"/>
    <w:rsid w:val="004044E6"/>
    <w:rsid w:val="00405108"/>
    <w:rsid w:val="0040512B"/>
    <w:rsid w:val="0040542F"/>
    <w:rsid w:val="0040611F"/>
    <w:rsid w:val="004068FD"/>
    <w:rsid w:val="0040724C"/>
    <w:rsid w:val="004073DA"/>
    <w:rsid w:val="004076D3"/>
    <w:rsid w:val="004106E2"/>
    <w:rsid w:val="00410E0F"/>
    <w:rsid w:val="00412043"/>
    <w:rsid w:val="004130B8"/>
    <w:rsid w:val="00413927"/>
    <w:rsid w:val="00413B29"/>
    <w:rsid w:val="00413C20"/>
    <w:rsid w:val="004149E8"/>
    <w:rsid w:val="00415346"/>
    <w:rsid w:val="004166AE"/>
    <w:rsid w:val="004179B3"/>
    <w:rsid w:val="004207DD"/>
    <w:rsid w:val="0042100D"/>
    <w:rsid w:val="0042130A"/>
    <w:rsid w:val="00421E88"/>
    <w:rsid w:val="00422907"/>
    <w:rsid w:val="00422F72"/>
    <w:rsid w:val="00423428"/>
    <w:rsid w:val="00423AAF"/>
    <w:rsid w:val="0042492F"/>
    <w:rsid w:val="00425F48"/>
    <w:rsid w:val="00426CAF"/>
    <w:rsid w:val="004302E2"/>
    <w:rsid w:val="004303AC"/>
    <w:rsid w:val="00430471"/>
    <w:rsid w:val="0043115E"/>
    <w:rsid w:val="00431B46"/>
    <w:rsid w:val="00432880"/>
    <w:rsid w:val="004335ED"/>
    <w:rsid w:val="004347C5"/>
    <w:rsid w:val="00434DA1"/>
    <w:rsid w:val="00435E5D"/>
    <w:rsid w:val="004360C6"/>
    <w:rsid w:val="00436475"/>
    <w:rsid w:val="00436771"/>
    <w:rsid w:val="004371EF"/>
    <w:rsid w:val="0044066F"/>
    <w:rsid w:val="00440AF1"/>
    <w:rsid w:val="00441520"/>
    <w:rsid w:val="004415A4"/>
    <w:rsid w:val="00442495"/>
    <w:rsid w:val="00442BC2"/>
    <w:rsid w:val="00443C9F"/>
    <w:rsid w:val="00443DA0"/>
    <w:rsid w:val="00443EC4"/>
    <w:rsid w:val="00444138"/>
    <w:rsid w:val="00444856"/>
    <w:rsid w:val="00444ABB"/>
    <w:rsid w:val="0044600C"/>
    <w:rsid w:val="00450FC1"/>
    <w:rsid w:val="00451382"/>
    <w:rsid w:val="004513C3"/>
    <w:rsid w:val="00451686"/>
    <w:rsid w:val="0045180F"/>
    <w:rsid w:val="00451BD3"/>
    <w:rsid w:val="004522E6"/>
    <w:rsid w:val="00452694"/>
    <w:rsid w:val="00452903"/>
    <w:rsid w:val="00453A01"/>
    <w:rsid w:val="0045457A"/>
    <w:rsid w:val="00454AEE"/>
    <w:rsid w:val="00456836"/>
    <w:rsid w:val="00457688"/>
    <w:rsid w:val="00457FA1"/>
    <w:rsid w:val="00460020"/>
    <w:rsid w:val="00460440"/>
    <w:rsid w:val="00460A76"/>
    <w:rsid w:val="00460A8E"/>
    <w:rsid w:val="00460AC0"/>
    <w:rsid w:val="004610AD"/>
    <w:rsid w:val="0046145B"/>
    <w:rsid w:val="00462ED4"/>
    <w:rsid w:val="00463574"/>
    <w:rsid w:val="00464B86"/>
    <w:rsid w:val="004653BB"/>
    <w:rsid w:val="00465741"/>
    <w:rsid w:val="00465A87"/>
    <w:rsid w:val="00470AA4"/>
    <w:rsid w:val="00470E29"/>
    <w:rsid w:val="004710C6"/>
    <w:rsid w:val="004724A2"/>
    <w:rsid w:val="004728D2"/>
    <w:rsid w:val="0047340E"/>
    <w:rsid w:val="004754DD"/>
    <w:rsid w:val="0047552D"/>
    <w:rsid w:val="0047564D"/>
    <w:rsid w:val="004758D9"/>
    <w:rsid w:val="00477045"/>
    <w:rsid w:val="00477324"/>
    <w:rsid w:val="00477C88"/>
    <w:rsid w:val="0048116F"/>
    <w:rsid w:val="004814B8"/>
    <w:rsid w:val="00481C63"/>
    <w:rsid w:val="0048203B"/>
    <w:rsid w:val="00483535"/>
    <w:rsid w:val="004839AC"/>
    <w:rsid w:val="00484120"/>
    <w:rsid w:val="004845AA"/>
    <w:rsid w:val="00484E87"/>
    <w:rsid w:val="00485F4E"/>
    <w:rsid w:val="00486BEB"/>
    <w:rsid w:val="00486F06"/>
    <w:rsid w:val="00487258"/>
    <w:rsid w:val="00487729"/>
    <w:rsid w:val="00487B09"/>
    <w:rsid w:val="004901B2"/>
    <w:rsid w:val="00490AF0"/>
    <w:rsid w:val="00492CEF"/>
    <w:rsid w:val="00492E48"/>
    <w:rsid w:val="004939EA"/>
    <w:rsid w:val="00493F29"/>
    <w:rsid w:val="00494B6B"/>
    <w:rsid w:val="0049507C"/>
    <w:rsid w:val="0049521D"/>
    <w:rsid w:val="00495244"/>
    <w:rsid w:val="0049555D"/>
    <w:rsid w:val="00495B4E"/>
    <w:rsid w:val="00495D4A"/>
    <w:rsid w:val="004963BE"/>
    <w:rsid w:val="0049652E"/>
    <w:rsid w:val="004A016F"/>
    <w:rsid w:val="004A02BE"/>
    <w:rsid w:val="004A13A7"/>
    <w:rsid w:val="004A22DC"/>
    <w:rsid w:val="004A25EF"/>
    <w:rsid w:val="004A3DFD"/>
    <w:rsid w:val="004A4E2D"/>
    <w:rsid w:val="004A4EC2"/>
    <w:rsid w:val="004A53C2"/>
    <w:rsid w:val="004A59F9"/>
    <w:rsid w:val="004A608D"/>
    <w:rsid w:val="004A6294"/>
    <w:rsid w:val="004A66C7"/>
    <w:rsid w:val="004A778D"/>
    <w:rsid w:val="004A7BFB"/>
    <w:rsid w:val="004A7FB5"/>
    <w:rsid w:val="004B0BE9"/>
    <w:rsid w:val="004B173D"/>
    <w:rsid w:val="004B197B"/>
    <w:rsid w:val="004B1FF2"/>
    <w:rsid w:val="004B373C"/>
    <w:rsid w:val="004B37C1"/>
    <w:rsid w:val="004B3821"/>
    <w:rsid w:val="004B38D3"/>
    <w:rsid w:val="004B417C"/>
    <w:rsid w:val="004B42CC"/>
    <w:rsid w:val="004B4366"/>
    <w:rsid w:val="004B4862"/>
    <w:rsid w:val="004B5089"/>
    <w:rsid w:val="004B50EC"/>
    <w:rsid w:val="004B5806"/>
    <w:rsid w:val="004B5EF1"/>
    <w:rsid w:val="004B5F20"/>
    <w:rsid w:val="004B632A"/>
    <w:rsid w:val="004B6880"/>
    <w:rsid w:val="004C0316"/>
    <w:rsid w:val="004C08B8"/>
    <w:rsid w:val="004C096F"/>
    <w:rsid w:val="004C13A1"/>
    <w:rsid w:val="004C1814"/>
    <w:rsid w:val="004C29B2"/>
    <w:rsid w:val="004C3767"/>
    <w:rsid w:val="004C37ED"/>
    <w:rsid w:val="004C3D40"/>
    <w:rsid w:val="004C4003"/>
    <w:rsid w:val="004C4B95"/>
    <w:rsid w:val="004C55DA"/>
    <w:rsid w:val="004C65AD"/>
    <w:rsid w:val="004C7E96"/>
    <w:rsid w:val="004D0996"/>
    <w:rsid w:val="004D0F99"/>
    <w:rsid w:val="004D28D0"/>
    <w:rsid w:val="004D304B"/>
    <w:rsid w:val="004D32C9"/>
    <w:rsid w:val="004D463F"/>
    <w:rsid w:val="004D4D58"/>
    <w:rsid w:val="004D4E47"/>
    <w:rsid w:val="004D5BF6"/>
    <w:rsid w:val="004D5C17"/>
    <w:rsid w:val="004D7167"/>
    <w:rsid w:val="004D7708"/>
    <w:rsid w:val="004E012D"/>
    <w:rsid w:val="004E0C6A"/>
    <w:rsid w:val="004E191A"/>
    <w:rsid w:val="004E2B12"/>
    <w:rsid w:val="004E2C57"/>
    <w:rsid w:val="004E37F1"/>
    <w:rsid w:val="004E3E4D"/>
    <w:rsid w:val="004E4C69"/>
    <w:rsid w:val="004E5322"/>
    <w:rsid w:val="004E5E05"/>
    <w:rsid w:val="004E6830"/>
    <w:rsid w:val="004E7B05"/>
    <w:rsid w:val="004F0597"/>
    <w:rsid w:val="004F1144"/>
    <w:rsid w:val="004F1767"/>
    <w:rsid w:val="004F2A85"/>
    <w:rsid w:val="004F3397"/>
    <w:rsid w:val="004F36B2"/>
    <w:rsid w:val="004F38AF"/>
    <w:rsid w:val="004F3DAC"/>
    <w:rsid w:val="004F40F9"/>
    <w:rsid w:val="004F4124"/>
    <w:rsid w:val="004F43A3"/>
    <w:rsid w:val="004F493A"/>
    <w:rsid w:val="004F5651"/>
    <w:rsid w:val="004F57D2"/>
    <w:rsid w:val="004F7A61"/>
    <w:rsid w:val="005005E3"/>
    <w:rsid w:val="00500F03"/>
    <w:rsid w:val="0050113A"/>
    <w:rsid w:val="0050271C"/>
    <w:rsid w:val="00502D69"/>
    <w:rsid w:val="00503462"/>
    <w:rsid w:val="005040D9"/>
    <w:rsid w:val="005056C1"/>
    <w:rsid w:val="0050592A"/>
    <w:rsid w:val="0050681E"/>
    <w:rsid w:val="00506C1C"/>
    <w:rsid w:val="00507480"/>
    <w:rsid w:val="005079CE"/>
    <w:rsid w:val="00507EE1"/>
    <w:rsid w:val="0051026F"/>
    <w:rsid w:val="0051068F"/>
    <w:rsid w:val="00510A9D"/>
    <w:rsid w:val="005110B7"/>
    <w:rsid w:val="00511632"/>
    <w:rsid w:val="00511CD7"/>
    <w:rsid w:val="0051257F"/>
    <w:rsid w:val="00515C95"/>
    <w:rsid w:val="00516AEE"/>
    <w:rsid w:val="00516DBD"/>
    <w:rsid w:val="00517D02"/>
    <w:rsid w:val="0052068E"/>
    <w:rsid w:val="005209D4"/>
    <w:rsid w:val="005211DD"/>
    <w:rsid w:val="00521354"/>
    <w:rsid w:val="00521ECA"/>
    <w:rsid w:val="0052235A"/>
    <w:rsid w:val="0052472F"/>
    <w:rsid w:val="00525BB7"/>
    <w:rsid w:val="00525DAF"/>
    <w:rsid w:val="00526454"/>
    <w:rsid w:val="00526A82"/>
    <w:rsid w:val="005272AA"/>
    <w:rsid w:val="00530079"/>
    <w:rsid w:val="0053018F"/>
    <w:rsid w:val="00530B99"/>
    <w:rsid w:val="00530C01"/>
    <w:rsid w:val="00531E78"/>
    <w:rsid w:val="00531E88"/>
    <w:rsid w:val="00532527"/>
    <w:rsid w:val="00532B31"/>
    <w:rsid w:val="005333D3"/>
    <w:rsid w:val="00533564"/>
    <w:rsid w:val="00533663"/>
    <w:rsid w:val="00533A05"/>
    <w:rsid w:val="00533CEE"/>
    <w:rsid w:val="00533F0C"/>
    <w:rsid w:val="00534025"/>
    <w:rsid w:val="00534467"/>
    <w:rsid w:val="00535A37"/>
    <w:rsid w:val="00536031"/>
    <w:rsid w:val="00536E24"/>
    <w:rsid w:val="005379A2"/>
    <w:rsid w:val="00537A71"/>
    <w:rsid w:val="00537D2B"/>
    <w:rsid w:val="005405E7"/>
    <w:rsid w:val="0054195E"/>
    <w:rsid w:val="00542801"/>
    <w:rsid w:val="00544828"/>
    <w:rsid w:val="00544AEE"/>
    <w:rsid w:val="00544F51"/>
    <w:rsid w:val="005454D8"/>
    <w:rsid w:val="00545D4E"/>
    <w:rsid w:val="00550D64"/>
    <w:rsid w:val="005510FD"/>
    <w:rsid w:val="005516F4"/>
    <w:rsid w:val="00551C44"/>
    <w:rsid w:val="00551EA9"/>
    <w:rsid w:val="0055236C"/>
    <w:rsid w:val="00552DDA"/>
    <w:rsid w:val="0055360A"/>
    <w:rsid w:val="00553AD6"/>
    <w:rsid w:val="00553BB6"/>
    <w:rsid w:val="0055510E"/>
    <w:rsid w:val="00555113"/>
    <w:rsid w:val="005565DC"/>
    <w:rsid w:val="00557BFD"/>
    <w:rsid w:val="0056039C"/>
    <w:rsid w:val="00560C6C"/>
    <w:rsid w:val="00560EA0"/>
    <w:rsid w:val="00561190"/>
    <w:rsid w:val="00561609"/>
    <w:rsid w:val="00561651"/>
    <w:rsid w:val="005616DA"/>
    <w:rsid w:val="00562A18"/>
    <w:rsid w:val="00563038"/>
    <w:rsid w:val="00563A81"/>
    <w:rsid w:val="00563CE3"/>
    <w:rsid w:val="00564924"/>
    <w:rsid w:val="0056504C"/>
    <w:rsid w:val="00565361"/>
    <w:rsid w:val="00566447"/>
    <w:rsid w:val="005666BD"/>
    <w:rsid w:val="005667C4"/>
    <w:rsid w:val="00566AF6"/>
    <w:rsid w:val="0056708E"/>
    <w:rsid w:val="0056720F"/>
    <w:rsid w:val="00567854"/>
    <w:rsid w:val="005701B6"/>
    <w:rsid w:val="005715DD"/>
    <w:rsid w:val="00571A47"/>
    <w:rsid w:val="00572315"/>
    <w:rsid w:val="00572A93"/>
    <w:rsid w:val="00573326"/>
    <w:rsid w:val="005739A7"/>
    <w:rsid w:val="00573CEB"/>
    <w:rsid w:val="00574222"/>
    <w:rsid w:val="00575C73"/>
    <w:rsid w:val="0057689B"/>
    <w:rsid w:val="00577546"/>
    <w:rsid w:val="005777EE"/>
    <w:rsid w:val="005801F7"/>
    <w:rsid w:val="005804D5"/>
    <w:rsid w:val="00580C25"/>
    <w:rsid w:val="00581589"/>
    <w:rsid w:val="005823CC"/>
    <w:rsid w:val="00582FC7"/>
    <w:rsid w:val="00583437"/>
    <w:rsid w:val="00583685"/>
    <w:rsid w:val="0058371F"/>
    <w:rsid w:val="0058386B"/>
    <w:rsid w:val="00583EEC"/>
    <w:rsid w:val="0058433F"/>
    <w:rsid w:val="0058452C"/>
    <w:rsid w:val="00585B32"/>
    <w:rsid w:val="00585B4B"/>
    <w:rsid w:val="005862F8"/>
    <w:rsid w:val="00586750"/>
    <w:rsid w:val="005876F4"/>
    <w:rsid w:val="005878E0"/>
    <w:rsid w:val="00587BCC"/>
    <w:rsid w:val="005908EE"/>
    <w:rsid w:val="00590D0D"/>
    <w:rsid w:val="00590F7E"/>
    <w:rsid w:val="00591241"/>
    <w:rsid w:val="00591B4E"/>
    <w:rsid w:val="005934D1"/>
    <w:rsid w:val="0059437B"/>
    <w:rsid w:val="00594960"/>
    <w:rsid w:val="0059500E"/>
    <w:rsid w:val="005953EA"/>
    <w:rsid w:val="00595817"/>
    <w:rsid w:val="00595B5E"/>
    <w:rsid w:val="005A1CB5"/>
    <w:rsid w:val="005A30F2"/>
    <w:rsid w:val="005A34C1"/>
    <w:rsid w:val="005A41B9"/>
    <w:rsid w:val="005A4C4B"/>
    <w:rsid w:val="005A57B4"/>
    <w:rsid w:val="005A6315"/>
    <w:rsid w:val="005A64E6"/>
    <w:rsid w:val="005A6837"/>
    <w:rsid w:val="005A6C15"/>
    <w:rsid w:val="005B11D5"/>
    <w:rsid w:val="005B1859"/>
    <w:rsid w:val="005B1B85"/>
    <w:rsid w:val="005B1DA9"/>
    <w:rsid w:val="005B1F29"/>
    <w:rsid w:val="005B3CF8"/>
    <w:rsid w:val="005B3EF1"/>
    <w:rsid w:val="005B46F6"/>
    <w:rsid w:val="005B4E25"/>
    <w:rsid w:val="005B705E"/>
    <w:rsid w:val="005B7C41"/>
    <w:rsid w:val="005B7D6B"/>
    <w:rsid w:val="005C2896"/>
    <w:rsid w:val="005C315A"/>
    <w:rsid w:val="005C336F"/>
    <w:rsid w:val="005C38BC"/>
    <w:rsid w:val="005C510C"/>
    <w:rsid w:val="005C5E76"/>
    <w:rsid w:val="005C6782"/>
    <w:rsid w:val="005C6F69"/>
    <w:rsid w:val="005C730F"/>
    <w:rsid w:val="005D014C"/>
    <w:rsid w:val="005D0FDC"/>
    <w:rsid w:val="005D2AB9"/>
    <w:rsid w:val="005D2CCF"/>
    <w:rsid w:val="005D2F6C"/>
    <w:rsid w:val="005D2FDA"/>
    <w:rsid w:val="005D4357"/>
    <w:rsid w:val="005D5296"/>
    <w:rsid w:val="005D6295"/>
    <w:rsid w:val="005D656D"/>
    <w:rsid w:val="005D6660"/>
    <w:rsid w:val="005D682D"/>
    <w:rsid w:val="005E09A5"/>
    <w:rsid w:val="005E0C5A"/>
    <w:rsid w:val="005E0F40"/>
    <w:rsid w:val="005E17DF"/>
    <w:rsid w:val="005E197B"/>
    <w:rsid w:val="005E1F62"/>
    <w:rsid w:val="005E208C"/>
    <w:rsid w:val="005E2C12"/>
    <w:rsid w:val="005E43F1"/>
    <w:rsid w:val="005E5201"/>
    <w:rsid w:val="005E576E"/>
    <w:rsid w:val="005E5CCA"/>
    <w:rsid w:val="005E656E"/>
    <w:rsid w:val="005E7A7F"/>
    <w:rsid w:val="005F016E"/>
    <w:rsid w:val="005F026E"/>
    <w:rsid w:val="005F081C"/>
    <w:rsid w:val="005F198A"/>
    <w:rsid w:val="005F1DB5"/>
    <w:rsid w:val="005F2070"/>
    <w:rsid w:val="005F2A44"/>
    <w:rsid w:val="005F3CA5"/>
    <w:rsid w:val="005F42D7"/>
    <w:rsid w:val="005F5232"/>
    <w:rsid w:val="005F5A0C"/>
    <w:rsid w:val="005F5E2E"/>
    <w:rsid w:val="005F626D"/>
    <w:rsid w:val="005F6D55"/>
    <w:rsid w:val="005F7006"/>
    <w:rsid w:val="005F773F"/>
    <w:rsid w:val="005F7EA5"/>
    <w:rsid w:val="00600AF8"/>
    <w:rsid w:val="00600D5F"/>
    <w:rsid w:val="00601115"/>
    <w:rsid w:val="00601196"/>
    <w:rsid w:val="0060141B"/>
    <w:rsid w:val="00602320"/>
    <w:rsid w:val="006023D1"/>
    <w:rsid w:val="006035AB"/>
    <w:rsid w:val="00603E74"/>
    <w:rsid w:val="006041E5"/>
    <w:rsid w:val="00604DF9"/>
    <w:rsid w:val="0060502C"/>
    <w:rsid w:val="006052E0"/>
    <w:rsid w:val="0060645C"/>
    <w:rsid w:val="00606BB8"/>
    <w:rsid w:val="006072DB"/>
    <w:rsid w:val="006079B3"/>
    <w:rsid w:val="00610675"/>
    <w:rsid w:val="006107A7"/>
    <w:rsid w:val="00610BCE"/>
    <w:rsid w:val="0061103C"/>
    <w:rsid w:val="00611402"/>
    <w:rsid w:val="00611576"/>
    <w:rsid w:val="0061157C"/>
    <w:rsid w:val="006115F0"/>
    <w:rsid w:val="00611B64"/>
    <w:rsid w:val="006126A7"/>
    <w:rsid w:val="006126ED"/>
    <w:rsid w:val="006130FC"/>
    <w:rsid w:val="00613499"/>
    <w:rsid w:val="00613EF2"/>
    <w:rsid w:val="00614228"/>
    <w:rsid w:val="0061463E"/>
    <w:rsid w:val="006150DD"/>
    <w:rsid w:val="00615936"/>
    <w:rsid w:val="00615CE0"/>
    <w:rsid w:val="00616558"/>
    <w:rsid w:val="00616BD8"/>
    <w:rsid w:val="006173A5"/>
    <w:rsid w:val="00620A17"/>
    <w:rsid w:val="00621064"/>
    <w:rsid w:val="0062131E"/>
    <w:rsid w:val="00621DD0"/>
    <w:rsid w:val="00621F9D"/>
    <w:rsid w:val="00624616"/>
    <w:rsid w:val="0062549B"/>
    <w:rsid w:val="00625543"/>
    <w:rsid w:val="00625ABC"/>
    <w:rsid w:val="00626462"/>
    <w:rsid w:val="006270A9"/>
    <w:rsid w:val="00627A2C"/>
    <w:rsid w:val="00630535"/>
    <w:rsid w:val="0063063A"/>
    <w:rsid w:val="006306B7"/>
    <w:rsid w:val="006328A4"/>
    <w:rsid w:val="006333DF"/>
    <w:rsid w:val="00634F83"/>
    <w:rsid w:val="00634FFC"/>
    <w:rsid w:val="0063700A"/>
    <w:rsid w:val="006376CC"/>
    <w:rsid w:val="00640064"/>
    <w:rsid w:val="00640AF4"/>
    <w:rsid w:val="00641352"/>
    <w:rsid w:val="0064192C"/>
    <w:rsid w:val="006419A5"/>
    <w:rsid w:val="00641D79"/>
    <w:rsid w:val="00642904"/>
    <w:rsid w:val="0064304E"/>
    <w:rsid w:val="0064413A"/>
    <w:rsid w:val="0064490E"/>
    <w:rsid w:val="00644C4E"/>
    <w:rsid w:val="006453B1"/>
    <w:rsid w:val="006455DC"/>
    <w:rsid w:val="006459F7"/>
    <w:rsid w:val="006464A7"/>
    <w:rsid w:val="006467B8"/>
    <w:rsid w:val="00650D94"/>
    <w:rsid w:val="0065125D"/>
    <w:rsid w:val="006513FD"/>
    <w:rsid w:val="0065144E"/>
    <w:rsid w:val="00651A58"/>
    <w:rsid w:val="00651F0A"/>
    <w:rsid w:val="00652148"/>
    <w:rsid w:val="006525A2"/>
    <w:rsid w:val="00652DF5"/>
    <w:rsid w:val="006531F2"/>
    <w:rsid w:val="006532D8"/>
    <w:rsid w:val="0065374C"/>
    <w:rsid w:val="00654F8E"/>
    <w:rsid w:val="00654FBD"/>
    <w:rsid w:val="006550A4"/>
    <w:rsid w:val="0065545A"/>
    <w:rsid w:val="0065579F"/>
    <w:rsid w:val="00656232"/>
    <w:rsid w:val="00656689"/>
    <w:rsid w:val="00656E1F"/>
    <w:rsid w:val="0065752D"/>
    <w:rsid w:val="00657614"/>
    <w:rsid w:val="006601C4"/>
    <w:rsid w:val="0066047B"/>
    <w:rsid w:val="00660CC1"/>
    <w:rsid w:val="0066102D"/>
    <w:rsid w:val="006615A5"/>
    <w:rsid w:val="00661CE6"/>
    <w:rsid w:val="00661D01"/>
    <w:rsid w:val="00661EC4"/>
    <w:rsid w:val="006622F7"/>
    <w:rsid w:val="006624E3"/>
    <w:rsid w:val="00662A1B"/>
    <w:rsid w:val="00663F86"/>
    <w:rsid w:val="00664452"/>
    <w:rsid w:val="006644EB"/>
    <w:rsid w:val="00664B0A"/>
    <w:rsid w:val="00664F91"/>
    <w:rsid w:val="00665042"/>
    <w:rsid w:val="0066583C"/>
    <w:rsid w:val="0066653B"/>
    <w:rsid w:val="00666C3E"/>
    <w:rsid w:val="00667852"/>
    <w:rsid w:val="006706FD"/>
    <w:rsid w:val="006708F7"/>
    <w:rsid w:val="0067272B"/>
    <w:rsid w:val="006727E1"/>
    <w:rsid w:val="00672A57"/>
    <w:rsid w:val="00673CF2"/>
    <w:rsid w:val="006741D7"/>
    <w:rsid w:val="00675928"/>
    <w:rsid w:val="006763F2"/>
    <w:rsid w:val="00677EDC"/>
    <w:rsid w:val="006803CA"/>
    <w:rsid w:val="00680973"/>
    <w:rsid w:val="00681B67"/>
    <w:rsid w:val="00683108"/>
    <w:rsid w:val="0068352A"/>
    <w:rsid w:val="00683DE6"/>
    <w:rsid w:val="006842C7"/>
    <w:rsid w:val="00685941"/>
    <w:rsid w:val="006871DC"/>
    <w:rsid w:val="00687D89"/>
    <w:rsid w:val="006903B6"/>
    <w:rsid w:val="00690D20"/>
    <w:rsid w:val="006914DC"/>
    <w:rsid w:val="006915E5"/>
    <w:rsid w:val="00691CF4"/>
    <w:rsid w:val="006921D1"/>
    <w:rsid w:val="006925A4"/>
    <w:rsid w:val="00692653"/>
    <w:rsid w:val="006939E7"/>
    <w:rsid w:val="006947D5"/>
    <w:rsid w:val="00694B4D"/>
    <w:rsid w:val="00695510"/>
    <w:rsid w:val="00695B57"/>
    <w:rsid w:val="00697752"/>
    <w:rsid w:val="00697932"/>
    <w:rsid w:val="006A004C"/>
    <w:rsid w:val="006A0F41"/>
    <w:rsid w:val="006A1010"/>
    <w:rsid w:val="006A141D"/>
    <w:rsid w:val="006A18A1"/>
    <w:rsid w:val="006A19DB"/>
    <w:rsid w:val="006A1A48"/>
    <w:rsid w:val="006A3005"/>
    <w:rsid w:val="006A331A"/>
    <w:rsid w:val="006A40CF"/>
    <w:rsid w:val="006A5172"/>
    <w:rsid w:val="006A617B"/>
    <w:rsid w:val="006A6905"/>
    <w:rsid w:val="006A7A7D"/>
    <w:rsid w:val="006A7D22"/>
    <w:rsid w:val="006A7DF0"/>
    <w:rsid w:val="006B0069"/>
    <w:rsid w:val="006B0493"/>
    <w:rsid w:val="006B1BAF"/>
    <w:rsid w:val="006B2615"/>
    <w:rsid w:val="006B3B3F"/>
    <w:rsid w:val="006B5AE1"/>
    <w:rsid w:val="006B5C75"/>
    <w:rsid w:val="006B6417"/>
    <w:rsid w:val="006B6B6E"/>
    <w:rsid w:val="006B71B7"/>
    <w:rsid w:val="006B7819"/>
    <w:rsid w:val="006C0BF0"/>
    <w:rsid w:val="006C13A7"/>
    <w:rsid w:val="006C15DD"/>
    <w:rsid w:val="006C1820"/>
    <w:rsid w:val="006C2BDC"/>
    <w:rsid w:val="006C3242"/>
    <w:rsid w:val="006C377D"/>
    <w:rsid w:val="006C3976"/>
    <w:rsid w:val="006C399F"/>
    <w:rsid w:val="006C3A18"/>
    <w:rsid w:val="006C3CC5"/>
    <w:rsid w:val="006C404D"/>
    <w:rsid w:val="006C52CE"/>
    <w:rsid w:val="006C54F6"/>
    <w:rsid w:val="006C550C"/>
    <w:rsid w:val="006C6245"/>
    <w:rsid w:val="006C64B0"/>
    <w:rsid w:val="006C6716"/>
    <w:rsid w:val="006C7E55"/>
    <w:rsid w:val="006D06E7"/>
    <w:rsid w:val="006D084A"/>
    <w:rsid w:val="006D0D90"/>
    <w:rsid w:val="006D0FDE"/>
    <w:rsid w:val="006D10E4"/>
    <w:rsid w:val="006D1802"/>
    <w:rsid w:val="006D19A7"/>
    <w:rsid w:val="006D1A0F"/>
    <w:rsid w:val="006D2086"/>
    <w:rsid w:val="006D26C7"/>
    <w:rsid w:val="006D2EB4"/>
    <w:rsid w:val="006D329B"/>
    <w:rsid w:val="006D3B57"/>
    <w:rsid w:val="006D47B7"/>
    <w:rsid w:val="006D5794"/>
    <w:rsid w:val="006D5A60"/>
    <w:rsid w:val="006D6B3D"/>
    <w:rsid w:val="006D6BE1"/>
    <w:rsid w:val="006D6FE2"/>
    <w:rsid w:val="006D748F"/>
    <w:rsid w:val="006D790A"/>
    <w:rsid w:val="006D7CDC"/>
    <w:rsid w:val="006E0C5B"/>
    <w:rsid w:val="006E2FB5"/>
    <w:rsid w:val="006E5852"/>
    <w:rsid w:val="006E61C2"/>
    <w:rsid w:val="006F08CE"/>
    <w:rsid w:val="006F09BB"/>
    <w:rsid w:val="006F0B43"/>
    <w:rsid w:val="006F0E54"/>
    <w:rsid w:val="006F1247"/>
    <w:rsid w:val="006F349F"/>
    <w:rsid w:val="006F3C33"/>
    <w:rsid w:val="006F47F1"/>
    <w:rsid w:val="006F48B1"/>
    <w:rsid w:val="006F4F60"/>
    <w:rsid w:val="006F59D5"/>
    <w:rsid w:val="006F6188"/>
    <w:rsid w:val="006F62D0"/>
    <w:rsid w:val="006F6DF2"/>
    <w:rsid w:val="006F70DC"/>
    <w:rsid w:val="006F7473"/>
    <w:rsid w:val="0070106A"/>
    <w:rsid w:val="0070176C"/>
    <w:rsid w:val="0070231E"/>
    <w:rsid w:val="00703213"/>
    <w:rsid w:val="00703B44"/>
    <w:rsid w:val="00704550"/>
    <w:rsid w:val="0070570D"/>
    <w:rsid w:val="0070586C"/>
    <w:rsid w:val="007064E4"/>
    <w:rsid w:val="00706D75"/>
    <w:rsid w:val="007071EA"/>
    <w:rsid w:val="007072C9"/>
    <w:rsid w:val="00707C2F"/>
    <w:rsid w:val="00710343"/>
    <w:rsid w:val="0071052C"/>
    <w:rsid w:val="00710BD4"/>
    <w:rsid w:val="00710CCD"/>
    <w:rsid w:val="00710D78"/>
    <w:rsid w:val="00710DCD"/>
    <w:rsid w:val="00710F06"/>
    <w:rsid w:val="00710F79"/>
    <w:rsid w:val="007113C8"/>
    <w:rsid w:val="007116AC"/>
    <w:rsid w:val="00712B67"/>
    <w:rsid w:val="007139BE"/>
    <w:rsid w:val="0071452B"/>
    <w:rsid w:val="007145CC"/>
    <w:rsid w:val="00714CF1"/>
    <w:rsid w:val="00716589"/>
    <w:rsid w:val="00716905"/>
    <w:rsid w:val="00717941"/>
    <w:rsid w:val="00720515"/>
    <w:rsid w:val="0072076C"/>
    <w:rsid w:val="0072076D"/>
    <w:rsid w:val="00721013"/>
    <w:rsid w:val="007215E1"/>
    <w:rsid w:val="007259D0"/>
    <w:rsid w:val="00727803"/>
    <w:rsid w:val="007301A0"/>
    <w:rsid w:val="007301AD"/>
    <w:rsid w:val="00730AE0"/>
    <w:rsid w:val="00731646"/>
    <w:rsid w:val="00731A56"/>
    <w:rsid w:val="00731BEA"/>
    <w:rsid w:val="007322A1"/>
    <w:rsid w:val="007328F7"/>
    <w:rsid w:val="00732FEE"/>
    <w:rsid w:val="00733223"/>
    <w:rsid w:val="00733C57"/>
    <w:rsid w:val="0073409D"/>
    <w:rsid w:val="0073463C"/>
    <w:rsid w:val="007352A1"/>
    <w:rsid w:val="007357B5"/>
    <w:rsid w:val="00735F85"/>
    <w:rsid w:val="0073637A"/>
    <w:rsid w:val="007371BC"/>
    <w:rsid w:val="0073723E"/>
    <w:rsid w:val="00737EF8"/>
    <w:rsid w:val="0074011F"/>
    <w:rsid w:val="00740499"/>
    <w:rsid w:val="00740710"/>
    <w:rsid w:val="007414AA"/>
    <w:rsid w:val="0074179F"/>
    <w:rsid w:val="00742157"/>
    <w:rsid w:val="0074300F"/>
    <w:rsid w:val="00743347"/>
    <w:rsid w:val="00743F80"/>
    <w:rsid w:val="00744770"/>
    <w:rsid w:val="007450BE"/>
    <w:rsid w:val="00745785"/>
    <w:rsid w:val="007458EC"/>
    <w:rsid w:val="00746AD3"/>
    <w:rsid w:val="007474AC"/>
    <w:rsid w:val="00747763"/>
    <w:rsid w:val="00750015"/>
    <w:rsid w:val="0075224A"/>
    <w:rsid w:val="00752C97"/>
    <w:rsid w:val="007534CC"/>
    <w:rsid w:val="00753CA9"/>
    <w:rsid w:val="00754051"/>
    <w:rsid w:val="007546C0"/>
    <w:rsid w:val="00755519"/>
    <w:rsid w:val="007557F2"/>
    <w:rsid w:val="007559DF"/>
    <w:rsid w:val="007565E6"/>
    <w:rsid w:val="00757273"/>
    <w:rsid w:val="007575AA"/>
    <w:rsid w:val="00757862"/>
    <w:rsid w:val="00760482"/>
    <w:rsid w:val="00760D70"/>
    <w:rsid w:val="00761458"/>
    <w:rsid w:val="007615EB"/>
    <w:rsid w:val="00761812"/>
    <w:rsid w:val="0076271B"/>
    <w:rsid w:val="00762AA5"/>
    <w:rsid w:val="0076329E"/>
    <w:rsid w:val="00763323"/>
    <w:rsid w:val="0076406A"/>
    <w:rsid w:val="00764E43"/>
    <w:rsid w:val="00764E5A"/>
    <w:rsid w:val="00765F6A"/>
    <w:rsid w:val="00766426"/>
    <w:rsid w:val="007668E9"/>
    <w:rsid w:val="00766990"/>
    <w:rsid w:val="00766F81"/>
    <w:rsid w:val="0076743B"/>
    <w:rsid w:val="007677E3"/>
    <w:rsid w:val="00767A29"/>
    <w:rsid w:val="00767A93"/>
    <w:rsid w:val="00767EA3"/>
    <w:rsid w:val="0077099D"/>
    <w:rsid w:val="00770A9D"/>
    <w:rsid w:val="0077147D"/>
    <w:rsid w:val="007714CF"/>
    <w:rsid w:val="00771866"/>
    <w:rsid w:val="00771BBC"/>
    <w:rsid w:val="00771F1F"/>
    <w:rsid w:val="007722EB"/>
    <w:rsid w:val="00772602"/>
    <w:rsid w:val="007727F2"/>
    <w:rsid w:val="00772A9B"/>
    <w:rsid w:val="00773547"/>
    <w:rsid w:val="007738ED"/>
    <w:rsid w:val="00773CC0"/>
    <w:rsid w:val="00773CE7"/>
    <w:rsid w:val="007758ED"/>
    <w:rsid w:val="00775AE3"/>
    <w:rsid w:val="00775BF1"/>
    <w:rsid w:val="007761B8"/>
    <w:rsid w:val="007761C6"/>
    <w:rsid w:val="00777026"/>
    <w:rsid w:val="00777551"/>
    <w:rsid w:val="007803DB"/>
    <w:rsid w:val="00781A4B"/>
    <w:rsid w:val="00781F7A"/>
    <w:rsid w:val="00782736"/>
    <w:rsid w:val="007836B7"/>
    <w:rsid w:val="00784D40"/>
    <w:rsid w:val="00786F1C"/>
    <w:rsid w:val="00787954"/>
    <w:rsid w:val="007900B0"/>
    <w:rsid w:val="0079059F"/>
    <w:rsid w:val="00790A7A"/>
    <w:rsid w:val="007915ED"/>
    <w:rsid w:val="00792780"/>
    <w:rsid w:val="007937F3"/>
    <w:rsid w:val="00796973"/>
    <w:rsid w:val="0079751A"/>
    <w:rsid w:val="007977B4"/>
    <w:rsid w:val="007A16B7"/>
    <w:rsid w:val="007A2400"/>
    <w:rsid w:val="007A26A9"/>
    <w:rsid w:val="007A29E5"/>
    <w:rsid w:val="007A2B26"/>
    <w:rsid w:val="007A2D07"/>
    <w:rsid w:val="007A358A"/>
    <w:rsid w:val="007A3949"/>
    <w:rsid w:val="007A4292"/>
    <w:rsid w:val="007A4AB9"/>
    <w:rsid w:val="007A4DFF"/>
    <w:rsid w:val="007A5379"/>
    <w:rsid w:val="007A5970"/>
    <w:rsid w:val="007A6149"/>
    <w:rsid w:val="007A6D49"/>
    <w:rsid w:val="007A6E2D"/>
    <w:rsid w:val="007A7DD5"/>
    <w:rsid w:val="007B04AF"/>
    <w:rsid w:val="007B0B10"/>
    <w:rsid w:val="007B161E"/>
    <w:rsid w:val="007B1D1B"/>
    <w:rsid w:val="007B216C"/>
    <w:rsid w:val="007B260B"/>
    <w:rsid w:val="007B2B41"/>
    <w:rsid w:val="007B34DE"/>
    <w:rsid w:val="007B34F9"/>
    <w:rsid w:val="007B4820"/>
    <w:rsid w:val="007B48DD"/>
    <w:rsid w:val="007B5CDA"/>
    <w:rsid w:val="007B6EF6"/>
    <w:rsid w:val="007B74BC"/>
    <w:rsid w:val="007B7905"/>
    <w:rsid w:val="007B7DD6"/>
    <w:rsid w:val="007C0FC8"/>
    <w:rsid w:val="007C1037"/>
    <w:rsid w:val="007C1BCF"/>
    <w:rsid w:val="007C30D3"/>
    <w:rsid w:val="007C40ED"/>
    <w:rsid w:val="007C42FF"/>
    <w:rsid w:val="007C46A1"/>
    <w:rsid w:val="007C46E9"/>
    <w:rsid w:val="007C6031"/>
    <w:rsid w:val="007C61FC"/>
    <w:rsid w:val="007C6553"/>
    <w:rsid w:val="007C6BF1"/>
    <w:rsid w:val="007C6C29"/>
    <w:rsid w:val="007C7DBC"/>
    <w:rsid w:val="007C7E81"/>
    <w:rsid w:val="007D0741"/>
    <w:rsid w:val="007D1824"/>
    <w:rsid w:val="007D252D"/>
    <w:rsid w:val="007D2850"/>
    <w:rsid w:val="007D2D6C"/>
    <w:rsid w:val="007D3727"/>
    <w:rsid w:val="007D3BD1"/>
    <w:rsid w:val="007D3E03"/>
    <w:rsid w:val="007D3E05"/>
    <w:rsid w:val="007D4EAA"/>
    <w:rsid w:val="007D5255"/>
    <w:rsid w:val="007D592D"/>
    <w:rsid w:val="007D59BE"/>
    <w:rsid w:val="007D5A11"/>
    <w:rsid w:val="007D5DD0"/>
    <w:rsid w:val="007D63E8"/>
    <w:rsid w:val="007D75DB"/>
    <w:rsid w:val="007D77E5"/>
    <w:rsid w:val="007E069A"/>
    <w:rsid w:val="007E157A"/>
    <w:rsid w:val="007E164E"/>
    <w:rsid w:val="007E1807"/>
    <w:rsid w:val="007E2013"/>
    <w:rsid w:val="007E235F"/>
    <w:rsid w:val="007E41E7"/>
    <w:rsid w:val="007E4B98"/>
    <w:rsid w:val="007E5008"/>
    <w:rsid w:val="007E64E9"/>
    <w:rsid w:val="007E6CFA"/>
    <w:rsid w:val="007F090C"/>
    <w:rsid w:val="007F0D21"/>
    <w:rsid w:val="007F18DF"/>
    <w:rsid w:val="007F1E71"/>
    <w:rsid w:val="007F26D3"/>
    <w:rsid w:val="007F28F0"/>
    <w:rsid w:val="007F30F9"/>
    <w:rsid w:val="007F392E"/>
    <w:rsid w:val="007F3DD0"/>
    <w:rsid w:val="007F3F4A"/>
    <w:rsid w:val="007F4405"/>
    <w:rsid w:val="007F4C74"/>
    <w:rsid w:val="007F4E59"/>
    <w:rsid w:val="007F575E"/>
    <w:rsid w:val="007F6011"/>
    <w:rsid w:val="007F68B7"/>
    <w:rsid w:val="007F6C35"/>
    <w:rsid w:val="007F6FF1"/>
    <w:rsid w:val="00800029"/>
    <w:rsid w:val="008015AB"/>
    <w:rsid w:val="00801EE8"/>
    <w:rsid w:val="008031CF"/>
    <w:rsid w:val="00803FFB"/>
    <w:rsid w:val="00804564"/>
    <w:rsid w:val="008051C1"/>
    <w:rsid w:val="00805235"/>
    <w:rsid w:val="00805534"/>
    <w:rsid w:val="00806E5C"/>
    <w:rsid w:val="00806EBD"/>
    <w:rsid w:val="008076E9"/>
    <w:rsid w:val="0080799D"/>
    <w:rsid w:val="00807CA2"/>
    <w:rsid w:val="00810C7F"/>
    <w:rsid w:val="00810D41"/>
    <w:rsid w:val="008113DD"/>
    <w:rsid w:val="00811A98"/>
    <w:rsid w:val="00811B96"/>
    <w:rsid w:val="00811D6D"/>
    <w:rsid w:val="008124BE"/>
    <w:rsid w:val="008125A6"/>
    <w:rsid w:val="008128FF"/>
    <w:rsid w:val="00813478"/>
    <w:rsid w:val="008137FA"/>
    <w:rsid w:val="00813DAD"/>
    <w:rsid w:val="00813F12"/>
    <w:rsid w:val="008154AB"/>
    <w:rsid w:val="00816357"/>
    <w:rsid w:val="008166F6"/>
    <w:rsid w:val="00817016"/>
    <w:rsid w:val="008178A7"/>
    <w:rsid w:val="00817921"/>
    <w:rsid w:val="00817979"/>
    <w:rsid w:val="00820166"/>
    <w:rsid w:val="00820F85"/>
    <w:rsid w:val="008213AA"/>
    <w:rsid w:val="0082262C"/>
    <w:rsid w:val="00822E20"/>
    <w:rsid w:val="0082308B"/>
    <w:rsid w:val="00823A75"/>
    <w:rsid w:val="008244B2"/>
    <w:rsid w:val="00824565"/>
    <w:rsid w:val="00824993"/>
    <w:rsid w:val="00825B6E"/>
    <w:rsid w:val="00825D8A"/>
    <w:rsid w:val="008278C8"/>
    <w:rsid w:val="00827909"/>
    <w:rsid w:val="00831167"/>
    <w:rsid w:val="008314D7"/>
    <w:rsid w:val="00831714"/>
    <w:rsid w:val="008324F0"/>
    <w:rsid w:val="00832EFF"/>
    <w:rsid w:val="00833443"/>
    <w:rsid w:val="0083369E"/>
    <w:rsid w:val="00834F36"/>
    <w:rsid w:val="00835040"/>
    <w:rsid w:val="008350A3"/>
    <w:rsid w:val="00836027"/>
    <w:rsid w:val="00836153"/>
    <w:rsid w:val="0083680F"/>
    <w:rsid w:val="00836DC5"/>
    <w:rsid w:val="008412B1"/>
    <w:rsid w:val="0084187B"/>
    <w:rsid w:val="00841BC7"/>
    <w:rsid w:val="00843125"/>
    <w:rsid w:val="008438B1"/>
    <w:rsid w:val="00843B77"/>
    <w:rsid w:val="00843E8A"/>
    <w:rsid w:val="00843F85"/>
    <w:rsid w:val="00844A96"/>
    <w:rsid w:val="00845042"/>
    <w:rsid w:val="00845C0C"/>
    <w:rsid w:val="00846383"/>
    <w:rsid w:val="00847347"/>
    <w:rsid w:val="00847FCE"/>
    <w:rsid w:val="00850851"/>
    <w:rsid w:val="00851BE8"/>
    <w:rsid w:val="00852D85"/>
    <w:rsid w:val="00853759"/>
    <w:rsid w:val="008539FA"/>
    <w:rsid w:val="00853BF9"/>
    <w:rsid w:val="00853C99"/>
    <w:rsid w:val="00853D82"/>
    <w:rsid w:val="00854379"/>
    <w:rsid w:val="00856367"/>
    <w:rsid w:val="00857FA5"/>
    <w:rsid w:val="008613D7"/>
    <w:rsid w:val="00861A40"/>
    <w:rsid w:val="00861D5B"/>
    <w:rsid w:val="008630CC"/>
    <w:rsid w:val="00863B7E"/>
    <w:rsid w:val="008644E0"/>
    <w:rsid w:val="008649DF"/>
    <w:rsid w:val="0086524E"/>
    <w:rsid w:val="008655CF"/>
    <w:rsid w:val="00865B13"/>
    <w:rsid w:val="00865BD9"/>
    <w:rsid w:val="00865DBB"/>
    <w:rsid w:val="00866379"/>
    <w:rsid w:val="0086643E"/>
    <w:rsid w:val="00866469"/>
    <w:rsid w:val="00866F0F"/>
    <w:rsid w:val="0086743A"/>
    <w:rsid w:val="00867609"/>
    <w:rsid w:val="00870659"/>
    <w:rsid w:val="008715F2"/>
    <w:rsid w:val="00872543"/>
    <w:rsid w:val="00872C0E"/>
    <w:rsid w:val="00872DA1"/>
    <w:rsid w:val="0087311D"/>
    <w:rsid w:val="00873AAF"/>
    <w:rsid w:val="00873E12"/>
    <w:rsid w:val="00873E7F"/>
    <w:rsid w:val="008740A7"/>
    <w:rsid w:val="008744EC"/>
    <w:rsid w:val="008747DF"/>
    <w:rsid w:val="00875DA9"/>
    <w:rsid w:val="00876355"/>
    <w:rsid w:val="0088261F"/>
    <w:rsid w:val="00882DF6"/>
    <w:rsid w:val="00884B54"/>
    <w:rsid w:val="00885250"/>
    <w:rsid w:val="00885985"/>
    <w:rsid w:val="008862E7"/>
    <w:rsid w:val="0088766D"/>
    <w:rsid w:val="008878C8"/>
    <w:rsid w:val="008902FF"/>
    <w:rsid w:val="00890A9C"/>
    <w:rsid w:val="00891999"/>
    <w:rsid w:val="008933FA"/>
    <w:rsid w:val="00894D8E"/>
    <w:rsid w:val="008A0434"/>
    <w:rsid w:val="008A0FC1"/>
    <w:rsid w:val="008A1546"/>
    <w:rsid w:val="008A184E"/>
    <w:rsid w:val="008A3258"/>
    <w:rsid w:val="008A34E0"/>
    <w:rsid w:val="008A35CD"/>
    <w:rsid w:val="008A3691"/>
    <w:rsid w:val="008A3863"/>
    <w:rsid w:val="008A6A16"/>
    <w:rsid w:val="008A6C99"/>
    <w:rsid w:val="008A7388"/>
    <w:rsid w:val="008A77F9"/>
    <w:rsid w:val="008B30F6"/>
    <w:rsid w:val="008B376A"/>
    <w:rsid w:val="008B4B1E"/>
    <w:rsid w:val="008B5686"/>
    <w:rsid w:val="008B5820"/>
    <w:rsid w:val="008B5A45"/>
    <w:rsid w:val="008B5CA4"/>
    <w:rsid w:val="008B61CF"/>
    <w:rsid w:val="008B6381"/>
    <w:rsid w:val="008B7D33"/>
    <w:rsid w:val="008B7D70"/>
    <w:rsid w:val="008B7E8B"/>
    <w:rsid w:val="008C019A"/>
    <w:rsid w:val="008C0821"/>
    <w:rsid w:val="008C0D47"/>
    <w:rsid w:val="008C0F5C"/>
    <w:rsid w:val="008C13D1"/>
    <w:rsid w:val="008C14AF"/>
    <w:rsid w:val="008C1E10"/>
    <w:rsid w:val="008C244F"/>
    <w:rsid w:val="008C24FB"/>
    <w:rsid w:val="008C2D88"/>
    <w:rsid w:val="008C32DF"/>
    <w:rsid w:val="008C32E6"/>
    <w:rsid w:val="008C3469"/>
    <w:rsid w:val="008C3555"/>
    <w:rsid w:val="008C39C6"/>
    <w:rsid w:val="008C5482"/>
    <w:rsid w:val="008C57C6"/>
    <w:rsid w:val="008D068A"/>
    <w:rsid w:val="008D071D"/>
    <w:rsid w:val="008D28B1"/>
    <w:rsid w:val="008D2A1F"/>
    <w:rsid w:val="008D334B"/>
    <w:rsid w:val="008D3438"/>
    <w:rsid w:val="008D3A8C"/>
    <w:rsid w:val="008D4F17"/>
    <w:rsid w:val="008D5D52"/>
    <w:rsid w:val="008D5D92"/>
    <w:rsid w:val="008E09C3"/>
    <w:rsid w:val="008E2CE0"/>
    <w:rsid w:val="008E2F6E"/>
    <w:rsid w:val="008E3269"/>
    <w:rsid w:val="008E3BD3"/>
    <w:rsid w:val="008E5CEA"/>
    <w:rsid w:val="008E6F39"/>
    <w:rsid w:val="008E7620"/>
    <w:rsid w:val="008E7B9B"/>
    <w:rsid w:val="008F0183"/>
    <w:rsid w:val="008F06CB"/>
    <w:rsid w:val="008F0FBE"/>
    <w:rsid w:val="008F1073"/>
    <w:rsid w:val="008F1D90"/>
    <w:rsid w:val="008F266C"/>
    <w:rsid w:val="008F2782"/>
    <w:rsid w:val="008F299B"/>
    <w:rsid w:val="008F2CEB"/>
    <w:rsid w:val="008F3F6E"/>
    <w:rsid w:val="008F4DF4"/>
    <w:rsid w:val="008F4F1C"/>
    <w:rsid w:val="008F5B47"/>
    <w:rsid w:val="008F65C4"/>
    <w:rsid w:val="008F67C6"/>
    <w:rsid w:val="008F6ABC"/>
    <w:rsid w:val="008F7374"/>
    <w:rsid w:val="00900D2E"/>
    <w:rsid w:val="00901BF4"/>
    <w:rsid w:val="00902362"/>
    <w:rsid w:val="00904CBA"/>
    <w:rsid w:val="00904EA9"/>
    <w:rsid w:val="00905EE9"/>
    <w:rsid w:val="00906170"/>
    <w:rsid w:val="00906DC8"/>
    <w:rsid w:val="0090709D"/>
    <w:rsid w:val="009076F4"/>
    <w:rsid w:val="009079C2"/>
    <w:rsid w:val="00910A84"/>
    <w:rsid w:val="0091114B"/>
    <w:rsid w:val="0091151E"/>
    <w:rsid w:val="00911ECB"/>
    <w:rsid w:val="00913AB9"/>
    <w:rsid w:val="009141A7"/>
    <w:rsid w:val="00914248"/>
    <w:rsid w:val="009146F3"/>
    <w:rsid w:val="00915517"/>
    <w:rsid w:val="00916582"/>
    <w:rsid w:val="009173CA"/>
    <w:rsid w:val="009176DB"/>
    <w:rsid w:val="009177DD"/>
    <w:rsid w:val="00917F2E"/>
    <w:rsid w:val="00917F3F"/>
    <w:rsid w:val="00920887"/>
    <w:rsid w:val="00920B67"/>
    <w:rsid w:val="00920C43"/>
    <w:rsid w:val="009216BF"/>
    <w:rsid w:val="00921A82"/>
    <w:rsid w:val="0092319C"/>
    <w:rsid w:val="00923294"/>
    <w:rsid w:val="00923B4F"/>
    <w:rsid w:val="00924225"/>
    <w:rsid w:val="00925109"/>
    <w:rsid w:val="009267F9"/>
    <w:rsid w:val="00927E68"/>
    <w:rsid w:val="00931481"/>
    <w:rsid w:val="0093168C"/>
    <w:rsid w:val="00931D8A"/>
    <w:rsid w:val="0093224C"/>
    <w:rsid w:val="00932263"/>
    <w:rsid w:val="00932437"/>
    <w:rsid w:val="009328EF"/>
    <w:rsid w:val="00932BD9"/>
    <w:rsid w:val="009332DF"/>
    <w:rsid w:val="009333FF"/>
    <w:rsid w:val="00933440"/>
    <w:rsid w:val="00933858"/>
    <w:rsid w:val="0093456A"/>
    <w:rsid w:val="00934D07"/>
    <w:rsid w:val="00935DA9"/>
    <w:rsid w:val="00940050"/>
    <w:rsid w:val="009404F5"/>
    <w:rsid w:val="0094067D"/>
    <w:rsid w:val="00941C2D"/>
    <w:rsid w:val="00941D9E"/>
    <w:rsid w:val="0094299A"/>
    <w:rsid w:val="00942FF5"/>
    <w:rsid w:val="0094387F"/>
    <w:rsid w:val="00943F22"/>
    <w:rsid w:val="00944001"/>
    <w:rsid w:val="009443A6"/>
    <w:rsid w:val="0094610B"/>
    <w:rsid w:val="009467D8"/>
    <w:rsid w:val="00946D70"/>
    <w:rsid w:val="00947665"/>
    <w:rsid w:val="0095126C"/>
    <w:rsid w:val="0095158A"/>
    <w:rsid w:val="00951688"/>
    <w:rsid w:val="00951EBF"/>
    <w:rsid w:val="00952996"/>
    <w:rsid w:val="00952C68"/>
    <w:rsid w:val="00952FB2"/>
    <w:rsid w:val="009561B4"/>
    <w:rsid w:val="00956EE8"/>
    <w:rsid w:val="009579C2"/>
    <w:rsid w:val="00957D01"/>
    <w:rsid w:val="0096300C"/>
    <w:rsid w:val="00963837"/>
    <w:rsid w:val="0096405B"/>
    <w:rsid w:val="0096445E"/>
    <w:rsid w:val="00964B59"/>
    <w:rsid w:val="0096684D"/>
    <w:rsid w:val="009672FC"/>
    <w:rsid w:val="009700F4"/>
    <w:rsid w:val="009701CC"/>
    <w:rsid w:val="0097141F"/>
    <w:rsid w:val="0097161C"/>
    <w:rsid w:val="009719B0"/>
    <w:rsid w:val="009732D0"/>
    <w:rsid w:val="0097364E"/>
    <w:rsid w:val="00974098"/>
    <w:rsid w:val="0097478C"/>
    <w:rsid w:val="009759CD"/>
    <w:rsid w:val="009762A3"/>
    <w:rsid w:val="00977A8A"/>
    <w:rsid w:val="00977DCD"/>
    <w:rsid w:val="00980330"/>
    <w:rsid w:val="00980AA3"/>
    <w:rsid w:val="00980E09"/>
    <w:rsid w:val="00981768"/>
    <w:rsid w:val="00981969"/>
    <w:rsid w:val="009819B2"/>
    <w:rsid w:val="00983C07"/>
    <w:rsid w:val="0098444B"/>
    <w:rsid w:val="00984AD4"/>
    <w:rsid w:val="0098537C"/>
    <w:rsid w:val="00986F87"/>
    <w:rsid w:val="0098725C"/>
    <w:rsid w:val="009875A2"/>
    <w:rsid w:val="00990ADF"/>
    <w:rsid w:val="00991E90"/>
    <w:rsid w:val="00991F68"/>
    <w:rsid w:val="0099303F"/>
    <w:rsid w:val="0099361B"/>
    <w:rsid w:val="00993D42"/>
    <w:rsid w:val="009944E8"/>
    <w:rsid w:val="00994573"/>
    <w:rsid w:val="009953F0"/>
    <w:rsid w:val="00996D00"/>
    <w:rsid w:val="00996EFD"/>
    <w:rsid w:val="00997403"/>
    <w:rsid w:val="00997692"/>
    <w:rsid w:val="00997FF2"/>
    <w:rsid w:val="009A16F1"/>
    <w:rsid w:val="009A206D"/>
    <w:rsid w:val="009A33CB"/>
    <w:rsid w:val="009A3543"/>
    <w:rsid w:val="009A3E33"/>
    <w:rsid w:val="009A594C"/>
    <w:rsid w:val="009A5B75"/>
    <w:rsid w:val="009A5D09"/>
    <w:rsid w:val="009A61DF"/>
    <w:rsid w:val="009A73AB"/>
    <w:rsid w:val="009B05BF"/>
    <w:rsid w:val="009B0672"/>
    <w:rsid w:val="009B0684"/>
    <w:rsid w:val="009B0B03"/>
    <w:rsid w:val="009B24A3"/>
    <w:rsid w:val="009B25B0"/>
    <w:rsid w:val="009B2703"/>
    <w:rsid w:val="009B32E0"/>
    <w:rsid w:val="009B354B"/>
    <w:rsid w:val="009B36B1"/>
    <w:rsid w:val="009B5055"/>
    <w:rsid w:val="009B55F4"/>
    <w:rsid w:val="009B6051"/>
    <w:rsid w:val="009B6C64"/>
    <w:rsid w:val="009B7DF9"/>
    <w:rsid w:val="009C1DE5"/>
    <w:rsid w:val="009C224F"/>
    <w:rsid w:val="009C2CB5"/>
    <w:rsid w:val="009C3138"/>
    <w:rsid w:val="009C32EF"/>
    <w:rsid w:val="009C3B6A"/>
    <w:rsid w:val="009C4A0F"/>
    <w:rsid w:val="009C4C0B"/>
    <w:rsid w:val="009C5764"/>
    <w:rsid w:val="009C65C5"/>
    <w:rsid w:val="009C6B12"/>
    <w:rsid w:val="009C6FB0"/>
    <w:rsid w:val="009C7523"/>
    <w:rsid w:val="009C7605"/>
    <w:rsid w:val="009D0110"/>
    <w:rsid w:val="009D0320"/>
    <w:rsid w:val="009D0556"/>
    <w:rsid w:val="009D0992"/>
    <w:rsid w:val="009D0E69"/>
    <w:rsid w:val="009D142B"/>
    <w:rsid w:val="009D1558"/>
    <w:rsid w:val="009D1729"/>
    <w:rsid w:val="009D1B6F"/>
    <w:rsid w:val="009D26FD"/>
    <w:rsid w:val="009D3097"/>
    <w:rsid w:val="009D3816"/>
    <w:rsid w:val="009D3ACF"/>
    <w:rsid w:val="009D408F"/>
    <w:rsid w:val="009D4DB3"/>
    <w:rsid w:val="009D4FE8"/>
    <w:rsid w:val="009D513A"/>
    <w:rsid w:val="009D58F6"/>
    <w:rsid w:val="009D679A"/>
    <w:rsid w:val="009D69D5"/>
    <w:rsid w:val="009D6A3B"/>
    <w:rsid w:val="009D6C64"/>
    <w:rsid w:val="009D6CAA"/>
    <w:rsid w:val="009D6D19"/>
    <w:rsid w:val="009D7A56"/>
    <w:rsid w:val="009E0035"/>
    <w:rsid w:val="009E0677"/>
    <w:rsid w:val="009E0DEE"/>
    <w:rsid w:val="009E0E60"/>
    <w:rsid w:val="009E11A0"/>
    <w:rsid w:val="009E3A3F"/>
    <w:rsid w:val="009E3D7E"/>
    <w:rsid w:val="009E4475"/>
    <w:rsid w:val="009E4E7E"/>
    <w:rsid w:val="009E5762"/>
    <w:rsid w:val="009E5A4D"/>
    <w:rsid w:val="009E7213"/>
    <w:rsid w:val="009E7483"/>
    <w:rsid w:val="009F05A3"/>
    <w:rsid w:val="009F063D"/>
    <w:rsid w:val="009F07E4"/>
    <w:rsid w:val="009F0B60"/>
    <w:rsid w:val="009F193A"/>
    <w:rsid w:val="009F1DB5"/>
    <w:rsid w:val="009F2873"/>
    <w:rsid w:val="009F3060"/>
    <w:rsid w:val="009F3154"/>
    <w:rsid w:val="009F34E2"/>
    <w:rsid w:val="009F3545"/>
    <w:rsid w:val="009F3A20"/>
    <w:rsid w:val="009F3F9B"/>
    <w:rsid w:val="009F50FF"/>
    <w:rsid w:val="009F5A20"/>
    <w:rsid w:val="009F6375"/>
    <w:rsid w:val="009F6829"/>
    <w:rsid w:val="009F73C9"/>
    <w:rsid w:val="009F7D03"/>
    <w:rsid w:val="00A0188D"/>
    <w:rsid w:val="00A01A4F"/>
    <w:rsid w:val="00A01B8D"/>
    <w:rsid w:val="00A01C03"/>
    <w:rsid w:val="00A01DE3"/>
    <w:rsid w:val="00A01EBF"/>
    <w:rsid w:val="00A030DD"/>
    <w:rsid w:val="00A03392"/>
    <w:rsid w:val="00A035C6"/>
    <w:rsid w:val="00A03B6E"/>
    <w:rsid w:val="00A055BD"/>
    <w:rsid w:val="00A05D22"/>
    <w:rsid w:val="00A05DD8"/>
    <w:rsid w:val="00A0628B"/>
    <w:rsid w:val="00A068EE"/>
    <w:rsid w:val="00A06904"/>
    <w:rsid w:val="00A06BDC"/>
    <w:rsid w:val="00A07147"/>
    <w:rsid w:val="00A1071B"/>
    <w:rsid w:val="00A11C67"/>
    <w:rsid w:val="00A11E6A"/>
    <w:rsid w:val="00A131BD"/>
    <w:rsid w:val="00A134B5"/>
    <w:rsid w:val="00A14EEF"/>
    <w:rsid w:val="00A1512F"/>
    <w:rsid w:val="00A151E0"/>
    <w:rsid w:val="00A15731"/>
    <w:rsid w:val="00A15D55"/>
    <w:rsid w:val="00A166B2"/>
    <w:rsid w:val="00A1674D"/>
    <w:rsid w:val="00A174B7"/>
    <w:rsid w:val="00A17D58"/>
    <w:rsid w:val="00A17D78"/>
    <w:rsid w:val="00A201B6"/>
    <w:rsid w:val="00A20327"/>
    <w:rsid w:val="00A2094A"/>
    <w:rsid w:val="00A20B7C"/>
    <w:rsid w:val="00A215F9"/>
    <w:rsid w:val="00A217F2"/>
    <w:rsid w:val="00A21A74"/>
    <w:rsid w:val="00A22233"/>
    <w:rsid w:val="00A23EE5"/>
    <w:rsid w:val="00A2420E"/>
    <w:rsid w:val="00A24917"/>
    <w:rsid w:val="00A2495B"/>
    <w:rsid w:val="00A24EA1"/>
    <w:rsid w:val="00A24F62"/>
    <w:rsid w:val="00A253C1"/>
    <w:rsid w:val="00A25BC9"/>
    <w:rsid w:val="00A26560"/>
    <w:rsid w:val="00A3009C"/>
    <w:rsid w:val="00A3035D"/>
    <w:rsid w:val="00A32019"/>
    <w:rsid w:val="00A3201F"/>
    <w:rsid w:val="00A333B5"/>
    <w:rsid w:val="00A334F4"/>
    <w:rsid w:val="00A335BC"/>
    <w:rsid w:val="00A35863"/>
    <w:rsid w:val="00A3689D"/>
    <w:rsid w:val="00A3736A"/>
    <w:rsid w:val="00A37515"/>
    <w:rsid w:val="00A37D19"/>
    <w:rsid w:val="00A40080"/>
    <w:rsid w:val="00A40150"/>
    <w:rsid w:val="00A40542"/>
    <w:rsid w:val="00A41A20"/>
    <w:rsid w:val="00A41E81"/>
    <w:rsid w:val="00A41FAA"/>
    <w:rsid w:val="00A42087"/>
    <w:rsid w:val="00A4218B"/>
    <w:rsid w:val="00A423A5"/>
    <w:rsid w:val="00A44AFA"/>
    <w:rsid w:val="00A4626B"/>
    <w:rsid w:val="00A465F5"/>
    <w:rsid w:val="00A47830"/>
    <w:rsid w:val="00A505F2"/>
    <w:rsid w:val="00A50A18"/>
    <w:rsid w:val="00A51729"/>
    <w:rsid w:val="00A51781"/>
    <w:rsid w:val="00A52444"/>
    <w:rsid w:val="00A52D5F"/>
    <w:rsid w:val="00A52F34"/>
    <w:rsid w:val="00A531D4"/>
    <w:rsid w:val="00A54599"/>
    <w:rsid w:val="00A54C79"/>
    <w:rsid w:val="00A55184"/>
    <w:rsid w:val="00A55586"/>
    <w:rsid w:val="00A55C83"/>
    <w:rsid w:val="00A56904"/>
    <w:rsid w:val="00A56E6E"/>
    <w:rsid w:val="00A57840"/>
    <w:rsid w:val="00A60AFC"/>
    <w:rsid w:val="00A60C5F"/>
    <w:rsid w:val="00A60E6A"/>
    <w:rsid w:val="00A611CD"/>
    <w:rsid w:val="00A629AE"/>
    <w:rsid w:val="00A631EA"/>
    <w:rsid w:val="00A63D9A"/>
    <w:rsid w:val="00A64444"/>
    <w:rsid w:val="00A64E21"/>
    <w:rsid w:val="00A64F28"/>
    <w:rsid w:val="00A65284"/>
    <w:rsid w:val="00A65AC2"/>
    <w:rsid w:val="00A65BEA"/>
    <w:rsid w:val="00A65C9D"/>
    <w:rsid w:val="00A6678D"/>
    <w:rsid w:val="00A667A4"/>
    <w:rsid w:val="00A70A1F"/>
    <w:rsid w:val="00A70C13"/>
    <w:rsid w:val="00A710CC"/>
    <w:rsid w:val="00A71C50"/>
    <w:rsid w:val="00A71D85"/>
    <w:rsid w:val="00A71FBB"/>
    <w:rsid w:val="00A72673"/>
    <w:rsid w:val="00A72AAE"/>
    <w:rsid w:val="00A73C8F"/>
    <w:rsid w:val="00A74661"/>
    <w:rsid w:val="00A74C3F"/>
    <w:rsid w:val="00A75188"/>
    <w:rsid w:val="00A7556B"/>
    <w:rsid w:val="00A75785"/>
    <w:rsid w:val="00A75A47"/>
    <w:rsid w:val="00A75C72"/>
    <w:rsid w:val="00A770CB"/>
    <w:rsid w:val="00A778E9"/>
    <w:rsid w:val="00A77EC1"/>
    <w:rsid w:val="00A811E5"/>
    <w:rsid w:val="00A81545"/>
    <w:rsid w:val="00A81F49"/>
    <w:rsid w:val="00A82430"/>
    <w:rsid w:val="00A826DB"/>
    <w:rsid w:val="00A8275F"/>
    <w:rsid w:val="00A83E36"/>
    <w:rsid w:val="00A846A9"/>
    <w:rsid w:val="00A84A31"/>
    <w:rsid w:val="00A85DEA"/>
    <w:rsid w:val="00A86024"/>
    <w:rsid w:val="00A869F6"/>
    <w:rsid w:val="00A86A3E"/>
    <w:rsid w:val="00A86FB7"/>
    <w:rsid w:val="00A90145"/>
    <w:rsid w:val="00A9016B"/>
    <w:rsid w:val="00A90237"/>
    <w:rsid w:val="00A9029B"/>
    <w:rsid w:val="00A90F23"/>
    <w:rsid w:val="00A912E1"/>
    <w:rsid w:val="00A9193E"/>
    <w:rsid w:val="00A91B4A"/>
    <w:rsid w:val="00A921F5"/>
    <w:rsid w:val="00A9244F"/>
    <w:rsid w:val="00A9274E"/>
    <w:rsid w:val="00A92A0D"/>
    <w:rsid w:val="00A92A99"/>
    <w:rsid w:val="00A930A7"/>
    <w:rsid w:val="00A93287"/>
    <w:rsid w:val="00A93450"/>
    <w:rsid w:val="00A93F8C"/>
    <w:rsid w:val="00A9547B"/>
    <w:rsid w:val="00A95C16"/>
    <w:rsid w:val="00A963C9"/>
    <w:rsid w:val="00A965C4"/>
    <w:rsid w:val="00A96E86"/>
    <w:rsid w:val="00A96F62"/>
    <w:rsid w:val="00A9704E"/>
    <w:rsid w:val="00AA0DBF"/>
    <w:rsid w:val="00AA1463"/>
    <w:rsid w:val="00AA2819"/>
    <w:rsid w:val="00AA3221"/>
    <w:rsid w:val="00AA3845"/>
    <w:rsid w:val="00AA42C4"/>
    <w:rsid w:val="00AA47E4"/>
    <w:rsid w:val="00AA4809"/>
    <w:rsid w:val="00AA53F5"/>
    <w:rsid w:val="00AA59A2"/>
    <w:rsid w:val="00AA687C"/>
    <w:rsid w:val="00AA73C2"/>
    <w:rsid w:val="00AA7938"/>
    <w:rsid w:val="00AB02ED"/>
    <w:rsid w:val="00AB02FE"/>
    <w:rsid w:val="00AB1E42"/>
    <w:rsid w:val="00AB2001"/>
    <w:rsid w:val="00AB2017"/>
    <w:rsid w:val="00AB2C1E"/>
    <w:rsid w:val="00AB2D3A"/>
    <w:rsid w:val="00AB2DF9"/>
    <w:rsid w:val="00AB30B3"/>
    <w:rsid w:val="00AB3350"/>
    <w:rsid w:val="00AB36B1"/>
    <w:rsid w:val="00AB48DF"/>
    <w:rsid w:val="00AB5161"/>
    <w:rsid w:val="00AB5D39"/>
    <w:rsid w:val="00AB7C1E"/>
    <w:rsid w:val="00AC0F22"/>
    <w:rsid w:val="00AC18D3"/>
    <w:rsid w:val="00AC1C9A"/>
    <w:rsid w:val="00AC2BBC"/>
    <w:rsid w:val="00AC2CD4"/>
    <w:rsid w:val="00AC3C91"/>
    <w:rsid w:val="00AC501D"/>
    <w:rsid w:val="00AC5128"/>
    <w:rsid w:val="00AC5203"/>
    <w:rsid w:val="00AC6568"/>
    <w:rsid w:val="00AC73ED"/>
    <w:rsid w:val="00AC7F39"/>
    <w:rsid w:val="00AD031B"/>
    <w:rsid w:val="00AD04DD"/>
    <w:rsid w:val="00AD051E"/>
    <w:rsid w:val="00AD14F1"/>
    <w:rsid w:val="00AD30FF"/>
    <w:rsid w:val="00AD40EC"/>
    <w:rsid w:val="00AD442F"/>
    <w:rsid w:val="00AD45B4"/>
    <w:rsid w:val="00AD4F54"/>
    <w:rsid w:val="00AD5063"/>
    <w:rsid w:val="00AD526D"/>
    <w:rsid w:val="00AD6319"/>
    <w:rsid w:val="00AD659B"/>
    <w:rsid w:val="00AD6626"/>
    <w:rsid w:val="00AD6A56"/>
    <w:rsid w:val="00AD6E79"/>
    <w:rsid w:val="00AD73FE"/>
    <w:rsid w:val="00AD7454"/>
    <w:rsid w:val="00AD7456"/>
    <w:rsid w:val="00AD7513"/>
    <w:rsid w:val="00AD797F"/>
    <w:rsid w:val="00AD79B6"/>
    <w:rsid w:val="00AD79B7"/>
    <w:rsid w:val="00AE057F"/>
    <w:rsid w:val="00AE08AF"/>
    <w:rsid w:val="00AE0A50"/>
    <w:rsid w:val="00AE0D8B"/>
    <w:rsid w:val="00AE13CF"/>
    <w:rsid w:val="00AE17DD"/>
    <w:rsid w:val="00AE1917"/>
    <w:rsid w:val="00AE1DE0"/>
    <w:rsid w:val="00AE2829"/>
    <w:rsid w:val="00AE2CA9"/>
    <w:rsid w:val="00AE44BC"/>
    <w:rsid w:val="00AE463D"/>
    <w:rsid w:val="00AE46E3"/>
    <w:rsid w:val="00AE5D28"/>
    <w:rsid w:val="00AE6ED5"/>
    <w:rsid w:val="00AE74B5"/>
    <w:rsid w:val="00AE79A0"/>
    <w:rsid w:val="00AF1600"/>
    <w:rsid w:val="00AF4D48"/>
    <w:rsid w:val="00AF5418"/>
    <w:rsid w:val="00AF5DF6"/>
    <w:rsid w:val="00AF6B70"/>
    <w:rsid w:val="00AF7369"/>
    <w:rsid w:val="00AF78D8"/>
    <w:rsid w:val="00B006F6"/>
    <w:rsid w:val="00B00FC4"/>
    <w:rsid w:val="00B01182"/>
    <w:rsid w:val="00B011E9"/>
    <w:rsid w:val="00B02E6A"/>
    <w:rsid w:val="00B0323B"/>
    <w:rsid w:val="00B03F1F"/>
    <w:rsid w:val="00B052D9"/>
    <w:rsid w:val="00B06E48"/>
    <w:rsid w:val="00B103EC"/>
    <w:rsid w:val="00B10BFF"/>
    <w:rsid w:val="00B11654"/>
    <w:rsid w:val="00B1166D"/>
    <w:rsid w:val="00B11D5D"/>
    <w:rsid w:val="00B1243C"/>
    <w:rsid w:val="00B127D7"/>
    <w:rsid w:val="00B12F98"/>
    <w:rsid w:val="00B1300C"/>
    <w:rsid w:val="00B1330E"/>
    <w:rsid w:val="00B1364C"/>
    <w:rsid w:val="00B141FA"/>
    <w:rsid w:val="00B142E2"/>
    <w:rsid w:val="00B14ADB"/>
    <w:rsid w:val="00B1505C"/>
    <w:rsid w:val="00B1567E"/>
    <w:rsid w:val="00B169B0"/>
    <w:rsid w:val="00B16FF7"/>
    <w:rsid w:val="00B172B9"/>
    <w:rsid w:val="00B201DA"/>
    <w:rsid w:val="00B2022A"/>
    <w:rsid w:val="00B207CB"/>
    <w:rsid w:val="00B21854"/>
    <w:rsid w:val="00B22001"/>
    <w:rsid w:val="00B231DD"/>
    <w:rsid w:val="00B23E47"/>
    <w:rsid w:val="00B23E51"/>
    <w:rsid w:val="00B23F0E"/>
    <w:rsid w:val="00B24210"/>
    <w:rsid w:val="00B2428B"/>
    <w:rsid w:val="00B24522"/>
    <w:rsid w:val="00B245E2"/>
    <w:rsid w:val="00B2593D"/>
    <w:rsid w:val="00B25B06"/>
    <w:rsid w:val="00B25E97"/>
    <w:rsid w:val="00B26231"/>
    <w:rsid w:val="00B27476"/>
    <w:rsid w:val="00B30366"/>
    <w:rsid w:val="00B30BDA"/>
    <w:rsid w:val="00B3183A"/>
    <w:rsid w:val="00B32FEE"/>
    <w:rsid w:val="00B338EE"/>
    <w:rsid w:val="00B33ECD"/>
    <w:rsid w:val="00B34E90"/>
    <w:rsid w:val="00B35228"/>
    <w:rsid w:val="00B35514"/>
    <w:rsid w:val="00B35D9F"/>
    <w:rsid w:val="00B35F80"/>
    <w:rsid w:val="00B37946"/>
    <w:rsid w:val="00B40858"/>
    <w:rsid w:val="00B40BA7"/>
    <w:rsid w:val="00B417F5"/>
    <w:rsid w:val="00B42580"/>
    <w:rsid w:val="00B42D8B"/>
    <w:rsid w:val="00B43CCC"/>
    <w:rsid w:val="00B44346"/>
    <w:rsid w:val="00B449EA"/>
    <w:rsid w:val="00B44CEF"/>
    <w:rsid w:val="00B45C60"/>
    <w:rsid w:val="00B460D5"/>
    <w:rsid w:val="00B46542"/>
    <w:rsid w:val="00B47D4E"/>
    <w:rsid w:val="00B50767"/>
    <w:rsid w:val="00B50A65"/>
    <w:rsid w:val="00B51A4A"/>
    <w:rsid w:val="00B52452"/>
    <w:rsid w:val="00B5360F"/>
    <w:rsid w:val="00B545FE"/>
    <w:rsid w:val="00B5522A"/>
    <w:rsid w:val="00B55AAA"/>
    <w:rsid w:val="00B5795D"/>
    <w:rsid w:val="00B6059E"/>
    <w:rsid w:val="00B61E78"/>
    <w:rsid w:val="00B61EB9"/>
    <w:rsid w:val="00B6311A"/>
    <w:rsid w:val="00B63562"/>
    <w:rsid w:val="00B63632"/>
    <w:rsid w:val="00B63B09"/>
    <w:rsid w:val="00B63FA2"/>
    <w:rsid w:val="00B6403E"/>
    <w:rsid w:val="00B647E1"/>
    <w:rsid w:val="00B64AF5"/>
    <w:rsid w:val="00B64EA1"/>
    <w:rsid w:val="00B65279"/>
    <w:rsid w:val="00B65625"/>
    <w:rsid w:val="00B6764E"/>
    <w:rsid w:val="00B67FA7"/>
    <w:rsid w:val="00B70086"/>
    <w:rsid w:val="00B70522"/>
    <w:rsid w:val="00B70D5F"/>
    <w:rsid w:val="00B7101D"/>
    <w:rsid w:val="00B7121F"/>
    <w:rsid w:val="00B72737"/>
    <w:rsid w:val="00B72A0C"/>
    <w:rsid w:val="00B73405"/>
    <w:rsid w:val="00B7349C"/>
    <w:rsid w:val="00B737FB"/>
    <w:rsid w:val="00B742A8"/>
    <w:rsid w:val="00B74A43"/>
    <w:rsid w:val="00B75275"/>
    <w:rsid w:val="00B75559"/>
    <w:rsid w:val="00B755F4"/>
    <w:rsid w:val="00B75E80"/>
    <w:rsid w:val="00B75EA7"/>
    <w:rsid w:val="00B76520"/>
    <w:rsid w:val="00B80343"/>
    <w:rsid w:val="00B80C19"/>
    <w:rsid w:val="00B8168A"/>
    <w:rsid w:val="00B81904"/>
    <w:rsid w:val="00B83310"/>
    <w:rsid w:val="00B85959"/>
    <w:rsid w:val="00B862EF"/>
    <w:rsid w:val="00B86B9C"/>
    <w:rsid w:val="00B86C4A"/>
    <w:rsid w:val="00B86C95"/>
    <w:rsid w:val="00B87181"/>
    <w:rsid w:val="00B87C62"/>
    <w:rsid w:val="00B901F8"/>
    <w:rsid w:val="00B90409"/>
    <w:rsid w:val="00B90829"/>
    <w:rsid w:val="00B917DE"/>
    <w:rsid w:val="00B92CB2"/>
    <w:rsid w:val="00B92CB9"/>
    <w:rsid w:val="00B937B1"/>
    <w:rsid w:val="00B93ACB"/>
    <w:rsid w:val="00B9412E"/>
    <w:rsid w:val="00B9481B"/>
    <w:rsid w:val="00B9536B"/>
    <w:rsid w:val="00B95AF9"/>
    <w:rsid w:val="00B96BD0"/>
    <w:rsid w:val="00B96ED2"/>
    <w:rsid w:val="00B97BFA"/>
    <w:rsid w:val="00BA1C0F"/>
    <w:rsid w:val="00BA3A66"/>
    <w:rsid w:val="00BA5E23"/>
    <w:rsid w:val="00BA624A"/>
    <w:rsid w:val="00BA6A1E"/>
    <w:rsid w:val="00BA6BE2"/>
    <w:rsid w:val="00BA74BE"/>
    <w:rsid w:val="00BA7742"/>
    <w:rsid w:val="00BA7AD7"/>
    <w:rsid w:val="00BA7B9F"/>
    <w:rsid w:val="00BA7DBA"/>
    <w:rsid w:val="00BB03B7"/>
    <w:rsid w:val="00BB0F88"/>
    <w:rsid w:val="00BB1605"/>
    <w:rsid w:val="00BB1C35"/>
    <w:rsid w:val="00BB2547"/>
    <w:rsid w:val="00BB2567"/>
    <w:rsid w:val="00BB2DD6"/>
    <w:rsid w:val="00BB337C"/>
    <w:rsid w:val="00BB3669"/>
    <w:rsid w:val="00BB37B9"/>
    <w:rsid w:val="00BB4F63"/>
    <w:rsid w:val="00BB66C0"/>
    <w:rsid w:val="00BB742B"/>
    <w:rsid w:val="00BC0185"/>
    <w:rsid w:val="00BC1494"/>
    <w:rsid w:val="00BC2F27"/>
    <w:rsid w:val="00BC318C"/>
    <w:rsid w:val="00BC43E0"/>
    <w:rsid w:val="00BC5264"/>
    <w:rsid w:val="00BC5491"/>
    <w:rsid w:val="00BC57B2"/>
    <w:rsid w:val="00BC58BE"/>
    <w:rsid w:val="00BC5904"/>
    <w:rsid w:val="00BC6DA8"/>
    <w:rsid w:val="00BC797E"/>
    <w:rsid w:val="00BC7CB1"/>
    <w:rsid w:val="00BD019F"/>
    <w:rsid w:val="00BD2538"/>
    <w:rsid w:val="00BD2DA5"/>
    <w:rsid w:val="00BD318A"/>
    <w:rsid w:val="00BD344E"/>
    <w:rsid w:val="00BD353A"/>
    <w:rsid w:val="00BD38D1"/>
    <w:rsid w:val="00BD4179"/>
    <w:rsid w:val="00BD433A"/>
    <w:rsid w:val="00BD4917"/>
    <w:rsid w:val="00BD4DAA"/>
    <w:rsid w:val="00BD5044"/>
    <w:rsid w:val="00BD50A9"/>
    <w:rsid w:val="00BD5247"/>
    <w:rsid w:val="00BD5952"/>
    <w:rsid w:val="00BD73FE"/>
    <w:rsid w:val="00BD7535"/>
    <w:rsid w:val="00BD76F3"/>
    <w:rsid w:val="00BD786B"/>
    <w:rsid w:val="00BD79E7"/>
    <w:rsid w:val="00BE094C"/>
    <w:rsid w:val="00BE10E6"/>
    <w:rsid w:val="00BE1316"/>
    <w:rsid w:val="00BE1C65"/>
    <w:rsid w:val="00BE1EB3"/>
    <w:rsid w:val="00BE1FFD"/>
    <w:rsid w:val="00BE2665"/>
    <w:rsid w:val="00BE28CD"/>
    <w:rsid w:val="00BE2FBC"/>
    <w:rsid w:val="00BE3336"/>
    <w:rsid w:val="00BE3E31"/>
    <w:rsid w:val="00BE4A21"/>
    <w:rsid w:val="00BE529D"/>
    <w:rsid w:val="00BE67B6"/>
    <w:rsid w:val="00BE6A46"/>
    <w:rsid w:val="00BE6B1F"/>
    <w:rsid w:val="00BE6B47"/>
    <w:rsid w:val="00BE7376"/>
    <w:rsid w:val="00BF055D"/>
    <w:rsid w:val="00BF0A6F"/>
    <w:rsid w:val="00BF107A"/>
    <w:rsid w:val="00BF1765"/>
    <w:rsid w:val="00BF2089"/>
    <w:rsid w:val="00BF27AF"/>
    <w:rsid w:val="00BF2F3D"/>
    <w:rsid w:val="00BF38F0"/>
    <w:rsid w:val="00BF4050"/>
    <w:rsid w:val="00BF47D8"/>
    <w:rsid w:val="00BF5467"/>
    <w:rsid w:val="00BF6AF7"/>
    <w:rsid w:val="00BF6BC3"/>
    <w:rsid w:val="00BF6E36"/>
    <w:rsid w:val="00BF7918"/>
    <w:rsid w:val="00BF7A76"/>
    <w:rsid w:val="00BF7FA1"/>
    <w:rsid w:val="00C01277"/>
    <w:rsid w:val="00C01F74"/>
    <w:rsid w:val="00C03C72"/>
    <w:rsid w:val="00C03C74"/>
    <w:rsid w:val="00C04802"/>
    <w:rsid w:val="00C0493F"/>
    <w:rsid w:val="00C04CF2"/>
    <w:rsid w:val="00C0502E"/>
    <w:rsid w:val="00C060F6"/>
    <w:rsid w:val="00C063A5"/>
    <w:rsid w:val="00C07C99"/>
    <w:rsid w:val="00C10024"/>
    <w:rsid w:val="00C109A0"/>
    <w:rsid w:val="00C11C2A"/>
    <w:rsid w:val="00C11C94"/>
    <w:rsid w:val="00C12BF8"/>
    <w:rsid w:val="00C13093"/>
    <w:rsid w:val="00C13600"/>
    <w:rsid w:val="00C1471A"/>
    <w:rsid w:val="00C150D3"/>
    <w:rsid w:val="00C152C3"/>
    <w:rsid w:val="00C162BD"/>
    <w:rsid w:val="00C16920"/>
    <w:rsid w:val="00C16B82"/>
    <w:rsid w:val="00C1797D"/>
    <w:rsid w:val="00C203E3"/>
    <w:rsid w:val="00C207A8"/>
    <w:rsid w:val="00C208A0"/>
    <w:rsid w:val="00C209F2"/>
    <w:rsid w:val="00C21DB1"/>
    <w:rsid w:val="00C229C5"/>
    <w:rsid w:val="00C22BD5"/>
    <w:rsid w:val="00C23371"/>
    <w:rsid w:val="00C234E4"/>
    <w:rsid w:val="00C2386E"/>
    <w:rsid w:val="00C248B9"/>
    <w:rsid w:val="00C24A21"/>
    <w:rsid w:val="00C251EC"/>
    <w:rsid w:val="00C25BF2"/>
    <w:rsid w:val="00C25CA5"/>
    <w:rsid w:val="00C27743"/>
    <w:rsid w:val="00C30D28"/>
    <w:rsid w:val="00C30F6A"/>
    <w:rsid w:val="00C317BD"/>
    <w:rsid w:val="00C321CD"/>
    <w:rsid w:val="00C322D7"/>
    <w:rsid w:val="00C32420"/>
    <w:rsid w:val="00C32431"/>
    <w:rsid w:val="00C32774"/>
    <w:rsid w:val="00C32B4B"/>
    <w:rsid w:val="00C3496C"/>
    <w:rsid w:val="00C34DB6"/>
    <w:rsid w:val="00C35827"/>
    <w:rsid w:val="00C35965"/>
    <w:rsid w:val="00C366FE"/>
    <w:rsid w:val="00C3789A"/>
    <w:rsid w:val="00C40BA5"/>
    <w:rsid w:val="00C41020"/>
    <w:rsid w:val="00C415E9"/>
    <w:rsid w:val="00C41D9B"/>
    <w:rsid w:val="00C41E20"/>
    <w:rsid w:val="00C425F6"/>
    <w:rsid w:val="00C42F5A"/>
    <w:rsid w:val="00C44EC3"/>
    <w:rsid w:val="00C45DA9"/>
    <w:rsid w:val="00C461BF"/>
    <w:rsid w:val="00C46956"/>
    <w:rsid w:val="00C5009E"/>
    <w:rsid w:val="00C50E1A"/>
    <w:rsid w:val="00C513FC"/>
    <w:rsid w:val="00C52D89"/>
    <w:rsid w:val="00C53782"/>
    <w:rsid w:val="00C53B50"/>
    <w:rsid w:val="00C54B00"/>
    <w:rsid w:val="00C55125"/>
    <w:rsid w:val="00C556A6"/>
    <w:rsid w:val="00C55C24"/>
    <w:rsid w:val="00C55CE1"/>
    <w:rsid w:val="00C5657C"/>
    <w:rsid w:val="00C56596"/>
    <w:rsid w:val="00C5780B"/>
    <w:rsid w:val="00C60021"/>
    <w:rsid w:val="00C60575"/>
    <w:rsid w:val="00C6170F"/>
    <w:rsid w:val="00C61A4D"/>
    <w:rsid w:val="00C62C92"/>
    <w:rsid w:val="00C62DAE"/>
    <w:rsid w:val="00C63CA7"/>
    <w:rsid w:val="00C64E7B"/>
    <w:rsid w:val="00C650C7"/>
    <w:rsid w:val="00C6518D"/>
    <w:rsid w:val="00C65744"/>
    <w:rsid w:val="00C7007C"/>
    <w:rsid w:val="00C7078B"/>
    <w:rsid w:val="00C71127"/>
    <w:rsid w:val="00C712E6"/>
    <w:rsid w:val="00C71551"/>
    <w:rsid w:val="00C727B5"/>
    <w:rsid w:val="00C73344"/>
    <w:rsid w:val="00C73395"/>
    <w:rsid w:val="00C74144"/>
    <w:rsid w:val="00C7449C"/>
    <w:rsid w:val="00C7472D"/>
    <w:rsid w:val="00C74977"/>
    <w:rsid w:val="00C75722"/>
    <w:rsid w:val="00C75B7D"/>
    <w:rsid w:val="00C75D02"/>
    <w:rsid w:val="00C75D23"/>
    <w:rsid w:val="00C7617D"/>
    <w:rsid w:val="00C76770"/>
    <w:rsid w:val="00C76A51"/>
    <w:rsid w:val="00C76BEA"/>
    <w:rsid w:val="00C775CB"/>
    <w:rsid w:val="00C777E4"/>
    <w:rsid w:val="00C80AAF"/>
    <w:rsid w:val="00C80B09"/>
    <w:rsid w:val="00C819DE"/>
    <w:rsid w:val="00C8320C"/>
    <w:rsid w:val="00C83AB9"/>
    <w:rsid w:val="00C8445E"/>
    <w:rsid w:val="00C85087"/>
    <w:rsid w:val="00C8530F"/>
    <w:rsid w:val="00C85320"/>
    <w:rsid w:val="00C858A3"/>
    <w:rsid w:val="00C85B8A"/>
    <w:rsid w:val="00C86B2F"/>
    <w:rsid w:val="00C86B9E"/>
    <w:rsid w:val="00C86ECC"/>
    <w:rsid w:val="00C872AA"/>
    <w:rsid w:val="00C873DF"/>
    <w:rsid w:val="00C87919"/>
    <w:rsid w:val="00C87A0E"/>
    <w:rsid w:val="00C87AD3"/>
    <w:rsid w:val="00C87DC1"/>
    <w:rsid w:val="00C90212"/>
    <w:rsid w:val="00C906A3"/>
    <w:rsid w:val="00C907EF"/>
    <w:rsid w:val="00C90813"/>
    <w:rsid w:val="00C90AC0"/>
    <w:rsid w:val="00C91757"/>
    <w:rsid w:val="00C91D9E"/>
    <w:rsid w:val="00C91FFD"/>
    <w:rsid w:val="00C92819"/>
    <w:rsid w:val="00C933D6"/>
    <w:rsid w:val="00C93BCB"/>
    <w:rsid w:val="00C93BD2"/>
    <w:rsid w:val="00C941F0"/>
    <w:rsid w:val="00C96D5E"/>
    <w:rsid w:val="00CA15D0"/>
    <w:rsid w:val="00CA27CF"/>
    <w:rsid w:val="00CA29AE"/>
    <w:rsid w:val="00CA2B83"/>
    <w:rsid w:val="00CA4BB6"/>
    <w:rsid w:val="00CA6350"/>
    <w:rsid w:val="00CA6BC1"/>
    <w:rsid w:val="00CA6EDC"/>
    <w:rsid w:val="00CB02E2"/>
    <w:rsid w:val="00CB0940"/>
    <w:rsid w:val="00CB0DAF"/>
    <w:rsid w:val="00CB0EF8"/>
    <w:rsid w:val="00CB0F04"/>
    <w:rsid w:val="00CB0F86"/>
    <w:rsid w:val="00CB1F91"/>
    <w:rsid w:val="00CB2027"/>
    <w:rsid w:val="00CB20A0"/>
    <w:rsid w:val="00CB5AE0"/>
    <w:rsid w:val="00CB6199"/>
    <w:rsid w:val="00CB634F"/>
    <w:rsid w:val="00CB66FA"/>
    <w:rsid w:val="00CB6BC8"/>
    <w:rsid w:val="00CB6C62"/>
    <w:rsid w:val="00CB6CFF"/>
    <w:rsid w:val="00CC05CB"/>
    <w:rsid w:val="00CC08D3"/>
    <w:rsid w:val="00CC1695"/>
    <w:rsid w:val="00CC3186"/>
    <w:rsid w:val="00CC3501"/>
    <w:rsid w:val="00CC4F62"/>
    <w:rsid w:val="00CC4FD1"/>
    <w:rsid w:val="00CC5823"/>
    <w:rsid w:val="00CC5DA1"/>
    <w:rsid w:val="00CC62B6"/>
    <w:rsid w:val="00CC6A96"/>
    <w:rsid w:val="00CC6FCD"/>
    <w:rsid w:val="00CC7519"/>
    <w:rsid w:val="00CD0680"/>
    <w:rsid w:val="00CD1157"/>
    <w:rsid w:val="00CD1AD5"/>
    <w:rsid w:val="00CD21D1"/>
    <w:rsid w:val="00CD26F0"/>
    <w:rsid w:val="00CD2901"/>
    <w:rsid w:val="00CD2D93"/>
    <w:rsid w:val="00CD305C"/>
    <w:rsid w:val="00CD33A5"/>
    <w:rsid w:val="00CD368B"/>
    <w:rsid w:val="00CD4183"/>
    <w:rsid w:val="00CD49E8"/>
    <w:rsid w:val="00CD58A9"/>
    <w:rsid w:val="00CD5C8A"/>
    <w:rsid w:val="00CD6F21"/>
    <w:rsid w:val="00CD715A"/>
    <w:rsid w:val="00CD73B1"/>
    <w:rsid w:val="00CD74AC"/>
    <w:rsid w:val="00CD7FBB"/>
    <w:rsid w:val="00CE0362"/>
    <w:rsid w:val="00CE0B70"/>
    <w:rsid w:val="00CE0D17"/>
    <w:rsid w:val="00CE3221"/>
    <w:rsid w:val="00CE35B5"/>
    <w:rsid w:val="00CE3B61"/>
    <w:rsid w:val="00CE3B72"/>
    <w:rsid w:val="00CE3D6F"/>
    <w:rsid w:val="00CE7C01"/>
    <w:rsid w:val="00CF04B7"/>
    <w:rsid w:val="00CF171C"/>
    <w:rsid w:val="00CF1EE3"/>
    <w:rsid w:val="00CF20DC"/>
    <w:rsid w:val="00CF2396"/>
    <w:rsid w:val="00CF2CC9"/>
    <w:rsid w:val="00CF3218"/>
    <w:rsid w:val="00CF3280"/>
    <w:rsid w:val="00CF37F2"/>
    <w:rsid w:val="00CF3898"/>
    <w:rsid w:val="00CF58B4"/>
    <w:rsid w:val="00CF5BCE"/>
    <w:rsid w:val="00CF6C46"/>
    <w:rsid w:val="00CF74C3"/>
    <w:rsid w:val="00D00146"/>
    <w:rsid w:val="00D003B9"/>
    <w:rsid w:val="00D01952"/>
    <w:rsid w:val="00D01C4B"/>
    <w:rsid w:val="00D02D23"/>
    <w:rsid w:val="00D0301F"/>
    <w:rsid w:val="00D03CE8"/>
    <w:rsid w:val="00D04596"/>
    <w:rsid w:val="00D04ADE"/>
    <w:rsid w:val="00D0586D"/>
    <w:rsid w:val="00D05C16"/>
    <w:rsid w:val="00D05D85"/>
    <w:rsid w:val="00D062EF"/>
    <w:rsid w:val="00D06C36"/>
    <w:rsid w:val="00D10004"/>
    <w:rsid w:val="00D10443"/>
    <w:rsid w:val="00D10677"/>
    <w:rsid w:val="00D10EE2"/>
    <w:rsid w:val="00D1198C"/>
    <w:rsid w:val="00D12697"/>
    <w:rsid w:val="00D133CB"/>
    <w:rsid w:val="00D13D4B"/>
    <w:rsid w:val="00D14449"/>
    <w:rsid w:val="00D145BF"/>
    <w:rsid w:val="00D14BEF"/>
    <w:rsid w:val="00D15463"/>
    <w:rsid w:val="00D1558E"/>
    <w:rsid w:val="00D16656"/>
    <w:rsid w:val="00D16701"/>
    <w:rsid w:val="00D168CD"/>
    <w:rsid w:val="00D20100"/>
    <w:rsid w:val="00D2091C"/>
    <w:rsid w:val="00D212CF"/>
    <w:rsid w:val="00D222B6"/>
    <w:rsid w:val="00D22EBE"/>
    <w:rsid w:val="00D238DA"/>
    <w:rsid w:val="00D23FEA"/>
    <w:rsid w:val="00D246A0"/>
    <w:rsid w:val="00D24E51"/>
    <w:rsid w:val="00D25672"/>
    <w:rsid w:val="00D25B0A"/>
    <w:rsid w:val="00D25CE3"/>
    <w:rsid w:val="00D27269"/>
    <w:rsid w:val="00D272CC"/>
    <w:rsid w:val="00D2789B"/>
    <w:rsid w:val="00D27C5C"/>
    <w:rsid w:val="00D27DB2"/>
    <w:rsid w:val="00D3037D"/>
    <w:rsid w:val="00D309AA"/>
    <w:rsid w:val="00D30D55"/>
    <w:rsid w:val="00D31080"/>
    <w:rsid w:val="00D31EA0"/>
    <w:rsid w:val="00D320B5"/>
    <w:rsid w:val="00D322C5"/>
    <w:rsid w:val="00D335AB"/>
    <w:rsid w:val="00D34408"/>
    <w:rsid w:val="00D34E82"/>
    <w:rsid w:val="00D3568A"/>
    <w:rsid w:val="00D35751"/>
    <w:rsid w:val="00D35B53"/>
    <w:rsid w:val="00D36B6E"/>
    <w:rsid w:val="00D36BC5"/>
    <w:rsid w:val="00D3701F"/>
    <w:rsid w:val="00D371BA"/>
    <w:rsid w:val="00D4020D"/>
    <w:rsid w:val="00D40FF0"/>
    <w:rsid w:val="00D41A2E"/>
    <w:rsid w:val="00D424FF"/>
    <w:rsid w:val="00D42666"/>
    <w:rsid w:val="00D44349"/>
    <w:rsid w:val="00D44E83"/>
    <w:rsid w:val="00D4658E"/>
    <w:rsid w:val="00D4686B"/>
    <w:rsid w:val="00D46992"/>
    <w:rsid w:val="00D46A31"/>
    <w:rsid w:val="00D47889"/>
    <w:rsid w:val="00D5074D"/>
    <w:rsid w:val="00D508A5"/>
    <w:rsid w:val="00D51391"/>
    <w:rsid w:val="00D518C7"/>
    <w:rsid w:val="00D52BE7"/>
    <w:rsid w:val="00D5427A"/>
    <w:rsid w:val="00D544D3"/>
    <w:rsid w:val="00D54518"/>
    <w:rsid w:val="00D54C6B"/>
    <w:rsid w:val="00D571CD"/>
    <w:rsid w:val="00D61811"/>
    <w:rsid w:val="00D61A1A"/>
    <w:rsid w:val="00D63E58"/>
    <w:rsid w:val="00D63EAA"/>
    <w:rsid w:val="00D63F3B"/>
    <w:rsid w:val="00D648C4"/>
    <w:rsid w:val="00D65973"/>
    <w:rsid w:val="00D669AF"/>
    <w:rsid w:val="00D66F38"/>
    <w:rsid w:val="00D702AB"/>
    <w:rsid w:val="00D704C8"/>
    <w:rsid w:val="00D71503"/>
    <w:rsid w:val="00D71553"/>
    <w:rsid w:val="00D734DD"/>
    <w:rsid w:val="00D735DF"/>
    <w:rsid w:val="00D736A7"/>
    <w:rsid w:val="00D75599"/>
    <w:rsid w:val="00D762E8"/>
    <w:rsid w:val="00D763E4"/>
    <w:rsid w:val="00D7721C"/>
    <w:rsid w:val="00D77408"/>
    <w:rsid w:val="00D80AE1"/>
    <w:rsid w:val="00D81911"/>
    <w:rsid w:val="00D81BEF"/>
    <w:rsid w:val="00D82269"/>
    <w:rsid w:val="00D82281"/>
    <w:rsid w:val="00D849A8"/>
    <w:rsid w:val="00D84E7A"/>
    <w:rsid w:val="00D84EF6"/>
    <w:rsid w:val="00D8574D"/>
    <w:rsid w:val="00D8634F"/>
    <w:rsid w:val="00D8786B"/>
    <w:rsid w:val="00D878D3"/>
    <w:rsid w:val="00D9089A"/>
    <w:rsid w:val="00D90E61"/>
    <w:rsid w:val="00D91C4F"/>
    <w:rsid w:val="00D91DBE"/>
    <w:rsid w:val="00D92C47"/>
    <w:rsid w:val="00D92E87"/>
    <w:rsid w:val="00D93488"/>
    <w:rsid w:val="00D93605"/>
    <w:rsid w:val="00D93A78"/>
    <w:rsid w:val="00D93FC1"/>
    <w:rsid w:val="00D9410B"/>
    <w:rsid w:val="00D945E0"/>
    <w:rsid w:val="00D9565E"/>
    <w:rsid w:val="00D96187"/>
    <w:rsid w:val="00D9622B"/>
    <w:rsid w:val="00D96968"/>
    <w:rsid w:val="00D96B1A"/>
    <w:rsid w:val="00D97653"/>
    <w:rsid w:val="00D977F3"/>
    <w:rsid w:val="00DA084B"/>
    <w:rsid w:val="00DA0A7F"/>
    <w:rsid w:val="00DA1930"/>
    <w:rsid w:val="00DA21FB"/>
    <w:rsid w:val="00DA2A8F"/>
    <w:rsid w:val="00DA39FE"/>
    <w:rsid w:val="00DA3A34"/>
    <w:rsid w:val="00DA4684"/>
    <w:rsid w:val="00DA5204"/>
    <w:rsid w:val="00DA5244"/>
    <w:rsid w:val="00DA530A"/>
    <w:rsid w:val="00DA688C"/>
    <w:rsid w:val="00DB0BD0"/>
    <w:rsid w:val="00DB1369"/>
    <w:rsid w:val="00DB29B2"/>
    <w:rsid w:val="00DB2A4E"/>
    <w:rsid w:val="00DB2B55"/>
    <w:rsid w:val="00DB468C"/>
    <w:rsid w:val="00DB4982"/>
    <w:rsid w:val="00DB4FA0"/>
    <w:rsid w:val="00DB5F7A"/>
    <w:rsid w:val="00DB640E"/>
    <w:rsid w:val="00DB69F9"/>
    <w:rsid w:val="00DB7FE0"/>
    <w:rsid w:val="00DC09EB"/>
    <w:rsid w:val="00DC15D8"/>
    <w:rsid w:val="00DC188F"/>
    <w:rsid w:val="00DC20A6"/>
    <w:rsid w:val="00DC25B3"/>
    <w:rsid w:val="00DC2C17"/>
    <w:rsid w:val="00DC34BD"/>
    <w:rsid w:val="00DC3C2E"/>
    <w:rsid w:val="00DC4298"/>
    <w:rsid w:val="00DC470C"/>
    <w:rsid w:val="00DC4736"/>
    <w:rsid w:val="00DC4A5E"/>
    <w:rsid w:val="00DC4DBE"/>
    <w:rsid w:val="00DC503E"/>
    <w:rsid w:val="00DC60D0"/>
    <w:rsid w:val="00DC6ADC"/>
    <w:rsid w:val="00DC7FC0"/>
    <w:rsid w:val="00DD0406"/>
    <w:rsid w:val="00DD149F"/>
    <w:rsid w:val="00DD24A5"/>
    <w:rsid w:val="00DD3072"/>
    <w:rsid w:val="00DD4035"/>
    <w:rsid w:val="00DD5014"/>
    <w:rsid w:val="00DD5F14"/>
    <w:rsid w:val="00DD6078"/>
    <w:rsid w:val="00DD7CB0"/>
    <w:rsid w:val="00DD7F5A"/>
    <w:rsid w:val="00DD7FDD"/>
    <w:rsid w:val="00DE0683"/>
    <w:rsid w:val="00DE06EC"/>
    <w:rsid w:val="00DE07B9"/>
    <w:rsid w:val="00DE09B5"/>
    <w:rsid w:val="00DE0C6C"/>
    <w:rsid w:val="00DE0F44"/>
    <w:rsid w:val="00DE1899"/>
    <w:rsid w:val="00DE1E3D"/>
    <w:rsid w:val="00DE1F2E"/>
    <w:rsid w:val="00DE249D"/>
    <w:rsid w:val="00DE28FE"/>
    <w:rsid w:val="00DE2AA8"/>
    <w:rsid w:val="00DE2E2A"/>
    <w:rsid w:val="00DE2FC0"/>
    <w:rsid w:val="00DE3307"/>
    <w:rsid w:val="00DE3DA0"/>
    <w:rsid w:val="00DE408F"/>
    <w:rsid w:val="00DE4845"/>
    <w:rsid w:val="00DE4DF8"/>
    <w:rsid w:val="00DE550A"/>
    <w:rsid w:val="00DE59B8"/>
    <w:rsid w:val="00DE6066"/>
    <w:rsid w:val="00DE6298"/>
    <w:rsid w:val="00DE6BEC"/>
    <w:rsid w:val="00DE6E5E"/>
    <w:rsid w:val="00DE6E94"/>
    <w:rsid w:val="00DE7462"/>
    <w:rsid w:val="00DE7DA3"/>
    <w:rsid w:val="00DF0491"/>
    <w:rsid w:val="00DF1790"/>
    <w:rsid w:val="00DF1F37"/>
    <w:rsid w:val="00DF2E38"/>
    <w:rsid w:val="00DF32A4"/>
    <w:rsid w:val="00DF352F"/>
    <w:rsid w:val="00DF3883"/>
    <w:rsid w:val="00DF6651"/>
    <w:rsid w:val="00DF6CC3"/>
    <w:rsid w:val="00DF729F"/>
    <w:rsid w:val="00DF79CF"/>
    <w:rsid w:val="00E003C6"/>
    <w:rsid w:val="00E0064C"/>
    <w:rsid w:val="00E009A1"/>
    <w:rsid w:val="00E00B6A"/>
    <w:rsid w:val="00E01741"/>
    <w:rsid w:val="00E01806"/>
    <w:rsid w:val="00E01D85"/>
    <w:rsid w:val="00E02548"/>
    <w:rsid w:val="00E04BA4"/>
    <w:rsid w:val="00E04C46"/>
    <w:rsid w:val="00E04F10"/>
    <w:rsid w:val="00E05B95"/>
    <w:rsid w:val="00E06A8B"/>
    <w:rsid w:val="00E06E4A"/>
    <w:rsid w:val="00E07535"/>
    <w:rsid w:val="00E075B3"/>
    <w:rsid w:val="00E075D6"/>
    <w:rsid w:val="00E076C5"/>
    <w:rsid w:val="00E10194"/>
    <w:rsid w:val="00E10DC9"/>
    <w:rsid w:val="00E11721"/>
    <w:rsid w:val="00E11759"/>
    <w:rsid w:val="00E123F3"/>
    <w:rsid w:val="00E12683"/>
    <w:rsid w:val="00E1284F"/>
    <w:rsid w:val="00E12C73"/>
    <w:rsid w:val="00E13489"/>
    <w:rsid w:val="00E13552"/>
    <w:rsid w:val="00E1384D"/>
    <w:rsid w:val="00E13988"/>
    <w:rsid w:val="00E14949"/>
    <w:rsid w:val="00E14E9A"/>
    <w:rsid w:val="00E14F08"/>
    <w:rsid w:val="00E15C4B"/>
    <w:rsid w:val="00E15FD2"/>
    <w:rsid w:val="00E16B92"/>
    <w:rsid w:val="00E170FD"/>
    <w:rsid w:val="00E2003D"/>
    <w:rsid w:val="00E20258"/>
    <w:rsid w:val="00E20672"/>
    <w:rsid w:val="00E22719"/>
    <w:rsid w:val="00E22F06"/>
    <w:rsid w:val="00E23817"/>
    <w:rsid w:val="00E2436F"/>
    <w:rsid w:val="00E25B25"/>
    <w:rsid w:val="00E25C7D"/>
    <w:rsid w:val="00E2640B"/>
    <w:rsid w:val="00E27486"/>
    <w:rsid w:val="00E27CAE"/>
    <w:rsid w:val="00E302B9"/>
    <w:rsid w:val="00E3066A"/>
    <w:rsid w:val="00E30A96"/>
    <w:rsid w:val="00E30BA5"/>
    <w:rsid w:val="00E31368"/>
    <w:rsid w:val="00E321F5"/>
    <w:rsid w:val="00E32B9B"/>
    <w:rsid w:val="00E32FBC"/>
    <w:rsid w:val="00E339FC"/>
    <w:rsid w:val="00E348D4"/>
    <w:rsid w:val="00E3521E"/>
    <w:rsid w:val="00E356B3"/>
    <w:rsid w:val="00E375D8"/>
    <w:rsid w:val="00E37659"/>
    <w:rsid w:val="00E37877"/>
    <w:rsid w:val="00E37A59"/>
    <w:rsid w:val="00E37E2F"/>
    <w:rsid w:val="00E37E37"/>
    <w:rsid w:val="00E400CD"/>
    <w:rsid w:val="00E402DF"/>
    <w:rsid w:val="00E4086A"/>
    <w:rsid w:val="00E40C5E"/>
    <w:rsid w:val="00E41526"/>
    <w:rsid w:val="00E417E8"/>
    <w:rsid w:val="00E42400"/>
    <w:rsid w:val="00E42A45"/>
    <w:rsid w:val="00E42D03"/>
    <w:rsid w:val="00E4315E"/>
    <w:rsid w:val="00E43697"/>
    <w:rsid w:val="00E436B3"/>
    <w:rsid w:val="00E448FF"/>
    <w:rsid w:val="00E458EC"/>
    <w:rsid w:val="00E45D5A"/>
    <w:rsid w:val="00E4616E"/>
    <w:rsid w:val="00E46E20"/>
    <w:rsid w:val="00E4758A"/>
    <w:rsid w:val="00E5015A"/>
    <w:rsid w:val="00E51745"/>
    <w:rsid w:val="00E52EFF"/>
    <w:rsid w:val="00E53882"/>
    <w:rsid w:val="00E539C1"/>
    <w:rsid w:val="00E53C88"/>
    <w:rsid w:val="00E53D5A"/>
    <w:rsid w:val="00E5424C"/>
    <w:rsid w:val="00E5496D"/>
    <w:rsid w:val="00E54BF6"/>
    <w:rsid w:val="00E55789"/>
    <w:rsid w:val="00E55883"/>
    <w:rsid w:val="00E560BC"/>
    <w:rsid w:val="00E5668D"/>
    <w:rsid w:val="00E56B2C"/>
    <w:rsid w:val="00E5721F"/>
    <w:rsid w:val="00E57D0F"/>
    <w:rsid w:val="00E608AB"/>
    <w:rsid w:val="00E614B3"/>
    <w:rsid w:val="00E61528"/>
    <w:rsid w:val="00E61571"/>
    <w:rsid w:val="00E62142"/>
    <w:rsid w:val="00E625A7"/>
    <w:rsid w:val="00E629F1"/>
    <w:rsid w:val="00E64B7D"/>
    <w:rsid w:val="00E65135"/>
    <w:rsid w:val="00E654E5"/>
    <w:rsid w:val="00E65B47"/>
    <w:rsid w:val="00E660A3"/>
    <w:rsid w:val="00E67821"/>
    <w:rsid w:val="00E67970"/>
    <w:rsid w:val="00E67AEB"/>
    <w:rsid w:val="00E7011D"/>
    <w:rsid w:val="00E70855"/>
    <w:rsid w:val="00E71176"/>
    <w:rsid w:val="00E71524"/>
    <w:rsid w:val="00E71698"/>
    <w:rsid w:val="00E71D6B"/>
    <w:rsid w:val="00E7249A"/>
    <w:rsid w:val="00E72953"/>
    <w:rsid w:val="00E72C0C"/>
    <w:rsid w:val="00E733D9"/>
    <w:rsid w:val="00E734CF"/>
    <w:rsid w:val="00E735BB"/>
    <w:rsid w:val="00E74662"/>
    <w:rsid w:val="00E753BB"/>
    <w:rsid w:val="00E757CE"/>
    <w:rsid w:val="00E76FB4"/>
    <w:rsid w:val="00E778A2"/>
    <w:rsid w:val="00E8094B"/>
    <w:rsid w:val="00E80C02"/>
    <w:rsid w:val="00E80E02"/>
    <w:rsid w:val="00E81829"/>
    <w:rsid w:val="00E81DFC"/>
    <w:rsid w:val="00E826D4"/>
    <w:rsid w:val="00E82D41"/>
    <w:rsid w:val="00E8384C"/>
    <w:rsid w:val="00E83E24"/>
    <w:rsid w:val="00E8492E"/>
    <w:rsid w:val="00E857C8"/>
    <w:rsid w:val="00E85951"/>
    <w:rsid w:val="00E86750"/>
    <w:rsid w:val="00E86965"/>
    <w:rsid w:val="00E86DF2"/>
    <w:rsid w:val="00E87E2D"/>
    <w:rsid w:val="00E906E2"/>
    <w:rsid w:val="00E9118F"/>
    <w:rsid w:val="00E91D7E"/>
    <w:rsid w:val="00E9214A"/>
    <w:rsid w:val="00E92615"/>
    <w:rsid w:val="00E93023"/>
    <w:rsid w:val="00E94A90"/>
    <w:rsid w:val="00E94C9F"/>
    <w:rsid w:val="00E96AA4"/>
    <w:rsid w:val="00E96BC7"/>
    <w:rsid w:val="00E97062"/>
    <w:rsid w:val="00E97C94"/>
    <w:rsid w:val="00E97DDC"/>
    <w:rsid w:val="00EA0AF8"/>
    <w:rsid w:val="00EA1FE9"/>
    <w:rsid w:val="00EA2512"/>
    <w:rsid w:val="00EA2D2F"/>
    <w:rsid w:val="00EA2F24"/>
    <w:rsid w:val="00EA36A8"/>
    <w:rsid w:val="00EA38B1"/>
    <w:rsid w:val="00EA3909"/>
    <w:rsid w:val="00EA44D6"/>
    <w:rsid w:val="00EA4FED"/>
    <w:rsid w:val="00EA5CAD"/>
    <w:rsid w:val="00EA60A0"/>
    <w:rsid w:val="00EA627F"/>
    <w:rsid w:val="00EA737E"/>
    <w:rsid w:val="00EA77E8"/>
    <w:rsid w:val="00EB2985"/>
    <w:rsid w:val="00EB2FC2"/>
    <w:rsid w:val="00EB32F8"/>
    <w:rsid w:val="00EB3419"/>
    <w:rsid w:val="00EB38E4"/>
    <w:rsid w:val="00EB3E10"/>
    <w:rsid w:val="00EB5113"/>
    <w:rsid w:val="00EB51F1"/>
    <w:rsid w:val="00EB544D"/>
    <w:rsid w:val="00EB6CDD"/>
    <w:rsid w:val="00EB7462"/>
    <w:rsid w:val="00EB7808"/>
    <w:rsid w:val="00EB798B"/>
    <w:rsid w:val="00EC0078"/>
    <w:rsid w:val="00EC015D"/>
    <w:rsid w:val="00EC13E1"/>
    <w:rsid w:val="00EC15FE"/>
    <w:rsid w:val="00EC1A26"/>
    <w:rsid w:val="00EC283D"/>
    <w:rsid w:val="00EC29A2"/>
    <w:rsid w:val="00EC351A"/>
    <w:rsid w:val="00EC388E"/>
    <w:rsid w:val="00EC48D2"/>
    <w:rsid w:val="00EC50F4"/>
    <w:rsid w:val="00EC5CF6"/>
    <w:rsid w:val="00EC640A"/>
    <w:rsid w:val="00EC6982"/>
    <w:rsid w:val="00EC773A"/>
    <w:rsid w:val="00ED04B7"/>
    <w:rsid w:val="00ED1553"/>
    <w:rsid w:val="00ED16D2"/>
    <w:rsid w:val="00ED1C20"/>
    <w:rsid w:val="00ED1F13"/>
    <w:rsid w:val="00ED3585"/>
    <w:rsid w:val="00ED39E3"/>
    <w:rsid w:val="00ED4309"/>
    <w:rsid w:val="00ED4A99"/>
    <w:rsid w:val="00ED5B64"/>
    <w:rsid w:val="00ED6058"/>
    <w:rsid w:val="00ED60C7"/>
    <w:rsid w:val="00ED6660"/>
    <w:rsid w:val="00ED67D4"/>
    <w:rsid w:val="00ED6C0B"/>
    <w:rsid w:val="00ED763F"/>
    <w:rsid w:val="00ED7EEB"/>
    <w:rsid w:val="00EE0203"/>
    <w:rsid w:val="00EE0B1E"/>
    <w:rsid w:val="00EE1360"/>
    <w:rsid w:val="00EE16EE"/>
    <w:rsid w:val="00EE43B7"/>
    <w:rsid w:val="00EE4519"/>
    <w:rsid w:val="00EE4555"/>
    <w:rsid w:val="00EE57EA"/>
    <w:rsid w:val="00EE5B6D"/>
    <w:rsid w:val="00EE618C"/>
    <w:rsid w:val="00EE671F"/>
    <w:rsid w:val="00EE69A5"/>
    <w:rsid w:val="00EE6EB0"/>
    <w:rsid w:val="00EE7C93"/>
    <w:rsid w:val="00EE7DD2"/>
    <w:rsid w:val="00EF0739"/>
    <w:rsid w:val="00EF2405"/>
    <w:rsid w:val="00EF278B"/>
    <w:rsid w:val="00EF31DA"/>
    <w:rsid w:val="00EF33C6"/>
    <w:rsid w:val="00EF3A96"/>
    <w:rsid w:val="00EF3B2D"/>
    <w:rsid w:val="00EF3BBF"/>
    <w:rsid w:val="00EF3E14"/>
    <w:rsid w:val="00EF48C8"/>
    <w:rsid w:val="00EF5023"/>
    <w:rsid w:val="00EF52E5"/>
    <w:rsid w:val="00EF620D"/>
    <w:rsid w:val="00EF64B9"/>
    <w:rsid w:val="00EF67DD"/>
    <w:rsid w:val="00EF6B66"/>
    <w:rsid w:val="00EF6C4B"/>
    <w:rsid w:val="00EF7156"/>
    <w:rsid w:val="00EF7431"/>
    <w:rsid w:val="00EF7C7C"/>
    <w:rsid w:val="00F00B08"/>
    <w:rsid w:val="00F0127F"/>
    <w:rsid w:val="00F01351"/>
    <w:rsid w:val="00F0164B"/>
    <w:rsid w:val="00F037CA"/>
    <w:rsid w:val="00F03EAA"/>
    <w:rsid w:val="00F0412D"/>
    <w:rsid w:val="00F04462"/>
    <w:rsid w:val="00F04F4E"/>
    <w:rsid w:val="00F04F98"/>
    <w:rsid w:val="00F05BE2"/>
    <w:rsid w:val="00F05DF1"/>
    <w:rsid w:val="00F05E4A"/>
    <w:rsid w:val="00F05E58"/>
    <w:rsid w:val="00F05F1D"/>
    <w:rsid w:val="00F06A81"/>
    <w:rsid w:val="00F072DB"/>
    <w:rsid w:val="00F074FA"/>
    <w:rsid w:val="00F07743"/>
    <w:rsid w:val="00F077AE"/>
    <w:rsid w:val="00F101BF"/>
    <w:rsid w:val="00F10431"/>
    <w:rsid w:val="00F10650"/>
    <w:rsid w:val="00F10B67"/>
    <w:rsid w:val="00F118EF"/>
    <w:rsid w:val="00F11A21"/>
    <w:rsid w:val="00F11DDB"/>
    <w:rsid w:val="00F122C9"/>
    <w:rsid w:val="00F12B6A"/>
    <w:rsid w:val="00F12F15"/>
    <w:rsid w:val="00F12F48"/>
    <w:rsid w:val="00F1363C"/>
    <w:rsid w:val="00F138BC"/>
    <w:rsid w:val="00F15817"/>
    <w:rsid w:val="00F15C39"/>
    <w:rsid w:val="00F178AA"/>
    <w:rsid w:val="00F20C14"/>
    <w:rsid w:val="00F20D0E"/>
    <w:rsid w:val="00F216DE"/>
    <w:rsid w:val="00F21ABD"/>
    <w:rsid w:val="00F21C81"/>
    <w:rsid w:val="00F223AB"/>
    <w:rsid w:val="00F22FF4"/>
    <w:rsid w:val="00F2469F"/>
    <w:rsid w:val="00F24A16"/>
    <w:rsid w:val="00F24D53"/>
    <w:rsid w:val="00F2578B"/>
    <w:rsid w:val="00F25831"/>
    <w:rsid w:val="00F25C0A"/>
    <w:rsid w:val="00F26D9B"/>
    <w:rsid w:val="00F27788"/>
    <w:rsid w:val="00F3043B"/>
    <w:rsid w:val="00F304B6"/>
    <w:rsid w:val="00F314D8"/>
    <w:rsid w:val="00F314E5"/>
    <w:rsid w:val="00F3249E"/>
    <w:rsid w:val="00F334C8"/>
    <w:rsid w:val="00F33D1B"/>
    <w:rsid w:val="00F34A49"/>
    <w:rsid w:val="00F351F3"/>
    <w:rsid w:val="00F35445"/>
    <w:rsid w:val="00F35607"/>
    <w:rsid w:val="00F3637D"/>
    <w:rsid w:val="00F364A8"/>
    <w:rsid w:val="00F36637"/>
    <w:rsid w:val="00F4015E"/>
    <w:rsid w:val="00F40FFB"/>
    <w:rsid w:val="00F41361"/>
    <w:rsid w:val="00F41CEA"/>
    <w:rsid w:val="00F41EE4"/>
    <w:rsid w:val="00F438BD"/>
    <w:rsid w:val="00F44256"/>
    <w:rsid w:val="00F44759"/>
    <w:rsid w:val="00F46158"/>
    <w:rsid w:val="00F4723E"/>
    <w:rsid w:val="00F47510"/>
    <w:rsid w:val="00F51AA3"/>
    <w:rsid w:val="00F53060"/>
    <w:rsid w:val="00F53C20"/>
    <w:rsid w:val="00F548AD"/>
    <w:rsid w:val="00F553D7"/>
    <w:rsid w:val="00F55764"/>
    <w:rsid w:val="00F55CEC"/>
    <w:rsid w:val="00F56E99"/>
    <w:rsid w:val="00F571F4"/>
    <w:rsid w:val="00F57271"/>
    <w:rsid w:val="00F572DF"/>
    <w:rsid w:val="00F61293"/>
    <w:rsid w:val="00F614C9"/>
    <w:rsid w:val="00F61ED3"/>
    <w:rsid w:val="00F626A5"/>
    <w:rsid w:val="00F637D2"/>
    <w:rsid w:val="00F646D1"/>
    <w:rsid w:val="00F64892"/>
    <w:rsid w:val="00F6673F"/>
    <w:rsid w:val="00F70063"/>
    <w:rsid w:val="00F70D11"/>
    <w:rsid w:val="00F711E1"/>
    <w:rsid w:val="00F72166"/>
    <w:rsid w:val="00F72579"/>
    <w:rsid w:val="00F727C8"/>
    <w:rsid w:val="00F7353B"/>
    <w:rsid w:val="00F74028"/>
    <w:rsid w:val="00F74389"/>
    <w:rsid w:val="00F75BC3"/>
    <w:rsid w:val="00F77D77"/>
    <w:rsid w:val="00F77FD5"/>
    <w:rsid w:val="00F81BF7"/>
    <w:rsid w:val="00F820E8"/>
    <w:rsid w:val="00F83D3D"/>
    <w:rsid w:val="00F83FD2"/>
    <w:rsid w:val="00F845F0"/>
    <w:rsid w:val="00F853F3"/>
    <w:rsid w:val="00F87AF4"/>
    <w:rsid w:val="00F9038F"/>
    <w:rsid w:val="00F907C7"/>
    <w:rsid w:val="00F9088D"/>
    <w:rsid w:val="00F909D6"/>
    <w:rsid w:val="00F913F0"/>
    <w:rsid w:val="00F9192C"/>
    <w:rsid w:val="00F92217"/>
    <w:rsid w:val="00F9313E"/>
    <w:rsid w:val="00F933FE"/>
    <w:rsid w:val="00F9357E"/>
    <w:rsid w:val="00F93FB1"/>
    <w:rsid w:val="00F94644"/>
    <w:rsid w:val="00F9466D"/>
    <w:rsid w:val="00F955D8"/>
    <w:rsid w:val="00F96A04"/>
    <w:rsid w:val="00F96EC4"/>
    <w:rsid w:val="00F97722"/>
    <w:rsid w:val="00F97744"/>
    <w:rsid w:val="00FA0237"/>
    <w:rsid w:val="00FA1922"/>
    <w:rsid w:val="00FA1C0E"/>
    <w:rsid w:val="00FA1FC9"/>
    <w:rsid w:val="00FA20C7"/>
    <w:rsid w:val="00FA2490"/>
    <w:rsid w:val="00FA25E9"/>
    <w:rsid w:val="00FA3343"/>
    <w:rsid w:val="00FA3DD6"/>
    <w:rsid w:val="00FA434B"/>
    <w:rsid w:val="00FA482B"/>
    <w:rsid w:val="00FA5399"/>
    <w:rsid w:val="00FA7084"/>
    <w:rsid w:val="00FA7E08"/>
    <w:rsid w:val="00FA7FEB"/>
    <w:rsid w:val="00FB00BD"/>
    <w:rsid w:val="00FB0473"/>
    <w:rsid w:val="00FB076A"/>
    <w:rsid w:val="00FB16F9"/>
    <w:rsid w:val="00FB182A"/>
    <w:rsid w:val="00FB1AE4"/>
    <w:rsid w:val="00FB1B91"/>
    <w:rsid w:val="00FB219C"/>
    <w:rsid w:val="00FB2EBD"/>
    <w:rsid w:val="00FB3A0F"/>
    <w:rsid w:val="00FB3F63"/>
    <w:rsid w:val="00FB4512"/>
    <w:rsid w:val="00FB50FB"/>
    <w:rsid w:val="00FB5BD8"/>
    <w:rsid w:val="00FB63CF"/>
    <w:rsid w:val="00FC0965"/>
    <w:rsid w:val="00FC0FF3"/>
    <w:rsid w:val="00FC1187"/>
    <w:rsid w:val="00FC1AEA"/>
    <w:rsid w:val="00FC2408"/>
    <w:rsid w:val="00FC262F"/>
    <w:rsid w:val="00FC2EA1"/>
    <w:rsid w:val="00FC326C"/>
    <w:rsid w:val="00FC3719"/>
    <w:rsid w:val="00FC4C3F"/>
    <w:rsid w:val="00FC60EF"/>
    <w:rsid w:val="00FC6111"/>
    <w:rsid w:val="00FC6CF9"/>
    <w:rsid w:val="00FC779C"/>
    <w:rsid w:val="00FD0CB8"/>
    <w:rsid w:val="00FD0FBA"/>
    <w:rsid w:val="00FD11C2"/>
    <w:rsid w:val="00FD14EF"/>
    <w:rsid w:val="00FD16C5"/>
    <w:rsid w:val="00FD213E"/>
    <w:rsid w:val="00FD2162"/>
    <w:rsid w:val="00FD23C5"/>
    <w:rsid w:val="00FD3257"/>
    <w:rsid w:val="00FD3557"/>
    <w:rsid w:val="00FD3CBA"/>
    <w:rsid w:val="00FD43CE"/>
    <w:rsid w:val="00FD43DB"/>
    <w:rsid w:val="00FD455B"/>
    <w:rsid w:val="00FD479F"/>
    <w:rsid w:val="00FD4880"/>
    <w:rsid w:val="00FD4FF2"/>
    <w:rsid w:val="00FD69B1"/>
    <w:rsid w:val="00FD6C95"/>
    <w:rsid w:val="00FD7F66"/>
    <w:rsid w:val="00FE035D"/>
    <w:rsid w:val="00FE0905"/>
    <w:rsid w:val="00FE09DB"/>
    <w:rsid w:val="00FE0B58"/>
    <w:rsid w:val="00FE0D4C"/>
    <w:rsid w:val="00FE0DBC"/>
    <w:rsid w:val="00FE161A"/>
    <w:rsid w:val="00FE1857"/>
    <w:rsid w:val="00FE2A73"/>
    <w:rsid w:val="00FE35C7"/>
    <w:rsid w:val="00FE4B27"/>
    <w:rsid w:val="00FE4ED1"/>
    <w:rsid w:val="00FF01C4"/>
    <w:rsid w:val="00FF0303"/>
    <w:rsid w:val="00FF0A5D"/>
    <w:rsid w:val="00FF1D23"/>
    <w:rsid w:val="00FF201A"/>
    <w:rsid w:val="00FF2898"/>
    <w:rsid w:val="00FF3114"/>
    <w:rsid w:val="00FF3329"/>
    <w:rsid w:val="00FF3A3A"/>
    <w:rsid w:val="00FF41E9"/>
    <w:rsid w:val="00FF48D0"/>
    <w:rsid w:val="00FF5248"/>
    <w:rsid w:val="00FF5D8D"/>
    <w:rsid w:val="00FF601C"/>
    <w:rsid w:val="00FF693D"/>
    <w:rsid w:val="00FF783B"/>
    <w:rsid w:val="00FF7A66"/>
    <w:rsid w:val="00FF7AF8"/>
    <w:rsid w:val="068B2196"/>
    <w:rsid w:val="0DCB3388"/>
    <w:rsid w:val="1C6F2123"/>
    <w:rsid w:val="32A65C1C"/>
    <w:rsid w:val="74A161C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498E0E2A-BFB7-4E66-9467-052EC4C95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uiPriority="39" w:unhideWhenUsed="1"/>
    <w:lsdException w:name="toc 3" w:uiPriority="39" w:unhideWhenUsed="1"/>
    <w:lsdException w:name="toc 4"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before="120" w:after="280" w:line="259" w:lineRule="auto"/>
      <w:jc w:val="both"/>
    </w:pPr>
    <w:rPr>
      <w:rFonts w:ascii="Times New Roman" w:hAnsi="Times New Roman"/>
      <w:sz w:val="24"/>
      <w:szCs w:val="22"/>
      <w:lang w:val="en-GB"/>
    </w:rPr>
  </w:style>
  <w:style w:type="paragraph" w:styleId="Heading1">
    <w:name w:val="heading 1"/>
    <w:basedOn w:val="Normal"/>
    <w:next w:val="Normal"/>
    <w:link w:val="Heading1Char"/>
    <w:uiPriority w:val="9"/>
    <w:qFormat/>
    <w:pPr>
      <w:keepNext/>
      <w:keepLines/>
      <w:spacing w:before="240" w:after="0" w:line="360" w:lineRule="auto"/>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pPr>
      <w:keepNext/>
      <w:keepLines/>
      <w:spacing w:before="160" w:after="120"/>
      <w:outlineLvl w:val="1"/>
    </w:pPr>
    <w:rPr>
      <w:rFonts w:eastAsiaTheme="majorEastAsia" w:cstheme="majorBidi"/>
      <w:b/>
      <w:szCs w:val="26"/>
    </w:rPr>
  </w:style>
  <w:style w:type="paragraph" w:styleId="Heading3">
    <w:name w:val="heading 3"/>
    <w:basedOn w:val="Normal"/>
    <w:next w:val="Normal"/>
    <w:link w:val="Heading3Char"/>
    <w:uiPriority w:val="9"/>
    <w:unhideWhenUsed/>
    <w:qFormat/>
    <w:pPr>
      <w:spacing w:before="0" w:after="0" w:line="480" w:lineRule="auto"/>
      <w:ind w:right="6"/>
      <w:contextualSpacing/>
      <w:outlineLvl w:val="2"/>
    </w:pPr>
    <w:rPr>
      <w:rFonts w:eastAsia="Calibri" w:cs="Times New Roman"/>
      <w:b/>
      <w:bCs/>
      <w:szCs w:val="24"/>
      <w:shd w:val="clear" w:color="auto" w:fill="FFFFFF"/>
      <w:lang w:val="en-US" w:bidi="en-US"/>
    </w:r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8">
    <w:name w:val="heading 8"/>
    <w:basedOn w:val="Normal"/>
    <w:next w:val="Normal"/>
    <w:link w:val="Heading8Char"/>
    <w:uiPriority w:val="9"/>
    <w:semiHidden/>
    <w:unhideWhenUsed/>
    <w:qFormat/>
    <w:pPr>
      <w:keepNext/>
      <w:keepLines/>
      <w:spacing w:before="40" w:after="0"/>
      <w:outlineLvl w:val="7"/>
    </w:pPr>
    <w:rPr>
      <w:rFonts w:asciiTheme="majorHAnsi" w:eastAsiaTheme="majorEastAsia" w:hAnsiTheme="majorHAnsi" w:cstheme="majorBidi"/>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Tahoma" w:hAnsi="Tahoma" w:cs="Tahoma"/>
      <w:sz w:val="16"/>
      <w:szCs w:val="16"/>
    </w:rPr>
  </w:style>
  <w:style w:type="paragraph" w:styleId="Caption">
    <w:name w:val="caption"/>
    <w:basedOn w:val="Normal"/>
    <w:next w:val="Normal"/>
    <w:link w:val="CaptionChar"/>
    <w:uiPriority w:val="35"/>
    <w:unhideWhenUsed/>
    <w:qFormat/>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qFormat/>
    <w:rPr>
      <w:b/>
      <w:bCs/>
    </w:rPr>
  </w:style>
  <w:style w:type="character" w:styleId="FollowedHyperlink">
    <w:name w:val="FollowedHyperlink"/>
    <w:basedOn w:val="DefaultParagraphFont"/>
    <w:uiPriority w:val="99"/>
    <w:semiHidden/>
    <w:unhideWhenUsed/>
    <w:qFormat/>
    <w:rPr>
      <w:color w:val="954F72" w:themeColor="followedHyperlink"/>
      <w:u w:val="single"/>
    </w:rPr>
  </w:style>
  <w:style w:type="paragraph" w:styleId="Footer">
    <w:name w:val="footer"/>
    <w:basedOn w:val="Normal"/>
    <w:link w:val="FooterChar"/>
    <w:uiPriority w:val="99"/>
    <w:unhideWhenUsed/>
    <w:pPr>
      <w:tabs>
        <w:tab w:val="center" w:pos="4680"/>
        <w:tab w:val="right" w:pos="9360"/>
      </w:tabs>
      <w:spacing w:after="0" w:line="240" w:lineRule="auto"/>
    </w:pPr>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Hyperlink">
    <w:name w:val="Hyperlink"/>
    <w:basedOn w:val="DefaultParagraphFont"/>
    <w:uiPriority w:val="99"/>
    <w:unhideWhenUsed/>
    <w:rPr>
      <w:color w:val="0563C1" w:themeColor="hyperlink"/>
      <w:u w:val="single"/>
    </w:rPr>
  </w:style>
  <w:style w:type="paragraph" w:styleId="NormalWeb">
    <w:name w:val="Normal (Web)"/>
    <w:basedOn w:val="Normal"/>
    <w:uiPriority w:val="99"/>
    <w:semiHidden/>
    <w:unhideWhenUsed/>
    <w:pPr>
      <w:spacing w:before="100" w:beforeAutospacing="1" w:after="100" w:afterAutospacing="1" w:line="240" w:lineRule="auto"/>
    </w:pPr>
    <w:rPr>
      <w:rFonts w:eastAsia="Times New Roman" w:cs="Times New Roman"/>
      <w:szCs w:val="24"/>
      <w:lang w:eastAsia="en-GB"/>
    </w:rPr>
  </w:style>
  <w:style w:type="character" w:styleId="Strong">
    <w:name w:val="Strong"/>
    <w:basedOn w:val="DefaultParagraphFont"/>
    <w:uiPriority w:val="22"/>
    <w:qFormat/>
    <w:rPr>
      <w:b/>
      <w:bCs/>
    </w:rPr>
  </w:style>
  <w:style w:type="table" w:styleId="TableGrid">
    <w:name w:val="Table Grid"/>
    <w:basedOn w:val="TableNormal"/>
    <w:uiPriority w:val="3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link w:val="TableofFiguresChar"/>
    <w:uiPriority w:val="99"/>
    <w:unhideWhenUsed/>
    <w:pPr>
      <w:spacing w:before="0" w:after="0" w:line="480" w:lineRule="auto"/>
      <w:ind w:left="480" w:hanging="480"/>
      <w:jc w:val="left"/>
    </w:pPr>
    <w:rPr>
      <w:rFonts w:cstheme="minorHAnsi"/>
      <w:b/>
      <w:bCs/>
      <w:szCs w:val="20"/>
    </w:rPr>
  </w:style>
  <w:style w:type="paragraph" w:styleId="TOC1">
    <w:name w:val="toc 1"/>
    <w:basedOn w:val="Normal"/>
    <w:next w:val="Normal"/>
    <w:uiPriority w:val="39"/>
    <w:unhideWhenUsed/>
    <w:pPr>
      <w:spacing w:after="100"/>
    </w:pPr>
  </w:style>
  <w:style w:type="paragraph" w:styleId="TOC2">
    <w:name w:val="toc 2"/>
    <w:basedOn w:val="Normal"/>
    <w:next w:val="Normal"/>
    <w:uiPriority w:val="39"/>
    <w:unhideWhenUsed/>
    <w:pPr>
      <w:spacing w:after="100"/>
      <w:ind w:left="220"/>
    </w:pPr>
  </w:style>
  <w:style w:type="paragraph" w:styleId="TOC3">
    <w:name w:val="toc 3"/>
    <w:basedOn w:val="Normal"/>
    <w:next w:val="Normal"/>
    <w:uiPriority w:val="39"/>
    <w:unhideWhenUsed/>
    <w:pPr>
      <w:spacing w:after="100"/>
      <w:ind w:left="440"/>
    </w:pPr>
  </w:style>
  <w:style w:type="paragraph" w:styleId="TOC4">
    <w:name w:val="toc 4"/>
    <w:basedOn w:val="Normal"/>
    <w:next w:val="Normal"/>
    <w:uiPriority w:val="39"/>
    <w:unhideWhenUsed/>
    <w:pPr>
      <w:spacing w:after="100"/>
      <w:ind w:left="660"/>
    </w:pPr>
  </w:style>
  <w:style w:type="character" w:customStyle="1" w:styleId="Heading3Char">
    <w:name w:val="Heading 3 Char"/>
    <w:basedOn w:val="DefaultParagraphFont"/>
    <w:link w:val="Heading3"/>
    <w:uiPriority w:val="9"/>
    <w:rPr>
      <w:rFonts w:ascii="Times New Roman" w:eastAsia="Calibri" w:hAnsi="Times New Roman" w:cs="Times New Roman"/>
      <w:b/>
      <w:bCs/>
      <w:sz w:val="24"/>
      <w:szCs w:val="24"/>
      <w:lang w:val="en-US" w:bidi="en-US"/>
    </w:rPr>
  </w:style>
  <w:style w:type="paragraph" w:styleId="ListParagraph">
    <w:name w:val="List Paragraph"/>
    <w:basedOn w:val="Normal"/>
    <w:link w:val="ListParagraphChar"/>
    <w:uiPriority w:val="34"/>
    <w:qFormat/>
    <w:pPr>
      <w:ind w:left="720"/>
      <w:contextualSpacing/>
    </w:pPr>
  </w:style>
  <w:style w:type="paragraph" w:customStyle="1" w:styleId="root-block-node">
    <w:name w:val="root-block-node"/>
    <w:basedOn w:val="Normal"/>
    <w:pPr>
      <w:spacing w:before="100" w:beforeAutospacing="1" w:after="100" w:afterAutospacing="1" w:line="240" w:lineRule="auto"/>
    </w:pPr>
    <w:rPr>
      <w:rFonts w:eastAsia="Times New Roman" w:cs="Times New Roman"/>
      <w:szCs w:val="24"/>
    </w:rPr>
  </w:style>
  <w:style w:type="character" w:customStyle="1" w:styleId="BalloonTextChar">
    <w:name w:val="Balloon Text Char"/>
    <w:basedOn w:val="DefaultParagraphFont"/>
    <w:link w:val="BalloonText"/>
    <w:uiPriority w:val="99"/>
    <w:semiHidden/>
    <w:rPr>
      <w:rFonts w:ascii="Tahoma" w:hAnsi="Tahoma" w:cs="Tahoma"/>
      <w:sz w:val="16"/>
      <w:szCs w:val="16"/>
      <w:lang w:val="en-US"/>
    </w:rPr>
  </w:style>
  <w:style w:type="character" w:customStyle="1" w:styleId="HeaderChar">
    <w:name w:val="Header Char"/>
    <w:basedOn w:val="DefaultParagraphFont"/>
    <w:link w:val="Header"/>
    <w:uiPriority w:val="99"/>
    <w:rPr>
      <w:lang w:val="en-US"/>
    </w:rPr>
  </w:style>
  <w:style w:type="character" w:customStyle="1" w:styleId="FooterChar">
    <w:name w:val="Footer Char"/>
    <w:basedOn w:val="DefaultParagraphFont"/>
    <w:link w:val="Footer"/>
    <w:uiPriority w:val="99"/>
    <w:rPr>
      <w:lang w:val="en-US"/>
    </w:rPr>
  </w:style>
  <w:style w:type="paragraph" w:customStyle="1" w:styleId="Default">
    <w:name w:val="Default"/>
    <w:pPr>
      <w:autoSpaceDE w:val="0"/>
      <w:autoSpaceDN w:val="0"/>
      <w:adjustRightInd w:val="0"/>
    </w:pPr>
    <w:rPr>
      <w:rFonts w:ascii="Times New Roman" w:hAnsi="Times New Roman" w:cs="Times New Roman"/>
      <w:color w:val="000000"/>
      <w:sz w:val="24"/>
      <w:szCs w:val="24"/>
    </w:rPr>
  </w:style>
  <w:style w:type="character" w:customStyle="1" w:styleId="CommentTextChar">
    <w:name w:val="Comment Text Char"/>
    <w:basedOn w:val="DefaultParagraphFont"/>
    <w:link w:val="CommentText"/>
    <w:uiPriority w:val="99"/>
    <w:semiHidden/>
    <w:rPr>
      <w:sz w:val="20"/>
      <w:szCs w:val="20"/>
      <w:lang w:val="en-US"/>
    </w:rPr>
  </w:style>
  <w:style w:type="character" w:customStyle="1" w:styleId="CommentSubjectChar">
    <w:name w:val="Comment Subject Char"/>
    <w:basedOn w:val="CommentTextChar"/>
    <w:link w:val="CommentSubject"/>
    <w:uiPriority w:val="99"/>
    <w:semiHidden/>
    <w:rPr>
      <w:b/>
      <w:bCs/>
      <w:sz w:val="20"/>
      <w:szCs w:val="20"/>
      <w:lang w:val="en-US"/>
    </w:rPr>
  </w:style>
  <w:style w:type="character" w:customStyle="1" w:styleId="Heading1Char">
    <w:name w:val="Heading 1 Char"/>
    <w:basedOn w:val="DefaultParagraphFont"/>
    <w:link w:val="Heading1"/>
    <w:uiPriority w:val="9"/>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Pr>
      <w:rFonts w:ascii="Times New Roman" w:eastAsiaTheme="majorEastAsia" w:hAnsi="Times New Roman" w:cstheme="majorBidi"/>
      <w:b/>
      <w:sz w:val="24"/>
      <w:szCs w:val="26"/>
    </w:rPr>
  </w:style>
  <w:style w:type="character" w:customStyle="1" w:styleId="Heading4Char">
    <w:name w:val="Heading 4 Char"/>
    <w:basedOn w:val="DefaultParagraphFont"/>
    <w:link w:val="Heading4"/>
    <w:uiPriority w:val="9"/>
    <w:rPr>
      <w:rFonts w:asciiTheme="majorHAnsi" w:eastAsiaTheme="majorEastAsia" w:hAnsiTheme="majorHAnsi" w:cstheme="majorBidi"/>
      <w:i/>
      <w:iCs/>
      <w:color w:val="2E74B5" w:themeColor="accent1" w:themeShade="BF"/>
      <w:lang w:val="en-US"/>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262626" w:themeColor="text1" w:themeTint="D9"/>
      <w:sz w:val="21"/>
      <w:szCs w:val="21"/>
      <w:lang w:val="en-US"/>
    </w:rPr>
  </w:style>
  <w:style w:type="table" w:customStyle="1" w:styleId="TableGrid1">
    <w:name w:val="Table Grid1"/>
    <w:basedOn w:val="TableNormal"/>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Pr>
      <w:sz w:val="22"/>
      <w:szCs w:val="22"/>
    </w:rPr>
  </w:style>
  <w:style w:type="paragraph" w:customStyle="1" w:styleId="Revision1">
    <w:name w:val="Revision1"/>
    <w:hidden/>
    <w:uiPriority w:val="99"/>
    <w:semiHidden/>
    <w:qFormat/>
    <w:rPr>
      <w:sz w:val="22"/>
      <w:szCs w:val="22"/>
    </w:rPr>
  </w:style>
  <w:style w:type="paragraph" w:customStyle="1" w:styleId="TOCHeading1">
    <w:name w:val="TOC Heading1"/>
    <w:basedOn w:val="Heading1"/>
    <w:next w:val="Normal"/>
    <w:uiPriority w:val="39"/>
    <w:unhideWhenUsed/>
    <w:qFormat/>
    <w:pPr>
      <w:spacing w:line="259" w:lineRule="auto"/>
      <w:jc w:val="left"/>
      <w:outlineLvl w:val="9"/>
    </w:pPr>
    <w:rPr>
      <w:rFonts w:asciiTheme="majorHAnsi" w:hAnsiTheme="majorHAnsi"/>
      <w:b w:val="0"/>
      <w:color w:val="2E74B5" w:themeColor="accent1" w:themeShade="BF"/>
      <w:sz w:val="32"/>
      <w:lang w:val="en-US"/>
    </w:rPr>
  </w:style>
  <w:style w:type="character" w:customStyle="1" w:styleId="ListParagraphChar">
    <w:name w:val="List Paragraph Char"/>
    <w:link w:val="ListParagraph"/>
    <w:uiPriority w:val="34"/>
    <w:qFormat/>
    <w:rPr>
      <w:rFonts w:ascii="Times New Roman" w:hAnsi="Times New Roman"/>
      <w:sz w:val="24"/>
    </w:rPr>
  </w:style>
  <w:style w:type="paragraph" w:customStyle="1" w:styleId="tableyuuu">
    <w:name w:val="table yuuu"/>
    <w:basedOn w:val="Normal"/>
    <w:link w:val="tableyuuuChar"/>
    <w:qFormat/>
    <w:pPr>
      <w:tabs>
        <w:tab w:val="left" w:pos="7260"/>
      </w:tabs>
      <w:spacing w:line="480" w:lineRule="auto"/>
    </w:pPr>
    <w:rPr>
      <w:rFonts w:cs="Times New Roman"/>
      <w:b/>
      <w:szCs w:val="24"/>
    </w:rPr>
  </w:style>
  <w:style w:type="paragraph" w:customStyle="1" w:styleId="figures">
    <w:name w:val="figures"/>
    <w:basedOn w:val="Normal"/>
    <w:link w:val="figuresChar"/>
    <w:qFormat/>
    <w:pPr>
      <w:spacing w:line="480" w:lineRule="auto"/>
    </w:pPr>
    <w:rPr>
      <w:rFonts w:cs="Times New Roman"/>
      <w:b/>
      <w:szCs w:val="24"/>
    </w:rPr>
  </w:style>
  <w:style w:type="character" w:customStyle="1" w:styleId="tableyuuuChar">
    <w:name w:val="table yuuu Char"/>
    <w:basedOn w:val="DefaultParagraphFont"/>
    <w:link w:val="tableyuuu"/>
    <w:qFormat/>
    <w:rPr>
      <w:rFonts w:ascii="Times New Roman" w:hAnsi="Times New Roman" w:cs="Times New Roman"/>
      <w:b/>
      <w:sz w:val="24"/>
      <w:szCs w:val="24"/>
    </w:rPr>
  </w:style>
  <w:style w:type="character" w:customStyle="1" w:styleId="figuresChar">
    <w:name w:val="figures Char"/>
    <w:basedOn w:val="DefaultParagraphFont"/>
    <w:link w:val="figures"/>
    <w:rPr>
      <w:rFonts w:ascii="Times New Roman" w:hAnsi="Times New Roman" w:cs="Times New Roman"/>
      <w:b/>
      <w:sz w:val="24"/>
      <w:szCs w:val="24"/>
    </w:rPr>
  </w:style>
  <w:style w:type="paragraph" w:customStyle="1" w:styleId="plate">
    <w:name w:val="plate"/>
    <w:basedOn w:val="Caption"/>
    <w:next w:val="Caption"/>
    <w:link w:val="plateChar"/>
    <w:qFormat/>
    <w:pPr>
      <w:spacing w:line="480" w:lineRule="auto"/>
    </w:pPr>
    <w:rPr>
      <w:rFonts w:cs="Times New Roman"/>
      <w:b/>
      <w:i w:val="0"/>
      <w:color w:val="000000" w:themeColor="text1"/>
      <w:sz w:val="24"/>
      <w:szCs w:val="24"/>
    </w:rPr>
  </w:style>
  <w:style w:type="character" w:customStyle="1" w:styleId="CaptionChar">
    <w:name w:val="Caption Char"/>
    <w:basedOn w:val="DefaultParagraphFont"/>
    <w:link w:val="Caption"/>
    <w:uiPriority w:val="35"/>
    <w:rPr>
      <w:rFonts w:ascii="Times New Roman" w:hAnsi="Times New Roman"/>
      <w:i/>
      <w:iCs/>
      <w:color w:val="44546A" w:themeColor="text2"/>
      <w:sz w:val="18"/>
      <w:szCs w:val="18"/>
    </w:rPr>
  </w:style>
  <w:style w:type="character" w:customStyle="1" w:styleId="plateChar">
    <w:name w:val="plate Char"/>
    <w:basedOn w:val="CaptionChar"/>
    <w:link w:val="plate"/>
    <w:rPr>
      <w:rFonts w:ascii="Times New Roman" w:hAnsi="Times New Roman" w:cs="Times New Roman"/>
      <w:b/>
      <w:i w:val="0"/>
      <w:iCs/>
      <w:color w:val="000000" w:themeColor="text1"/>
      <w:sz w:val="24"/>
      <w:szCs w:val="24"/>
    </w:rPr>
  </w:style>
  <w:style w:type="paragraph" w:customStyle="1" w:styleId="boxes">
    <w:name w:val="boxes"/>
    <w:basedOn w:val="Caption"/>
    <w:next w:val="Caption"/>
    <w:link w:val="boxesChar"/>
    <w:qFormat/>
    <w:pPr>
      <w:spacing w:line="480" w:lineRule="auto"/>
    </w:pPr>
    <w:rPr>
      <w:rFonts w:cs="Times New Roman"/>
      <w:b/>
      <w:i w:val="0"/>
      <w:iCs w:val="0"/>
      <w:color w:val="000000" w:themeColor="text1"/>
      <w:sz w:val="24"/>
      <w:szCs w:val="24"/>
    </w:rPr>
  </w:style>
  <w:style w:type="character" w:customStyle="1" w:styleId="boxesChar">
    <w:name w:val="boxes Char"/>
    <w:basedOn w:val="CaptionChar"/>
    <w:link w:val="boxes"/>
    <w:rPr>
      <w:rFonts w:ascii="Times New Roman" w:hAnsi="Times New Roman" w:cs="Times New Roman"/>
      <w:b/>
      <w:i w:val="0"/>
      <w:iCs w:val="0"/>
      <w:color w:val="000000" w:themeColor="text1"/>
      <w:sz w:val="24"/>
      <w:szCs w:val="24"/>
    </w:rPr>
  </w:style>
  <w:style w:type="paragraph" w:customStyle="1" w:styleId="fuzy">
    <w:name w:val="fuzy"/>
    <w:basedOn w:val="TableofFigures"/>
    <w:next w:val="Caption"/>
    <w:link w:val="fuzyChar"/>
    <w:qFormat/>
    <w:rsid w:val="00086F51"/>
    <w:pPr>
      <w:tabs>
        <w:tab w:val="right" w:leader="dot" w:pos="9350"/>
      </w:tabs>
    </w:pPr>
    <w:rPr>
      <w:rFonts w:cs="Times New Roman"/>
      <w:szCs w:val="24"/>
    </w:rPr>
  </w:style>
  <w:style w:type="paragraph" w:customStyle="1" w:styleId="agum">
    <w:name w:val="agum"/>
    <w:basedOn w:val="Normal"/>
    <w:next w:val="Caption"/>
    <w:link w:val="agumChar"/>
    <w:qFormat/>
    <w:rsid w:val="00E76FB4"/>
    <w:pPr>
      <w:spacing w:before="100" w:beforeAutospacing="1" w:after="100" w:afterAutospacing="1" w:line="480" w:lineRule="auto"/>
      <w:jc w:val="left"/>
    </w:pPr>
    <w:rPr>
      <w:b/>
    </w:rPr>
  </w:style>
  <w:style w:type="character" w:customStyle="1" w:styleId="TableofFiguresChar">
    <w:name w:val="Table of Figures Char"/>
    <w:basedOn w:val="DefaultParagraphFont"/>
    <w:link w:val="TableofFigures"/>
    <w:uiPriority w:val="99"/>
    <w:rsid w:val="00086F51"/>
    <w:rPr>
      <w:rFonts w:ascii="Times New Roman" w:hAnsi="Times New Roman" w:cstheme="minorHAnsi"/>
      <w:b/>
      <w:bCs/>
      <w:sz w:val="24"/>
      <w:lang w:val="en-GB"/>
    </w:rPr>
  </w:style>
  <w:style w:type="character" w:customStyle="1" w:styleId="fuzyChar">
    <w:name w:val="fuzy Char"/>
    <w:basedOn w:val="TableofFiguresChar"/>
    <w:link w:val="fuzy"/>
    <w:rsid w:val="00086F51"/>
    <w:rPr>
      <w:rFonts w:ascii="Times New Roman" w:hAnsi="Times New Roman" w:cs="Times New Roman"/>
      <w:b/>
      <w:bCs/>
      <w:sz w:val="24"/>
      <w:szCs w:val="24"/>
      <w:lang w:val="en-GB"/>
    </w:rPr>
  </w:style>
  <w:style w:type="character" w:customStyle="1" w:styleId="agumChar">
    <w:name w:val="agum Char"/>
    <w:basedOn w:val="DefaultParagraphFont"/>
    <w:link w:val="agum"/>
    <w:rsid w:val="00E76FB4"/>
    <w:rPr>
      <w:rFonts w:ascii="Times New Roman" w:hAnsi="Times New Roman"/>
      <w:b/>
      <w:sz w:val="24"/>
      <w:szCs w:val="22"/>
      <w:lang w:val="en-GB"/>
    </w:rPr>
  </w:style>
  <w:style w:type="paragraph" w:styleId="Subtitle">
    <w:name w:val="Subtitle"/>
    <w:basedOn w:val="Normal"/>
    <w:next w:val="Normal"/>
    <w:link w:val="SubtitleChar"/>
    <w:uiPriority w:val="11"/>
    <w:qFormat/>
    <w:rsid w:val="00EB51F1"/>
    <w:pPr>
      <w:numPr>
        <w:ilvl w:val="1"/>
      </w:numPr>
      <w:spacing w:after="160"/>
    </w:pPr>
    <w:rPr>
      <w:rFonts w:asciiTheme="minorHAnsi" w:eastAsiaTheme="minorEastAsia" w:hAnsiTheme="minorHAnsi"/>
      <w:color w:val="5A5A5A" w:themeColor="text1" w:themeTint="A5"/>
      <w:spacing w:val="15"/>
      <w:sz w:val="22"/>
    </w:rPr>
  </w:style>
  <w:style w:type="character" w:customStyle="1" w:styleId="SubtitleChar">
    <w:name w:val="Subtitle Char"/>
    <w:basedOn w:val="DefaultParagraphFont"/>
    <w:link w:val="Subtitle"/>
    <w:uiPriority w:val="11"/>
    <w:rsid w:val="00EB51F1"/>
    <w:rPr>
      <w:rFonts w:eastAsiaTheme="minorEastAsia"/>
      <w:color w:val="5A5A5A" w:themeColor="text1" w:themeTint="A5"/>
      <w:spacing w:val="15"/>
      <w:sz w:val="22"/>
      <w:szCs w:val="22"/>
      <w:lang w:val="en-GB"/>
    </w:rPr>
  </w:style>
  <w:style w:type="paragraph" w:customStyle="1" w:styleId="plati">
    <w:name w:val="plati"/>
    <w:basedOn w:val="Caption"/>
    <w:next w:val="Caption"/>
    <w:link w:val="platiChar"/>
    <w:qFormat/>
    <w:rsid w:val="00EB51F1"/>
    <w:rPr>
      <w:b/>
      <w:i w:val="0"/>
      <w:noProof/>
      <w:color w:val="000000" w:themeColor="text1"/>
      <w:sz w:val="24"/>
    </w:rPr>
  </w:style>
  <w:style w:type="character" w:customStyle="1" w:styleId="platiChar">
    <w:name w:val="plati Char"/>
    <w:basedOn w:val="CaptionChar"/>
    <w:link w:val="plati"/>
    <w:rsid w:val="00EB51F1"/>
    <w:rPr>
      <w:rFonts w:ascii="Times New Roman" w:hAnsi="Times New Roman"/>
      <w:b/>
      <w:i w:val="0"/>
      <w:iCs/>
      <w:noProof/>
      <w:color w:val="000000" w:themeColor="text1"/>
      <w:sz w:val="24"/>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9432071">
      <w:bodyDiv w:val="1"/>
      <w:marLeft w:val="0"/>
      <w:marRight w:val="0"/>
      <w:marTop w:val="0"/>
      <w:marBottom w:val="0"/>
      <w:divBdr>
        <w:top w:val="none" w:sz="0" w:space="0" w:color="auto"/>
        <w:left w:val="none" w:sz="0" w:space="0" w:color="auto"/>
        <w:bottom w:val="none" w:sz="0" w:space="0" w:color="auto"/>
        <w:right w:val="none" w:sz="0" w:space="0" w:color="auto"/>
      </w:divBdr>
      <w:divsChild>
        <w:div w:id="753285456">
          <w:marLeft w:val="720"/>
          <w:marRight w:val="0"/>
          <w:marTop w:val="0"/>
          <w:marBottom w:val="40"/>
          <w:divBdr>
            <w:top w:val="none" w:sz="0" w:space="0" w:color="auto"/>
            <w:left w:val="none" w:sz="0" w:space="0" w:color="auto"/>
            <w:bottom w:val="none" w:sz="0" w:space="0" w:color="auto"/>
            <w:right w:val="none" w:sz="0" w:space="0" w:color="auto"/>
          </w:divBdr>
        </w:div>
        <w:div w:id="1065421393">
          <w:marLeft w:val="720"/>
          <w:marRight w:val="0"/>
          <w:marTop w:val="0"/>
          <w:marBottom w:val="40"/>
          <w:divBdr>
            <w:top w:val="none" w:sz="0" w:space="0" w:color="auto"/>
            <w:left w:val="none" w:sz="0" w:space="0" w:color="auto"/>
            <w:bottom w:val="none" w:sz="0" w:space="0" w:color="auto"/>
            <w:right w:val="none" w:sz="0" w:space="0" w:color="auto"/>
          </w:divBdr>
        </w:div>
      </w:divsChild>
    </w:div>
    <w:div w:id="20436317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baseline="0">
                <a:solidFill>
                  <a:schemeClr val="tx1">
                    <a:lumMod val="65000"/>
                    <a:lumOff val="35000"/>
                  </a:schemeClr>
                </a:solidFill>
                <a:latin typeface="+mn-lt"/>
                <a:ea typeface="+mn-ea"/>
                <a:cs typeface="+mn-cs"/>
              </a:defRPr>
            </a:pPr>
            <a:r>
              <a:rPr lang="en-US" sz="1600" b="1" i="0" u="none" strike="noStrike" baseline="0">
                <a:effectLst/>
              </a:rPr>
              <a:t>Observations of Pastoralist Mobility</a:t>
            </a:r>
            <a:endParaRPr lang="en-US"/>
          </a:p>
        </c:rich>
      </c:tx>
      <c:overlay val="0"/>
      <c:spPr>
        <a:noFill/>
        <a:ln>
          <a:noFill/>
        </a:ln>
        <a:effectLst/>
      </c:spPr>
      <c:txPr>
        <a:bodyPr rot="0" spcFirstLastPara="1" vertOverflow="ellipsis" vert="horz" wrap="square" anchor="ctr" anchorCtr="1"/>
        <a:lstStyle/>
        <a:p>
          <a:pPr>
            <a:defRPr lang="en-US" sz="1600" b="1" i="0" u="none" strike="noStrike" kern="120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spPr>
            <a:ln w="34925" cap="rnd">
              <a:solidFill>
                <a:schemeClr val="accent1"/>
              </a:solidFill>
              <a:round/>
            </a:ln>
            <a:effectLst>
              <a:outerShdw blurRad="57150" dist="19050" dir="5400000" algn="ctr" rotWithShape="0">
                <a:srgbClr val="000000">
                  <a:alpha val="63000"/>
                </a:srgbClr>
              </a:outerShdw>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Sheet5!$A$1:$A$3</c:f>
              <c:strCache>
                <c:ptCount val="3"/>
                <c:pt idx="0">
                  <c:v>Increase</c:v>
                </c:pt>
                <c:pt idx="1">
                  <c:v>Decrease</c:v>
                </c:pt>
                <c:pt idx="2">
                  <c:v>Stable</c:v>
                </c:pt>
              </c:strCache>
            </c:strRef>
          </c:cat>
          <c:val>
            <c:numRef>
              <c:f>Sheet5!$B$1:$B$3</c:f>
              <c:numCache>
                <c:formatCode>General</c:formatCode>
                <c:ptCount val="3"/>
                <c:pt idx="0">
                  <c:v>73.33</c:v>
                </c:pt>
                <c:pt idx="1">
                  <c:v>0</c:v>
                </c:pt>
                <c:pt idx="2">
                  <c:v>26.67</c:v>
                </c:pt>
              </c:numCache>
            </c:numRef>
          </c:val>
          <c:smooth val="0"/>
          <c:extLst xmlns:c16r2="http://schemas.microsoft.com/office/drawing/2015/06/chart">
            <c:ext xmlns:c16="http://schemas.microsoft.com/office/drawing/2014/chart" uri="{C3380CC4-5D6E-409C-BE32-E72D297353CC}">
              <c16:uniqueId val="{00000000-703D-4F80-BA8E-B211D4386298}"/>
            </c:ext>
          </c:extLst>
        </c:ser>
        <c:dLbls>
          <c:showLegendKey val="0"/>
          <c:showVal val="1"/>
          <c:showCatName val="0"/>
          <c:showSerName val="0"/>
          <c:showPercent val="0"/>
          <c:showBubbleSize val="0"/>
        </c:dLbls>
        <c:smooth val="0"/>
        <c:axId val="380472824"/>
        <c:axId val="380473216"/>
      </c:lineChart>
      <c:catAx>
        <c:axId val="38047282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80473216"/>
        <c:crosses val="autoZero"/>
        <c:auto val="1"/>
        <c:lblAlgn val="ctr"/>
        <c:lblOffset val="100"/>
        <c:noMultiLvlLbl val="0"/>
      </c:catAx>
      <c:valAx>
        <c:axId val="3804732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endParaRPr lang="en-US"/>
          </a:p>
        </c:txPr>
        <c:crossAx val="380472824"/>
        <c:crosses val="autoZero"/>
        <c:crossBetween val="between"/>
      </c:valAx>
      <c:spPr>
        <a:noFill/>
        <a:ln>
          <a:noFill/>
        </a:ln>
        <a:effectLst/>
      </c:spPr>
    </c:plotArea>
    <c:plotVisOnly val="1"/>
    <c:dispBlanksAs val="gap"/>
    <c:showDLblsOverMax val="0"/>
  </c:chart>
  <c:spPr>
    <a:solidFill>
      <a:schemeClr val="bg2"/>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2">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C3168A-CB06-4B86-B15B-D1EA43FCE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6122</TotalTime>
  <Pages>193</Pages>
  <Words>156988</Words>
  <Characters>894835</Characters>
  <Application>Microsoft Office Word</Application>
  <DocSecurity>0</DocSecurity>
  <Lines>7456</Lines>
  <Paragraphs>2099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1049724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Abdul Ganiyu</dc:creator>
  <cp:keywords/>
  <dc:description/>
  <cp:lastModifiedBy>Agumba bizz</cp:lastModifiedBy>
  <cp:revision>46</cp:revision>
  <cp:lastPrinted>2024-02-16T17:39:00Z</cp:lastPrinted>
  <dcterms:created xsi:type="dcterms:W3CDTF">2024-02-16T17:31:00Z</dcterms:created>
  <dcterms:modified xsi:type="dcterms:W3CDTF">2024-04-18T22:47:00Z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Recent Style Id 0_1">
    <vt:lpwstr>http://www.zotero.org/styles/american-medical-association</vt:lpwstr>
  </property>
  <property fmtid="{D5CDD505-2E9C-101B-9397-08002B2CF9AE}" pid="4" name="Mendeley Recent Style Name 0_1">
    <vt:lpwstr>American Medical Association 11th edition</vt:lpwstr>
  </property>
  <property fmtid="{D5CDD505-2E9C-101B-9397-08002B2CF9AE}" pid="5" name="Mendeley Recent Style Id 1_1">
    <vt:lpwstr>http://www.zotero.org/styles/american-political-science-association</vt:lpwstr>
  </property>
  <property fmtid="{D5CDD505-2E9C-101B-9397-08002B2CF9AE}" pid="6" name="Mendeley Recent Style Name 1_1">
    <vt:lpwstr>American Political Science Association</vt:lpwstr>
  </property>
  <property fmtid="{D5CDD505-2E9C-101B-9397-08002B2CF9AE}" pid="7" name="Mendeley Recent Style Id 2_1">
    <vt:lpwstr>http://www.zotero.org/styles/apa</vt:lpwstr>
  </property>
  <property fmtid="{D5CDD505-2E9C-101B-9397-08002B2CF9AE}" pid="8" name="Mendeley Recent Style Name 2_1">
    <vt:lpwstr>American Psychological Association 7th edition</vt:lpwstr>
  </property>
  <property fmtid="{D5CDD505-2E9C-101B-9397-08002B2CF9AE}" pid="9" name="Mendeley Recent Style Id 3_1">
    <vt:lpwstr>http://www.zotero.org/styles/american-sociological-association</vt:lpwstr>
  </property>
  <property fmtid="{D5CDD505-2E9C-101B-9397-08002B2CF9AE}" pid="10" name="Mendeley Recent Style Name 3_1">
    <vt:lpwstr>American Sociological Association 6th edition</vt:lpwstr>
  </property>
  <property fmtid="{D5CDD505-2E9C-101B-9397-08002B2CF9AE}" pid="11" name="Mendeley Recent Style Id 4_1">
    <vt:lpwstr>http://www.zotero.org/styles/chicago-author-date</vt:lpwstr>
  </property>
  <property fmtid="{D5CDD505-2E9C-101B-9397-08002B2CF9AE}" pid="12" name="Mendeley Recent Style Name 4_1">
    <vt:lpwstr>Chicago Manual of Style 17th edition (author-date)</vt:lpwstr>
  </property>
  <property fmtid="{D5CDD505-2E9C-101B-9397-08002B2CF9AE}" pid="13" name="Mendeley Recent Style Id 5_1">
    <vt:lpwstr>http://www.zotero.org/styles/harvard-cite-them-right</vt:lpwstr>
  </property>
  <property fmtid="{D5CDD505-2E9C-101B-9397-08002B2CF9AE}" pid="14" name="Mendeley Recent Style Name 5_1">
    <vt:lpwstr>Cite Them Right 12th edition - Harvard</vt:lpwstr>
  </property>
  <property fmtid="{D5CDD505-2E9C-101B-9397-08002B2CF9AE}" pid="15" name="Mendeley Recent Style Id 6_1">
    <vt:lpwstr>http://www.zotero.org/styles/ieee</vt:lpwstr>
  </property>
  <property fmtid="{D5CDD505-2E9C-101B-9397-08002B2CF9AE}" pid="16" name="Mendeley Recent Style Name 6_1">
    <vt:lpwstr>IEEE</vt:lpwstr>
  </property>
  <property fmtid="{D5CDD505-2E9C-101B-9397-08002B2CF9AE}" pid="17" name="Mendeley Recent Style Id 7_1">
    <vt:lpwstr>http://www.zotero.org/styles/modern-humanities-research-association</vt:lpwstr>
  </property>
  <property fmtid="{D5CDD505-2E9C-101B-9397-08002B2CF9AE}" pid="18" name="Mendeley Recent Style Name 7_1">
    <vt:lpwstr>Modern Humanities Research Association 3rd edition (note with bibliography)</vt:lpwstr>
  </property>
  <property fmtid="{D5CDD505-2E9C-101B-9397-08002B2CF9AE}" pid="19" name="Mendeley Recent Style Id 8_1">
    <vt:lpwstr>http://www.zotero.org/styles/modern-language-association</vt:lpwstr>
  </property>
  <property fmtid="{D5CDD505-2E9C-101B-9397-08002B2CF9AE}" pid="20" name="Mendeley Recent Style Name 8_1">
    <vt:lpwstr>Modern Language Association 9th edition</vt:lpwstr>
  </property>
  <property fmtid="{D5CDD505-2E9C-101B-9397-08002B2CF9AE}" pid="21" name="Mendeley Recent Style Id 9_1">
    <vt:lpwstr>http://www.zotero.org/styles/nature</vt:lpwstr>
  </property>
  <property fmtid="{D5CDD505-2E9C-101B-9397-08002B2CF9AE}" pid="22" name="Mendeley Recent Style Name 9_1">
    <vt:lpwstr>Nature</vt:lpwstr>
  </property>
  <property fmtid="{D5CDD505-2E9C-101B-9397-08002B2CF9AE}" pid="23" name="Mendeley Unique User Id_1">
    <vt:lpwstr>cd18fb99-a782-3f4d-8c8d-96c82b38b3b9</vt:lpwstr>
  </property>
  <property fmtid="{D5CDD505-2E9C-101B-9397-08002B2CF9AE}" pid="24" name="Mendeley Citation Style_1">
    <vt:lpwstr>http://www.zotero.org/styles/apa</vt:lpwstr>
  </property>
  <property fmtid="{D5CDD505-2E9C-101B-9397-08002B2CF9AE}" pid="25" name="GrammarlyDocumentId">
    <vt:lpwstr>3a125b5bc9754508d28a03b548156219e9c03d6b6abbd1ae944bfb0ff3175bec</vt:lpwstr>
  </property>
  <property fmtid="{D5CDD505-2E9C-101B-9397-08002B2CF9AE}" pid="26" name="KSOProductBuildVer">
    <vt:lpwstr>1033-12.2.0.13489</vt:lpwstr>
  </property>
  <property fmtid="{D5CDD505-2E9C-101B-9397-08002B2CF9AE}" pid="27" name="ICV">
    <vt:lpwstr>197BBE0D6C394105A602D37BD3E07291_12</vt:lpwstr>
  </property>
</Properties>
</file>