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22827A" w14:textId="2EA07CB9" w:rsidR="00CD3724" w:rsidRPr="00A05FC5" w:rsidRDefault="00A05FC5" w:rsidP="00DD112B">
      <w:pPr>
        <w:spacing w:line="480" w:lineRule="auto"/>
        <w:jc w:val="center"/>
        <w:rPr>
          <w:rFonts w:ascii="Times New Roman" w:hAnsi="Times New Roman" w:cs="Times New Roman"/>
          <w:b/>
          <w:bCs/>
          <w:sz w:val="24"/>
          <w:szCs w:val="24"/>
        </w:rPr>
      </w:pPr>
      <w:r w:rsidRPr="00A05FC5">
        <w:rPr>
          <w:rFonts w:asciiTheme="majorBidi" w:hAnsiTheme="majorBidi" w:cstheme="majorBidi"/>
          <w:b/>
          <w:color w:val="000000" w:themeColor="text1"/>
          <w:sz w:val="24"/>
          <w:szCs w:val="24"/>
        </w:rPr>
        <w:t>SIMON DIEDONG DOMBO UNIVERSITY OF BUSINESS AND INTEGRATED DEVELOPMENT STUDIES</w:t>
      </w:r>
      <w:r w:rsidRPr="00A05FC5">
        <w:rPr>
          <w:rFonts w:ascii="Times New Roman" w:hAnsi="Times New Roman" w:cs="Times New Roman"/>
          <w:b/>
          <w:bCs/>
          <w:sz w:val="24"/>
          <w:szCs w:val="24"/>
        </w:rPr>
        <w:t xml:space="preserve"> </w:t>
      </w:r>
      <w:r w:rsidR="00CD3724" w:rsidRPr="00A05FC5">
        <w:rPr>
          <w:rFonts w:ascii="Times New Roman" w:hAnsi="Times New Roman" w:cs="Times New Roman"/>
          <w:b/>
          <w:bCs/>
          <w:sz w:val="24"/>
          <w:szCs w:val="24"/>
        </w:rPr>
        <w:t>- WA (UBIDS)</w:t>
      </w:r>
    </w:p>
    <w:p w14:paraId="3BF469DF" w14:textId="77777777" w:rsidR="00CD3724" w:rsidRPr="00E2630C" w:rsidRDefault="00CD3724" w:rsidP="00CD3724">
      <w:pPr>
        <w:spacing w:after="0" w:line="480" w:lineRule="auto"/>
        <w:jc w:val="both"/>
        <w:rPr>
          <w:rFonts w:ascii="Times New Roman" w:hAnsi="Times New Roman" w:cs="Times New Roman"/>
          <w:b/>
          <w:bCs/>
          <w:color w:val="000000" w:themeColor="text1"/>
          <w:sz w:val="24"/>
          <w:szCs w:val="24"/>
        </w:rPr>
      </w:pPr>
    </w:p>
    <w:p w14:paraId="2A8E6B0D" w14:textId="77777777" w:rsidR="00CD3724" w:rsidRPr="00E2630C" w:rsidRDefault="00CD3724" w:rsidP="00E2630C">
      <w:pPr>
        <w:spacing w:before="100" w:beforeAutospacing="1" w:after="100" w:afterAutospacing="1" w:line="480" w:lineRule="auto"/>
        <w:jc w:val="center"/>
        <w:rPr>
          <w:rFonts w:ascii="Times New Roman" w:hAnsi="Times New Roman" w:cs="Times New Roman"/>
          <w:b/>
          <w:bCs/>
          <w:color w:val="000000" w:themeColor="text1"/>
          <w:sz w:val="24"/>
          <w:szCs w:val="24"/>
          <w:lang w:val="en-US"/>
        </w:rPr>
      </w:pPr>
    </w:p>
    <w:p w14:paraId="34AD9FCD" w14:textId="77777777"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p>
    <w:p w14:paraId="03D8394B" w14:textId="77777777"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p>
    <w:p w14:paraId="191AA01B" w14:textId="424E3C04" w:rsidR="00CD3724" w:rsidRPr="00E2630C" w:rsidRDefault="00B85F6F" w:rsidP="00CD3724">
      <w:pPr>
        <w:spacing w:line="480" w:lineRule="auto"/>
        <w:jc w:val="center"/>
        <w:rPr>
          <w:rFonts w:ascii="Times New Roman" w:hAnsi="Times New Roman" w:cs="Times New Roman"/>
          <w:b/>
          <w:bCs/>
          <w:color w:val="000000" w:themeColor="text1"/>
          <w:sz w:val="24"/>
          <w:szCs w:val="24"/>
          <w:lang w:val="en-US"/>
        </w:rPr>
      </w:pPr>
      <w:r w:rsidRPr="00E2630C">
        <w:rPr>
          <w:rFonts w:ascii="Times New Roman" w:hAnsi="Times New Roman" w:cs="Times New Roman"/>
          <w:b/>
          <w:bCs/>
          <w:color w:val="000000" w:themeColor="text1"/>
          <w:sz w:val="24"/>
          <w:szCs w:val="24"/>
        </w:rPr>
        <w:t xml:space="preserve">CHIEFTAINCY </w:t>
      </w:r>
      <w:r w:rsidR="00CD3724" w:rsidRPr="00E2630C">
        <w:rPr>
          <w:rFonts w:ascii="Times New Roman" w:hAnsi="Times New Roman" w:cs="Times New Roman"/>
          <w:b/>
          <w:bCs/>
          <w:color w:val="000000" w:themeColor="text1"/>
          <w:sz w:val="24"/>
          <w:szCs w:val="24"/>
        </w:rPr>
        <w:t xml:space="preserve">CONFLICTS </w:t>
      </w:r>
      <w:r w:rsidR="00524BFA" w:rsidRPr="00E2630C">
        <w:rPr>
          <w:rFonts w:ascii="Times New Roman" w:hAnsi="Times New Roman" w:cs="Times New Roman"/>
          <w:b/>
          <w:bCs/>
          <w:color w:val="000000" w:themeColor="text1"/>
          <w:sz w:val="24"/>
          <w:szCs w:val="24"/>
        </w:rPr>
        <w:t xml:space="preserve">AND </w:t>
      </w:r>
      <w:r w:rsidR="00CD3724" w:rsidRPr="00E2630C">
        <w:rPr>
          <w:rFonts w:ascii="Times New Roman" w:hAnsi="Times New Roman" w:cs="Times New Roman"/>
          <w:b/>
          <w:bCs/>
          <w:color w:val="000000" w:themeColor="text1"/>
          <w:sz w:val="24"/>
          <w:szCs w:val="24"/>
        </w:rPr>
        <w:t>HUMAN SECURITY</w:t>
      </w:r>
      <w:r w:rsidR="00524BFA" w:rsidRPr="00E2630C">
        <w:rPr>
          <w:rFonts w:ascii="Times New Roman" w:hAnsi="Times New Roman" w:cs="Times New Roman"/>
          <w:b/>
          <w:bCs/>
          <w:color w:val="000000" w:themeColor="text1"/>
          <w:sz w:val="24"/>
          <w:szCs w:val="24"/>
        </w:rPr>
        <w:t xml:space="preserve"> IMPLICATIONS</w:t>
      </w:r>
      <w:r w:rsidR="00CD3724" w:rsidRPr="00E2630C">
        <w:rPr>
          <w:rFonts w:ascii="Times New Roman" w:hAnsi="Times New Roman" w:cs="Times New Roman"/>
          <w:b/>
          <w:bCs/>
          <w:color w:val="000000" w:themeColor="text1"/>
          <w:sz w:val="24"/>
          <w:szCs w:val="24"/>
        </w:rPr>
        <w:t xml:space="preserve">: THE </w:t>
      </w:r>
      <w:r w:rsidR="00524BFA" w:rsidRPr="00E2630C">
        <w:rPr>
          <w:rFonts w:ascii="Times New Roman" w:hAnsi="Times New Roman" w:cs="Times New Roman"/>
          <w:b/>
          <w:bCs/>
          <w:color w:val="000000" w:themeColor="text1"/>
          <w:sz w:val="24"/>
          <w:szCs w:val="24"/>
        </w:rPr>
        <w:t xml:space="preserve">CASE OF THE </w:t>
      </w:r>
      <w:r w:rsidR="00CD3724" w:rsidRPr="00E2630C">
        <w:rPr>
          <w:rFonts w:ascii="Times New Roman" w:hAnsi="Times New Roman" w:cs="Times New Roman"/>
          <w:b/>
          <w:bCs/>
          <w:color w:val="000000" w:themeColor="text1"/>
          <w:sz w:val="24"/>
          <w:szCs w:val="24"/>
        </w:rPr>
        <w:t>BIMBILLA CHIEFTAINCY CONFLICT IN GHANA</w:t>
      </w:r>
      <w:r w:rsidR="00CD3724" w:rsidRPr="00E2630C">
        <w:rPr>
          <w:rFonts w:ascii="Times New Roman" w:hAnsi="Times New Roman" w:cs="Times New Roman"/>
          <w:b/>
          <w:bCs/>
          <w:color w:val="000000" w:themeColor="text1"/>
          <w:sz w:val="24"/>
          <w:szCs w:val="24"/>
          <w:lang w:val="en-US"/>
        </w:rPr>
        <w:t xml:space="preserve"> </w:t>
      </w:r>
    </w:p>
    <w:p w14:paraId="2D7CE594" w14:textId="77777777"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p>
    <w:p w14:paraId="2B803A54" w14:textId="77777777"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p>
    <w:p w14:paraId="714A8101" w14:textId="77777777"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p>
    <w:p w14:paraId="5243F10F" w14:textId="77777777"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p>
    <w:p w14:paraId="2BFE5F4C" w14:textId="722C3BC4" w:rsidR="00CD3724" w:rsidRPr="00E2630C" w:rsidRDefault="00CD3724" w:rsidP="00E86A4A">
      <w:pPr>
        <w:spacing w:line="480" w:lineRule="auto"/>
        <w:jc w:val="center"/>
        <w:rPr>
          <w:rFonts w:ascii="Times New Roman" w:hAnsi="Times New Roman" w:cs="Times New Roman"/>
          <w:b/>
          <w:bCs/>
          <w:color w:val="000000" w:themeColor="text1"/>
          <w:sz w:val="24"/>
          <w:szCs w:val="24"/>
          <w:lang w:val="en-US"/>
        </w:rPr>
      </w:pPr>
      <w:r w:rsidRPr="00E2630C">
        <w:rPr>
          <w:rFonts w:ascii="Times New Roman" w:hAnsi="Times New Roman" w:cs="Times New Roman"/>
          <w:b/>
          <w:bCs/>
          <w:color w:val="000000" w:themeColor="text1"/>
          <w:sz w:val="24"/>
          <w:szCs w:val="24"/>
          <w:lang w:val="en-US"/>
        </w:rPr>
        <w:t xml:space="preserve">MOHAMMED HAMZA </w:t>
      </w:r>
    </w:p>
    <w:p w14:paraId="332724C0" w14:textId="77777777" w:rsidR="00E86A4A" w:rsidRPr="00E2630C" w:rsidRDefault="00E86A4A" w:rsidP="00CD3724">
      <w:pPr>
        <w:spacing w:line="480" w:lineRule="auto"/>
        <w:jc w:val="center"/>
        <w:rPr>
          <w:rFonts w:ascii="Times New Roman" w:hAnsi="Times New Roman" w:cs="Times New Roman"/>
          <w:b/>
          <w:bCs/>
          <w:color w:val="000000" w:themeColor="text1"/>
          <w:sz w:val="24"/>
          <w:szCs w:val="24"/>
          <w:lang w:val="en-US"/>
        </w:rPr>
      </w:pPr>
    </w:p>
    <w:p w14:paraId="42057F93" w14:textId="77777777" w:rsidR="00E86A4A" w:rsidRPr="00E2630C" w:rsidRDefault="00E86A4A" w:rsidP="00CD3724">
      <w:pPr>
        <w:spacing w:line="480" w:lineRule="auto"/>
        <w:jc w:val="center"/>
        <w:rPr>
          <w:rFonts w:ascii="Times New Roman" w:hAnsi="Times New Roman" w:cs="Times New Roman"/>
          <w:b/>
          <w:bCs/>
          <w:color w:val="000000" w:themeColor="text1"/>
          <w:sz w:val="24"/>
          <w:szCs w:val="24"/>
          <w:lang w:val="en-US"/>
        </w:rPr>
      </w:pPr>
    </w:p>
    <w:p w14:paraId="4C85F5D0" w14:textId="77777777" w:rsidR="00E86A4A" w:rsidRPr="00E2630C" w:rsidRDefault="00E86A4A" w:rsidP="00CD3724">
      <w:pPr>
        <w:spacing w:line="480" w:lineRule="auto"/>
        <w:jc w:val="center"/>
        <w:rPr>
          <w:rFonts w:ascii="Times New Roman" w:hAnsi="Times New Roman" w:cs="Times New Roman"/>
          <w:b/>
          <w:bCs/>
          <w:color w:val="000000" w:themeColor="text1"/>
          <w:sz w:val="24"/>
          <w:szCs w:val="24"/>
          <w:lang w:val="en-US"/>
        </w:rPr>
      </w:pPr>
    </w:p>
    <w:p w14:paraId="72307C13" w14:textId="77777777" w:rsidR="00E86A4A" w:rsidRPr="00E2630C" w:rsidRDefault="00E86A4A" w:rsidP="00CD3724">
      <w:pPr>
        <w:spacing w:line="480" w:lineRule="auto"/>
        <w:jc w:val="center"/>
        <w:rPr>
          <w:rFonts w:ascii="Times New Roman" w:hAnsi="Times New Roman" w:cs="Times New Roman"/>
          <w:b/>
          <w:bCs/>
          <w:color w:val="000000" w:themeColor="text1"/>
          <w:sz w:val="24"/>
          <w:szCs w:val="24"/>
          <w:lang w:val="en-US"/>
        </w:rPr>
      </w:pPr>
    </w:p>
    <w:p w14:paraId="4EEC1060" w14:textId="5445F24C" w:rsidR="00E86A4A" w:rsidRDefault="00E86A4A" w:rsidP="00CD3724">
      <w:pPr>
        <w:spacing w:line="480" w:lineRule="auto"/>
        <w:jc w:val="center"/>
        <w:rPr>
          <w:rFonts w:ascii="Times New Roman" w:hAnsi="Times New Roman" w:cs="Times New Roman"/>
          <w:b/>
          <w:bCs/>
          <w:color w:val="000000" w:themeColor="text1"/>
          <w:sz w:val="24"/>
          <w:szCs w:val="24"/>
          <w:lang w:val="en-US"/>
        </w:rPr>
      </w:pPr>
    </w:p>
    <w:p w14:paraId="589AA28D" w14:textId="7C226791"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r w:rsidRPr="00E2630C">
        <w:rPr>
          <w:rFonts w:ascii="Times New Roman" w:hAnsi="Times New Roman" w:cs="Times New Roman"/>
          <w:b/>
          <w:bCs/>
          <w:color w:val="000000" w:themeColor="text1"/>
          <w:sz w:val="24"/>
          <w:szCs w:val="24"/>
          <w:lang w:val="en-US"/>
        </w:rPr>
        <w:t>2024</w:t>
      </w:r>
    </w:p>
    <w:p w14:paraId="3F5AE10D" w14:textId="77777777" w:rsidR="00CD3724" w:rsidRPr="00E2630C" w:rsidRDefault="00CD3724" w:rsidP="00CD3724">
      <w:pPr>
        <w:spacing w:after="0" w:line="480" w:lineRule="auto"/>
        <w:jc w:val="center"/>
        <w:rPr>
          <w:rFonts w:ascii="Times New Roman" w:hAnsi="Times New Roman" w:cs="Times New Roman"/>
          <w:b/>
          <w:bCs/>
          <w:color w:val="000000" w:themeColor="text1"/>
          <w:sz w:val="24"/>
          <w:szCs w:val="24"/>
        </w:rPr>
        <w:sectPr w:rsidR="00CD3724" w:rsidRPr="00E2630C" w:rsidSect="00E2630C">
          <w:footerReference w:type="default" r:id="rId8"/>
          <w:type w:val="continuous"/>
          <w:pgSz w:w="11906" w:h="16838" w:code="9"/>
          <w:pgMar w:top="1440" w:right="1440" w:bottom="1440" w:left="2160" w:header="706" w:footer="706" w:gutter="0"/>
          <w:pgNumType w:fmt="lowerRoman"/>
          <w:cols w:space="708"/>
          <w:titlePg/>
          <w:docGrid w:linePitch="360"/>
        </w:sectPr>
      </w:pPr>
    </w:p>
    <w:p w14:paraId="1C7883CB" w14:textId="1BB842EA" w:rsidR="00CD3724" w:rsidRPr="00A05FC5" w:rsidRDefault="00A05FC5" w:rsidP="00CD3724">
      <w:pPr>
        <w:spacing w:after="0" w:line="480" w:lineRule="auto"/>
        <w:jc w:val="center"/>
        <w:rPr>
          <w:rFonts w:ascii="Times New Roman" w:hAnsi="Times New Roman" w:cs="Times New Roman"/>
          <w:b/>
          <w:bCs/>
          <w:color w:val="000000" w:themeColor="text1"/>
          <w:sz w:val="24"/>
          <w:szCs w:val="24"/>
        </w:rPr>
      </w:pPr>
      <w:r w:rsidRPr="00A05FC5">
        <w:rPr>
          <w:rFonts w:asciiTheme="majorBidi" w:hAnsiTheme="majorBidi" w:cstheme="majorBidi"/>
          <w:b/>
          <w:color w:val="000000" w:themeColor="text1"/>
          <w:sz w:val="24"/>
          <w:szCs w:val="24"/>
        </w:rPr>
        <w:lastRenderedPageBreak/>
        <w:t>SIMON DIEDONG DOMBO UNIVERSITY OF BUSINESS AND INTEGRATED DEVELOPMENT STUDIES</w:t>
      </w:r>
      <w:r w:rsidRPr="00A05FC5">
        <w:rPr>
          <w:rFonts w:ascii="Times New Roman" w:hAnsi="Times New Roman" w:cs="Times New Roman"/>
          <w:b/>
          <w:bCs/>
          <w:color w:val="000000" w:themeColor="text1"/>
          <w:sz w:val="24"/>
          <w:szCs w:val="24"/>
        </w:rPr>
        <w:t xml:space="preserve"> </w:t>
      </w:r>
      <w:r w:rsidR="00CD3724" w:rsidRPr="00A05FC5">
        <w:rPr>
          <w:rFonts w:ascii="Times New Roman" w:hAnsi="Times New Roman" w:cs="Times New Roman"/>
          <w:b/>
          <w:bCs/>
          <w:color w:val="000000" w:themeColor="text1"/>
          <w:sz w:val="24"/>
          <w:szCs w:val="24"/>
        </w:rPr>
        <w:t>- WA</w:t>
      </w:r>
    </w:p>
    <w:p w14:paraId="5664D4F1" w14:textId="77777777" w:rsidR="00CD3724" w:rsidRPr="00E2630C" w:rsidRDefault="00CD3724" w:rsidP="00CD3724">
      <w:pPr>
        <w:spacing w:after="0" w:line="480" w:lineRule="auto"/>
        <w:jc w:val="both"/>
        <w:rPr>
          <w:rFonts w:ascii="Times New Roman" w:hAnsi="Times New Roman" w:cs="Times New Roman"/>
          <w:b/>
          <w:bCs/>
          <w:color w:val="000000" w:themeColor="text1"/>
          <w:sz w:val="24"/>
          <w:szCs w:val="24"/>
        </w:rPr>
      </w:pPr>
    </w:p>
    <w:p w14:paraId="754A055A" w14:textId="77777777"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p>
    <w:p w14:paraId="33BC4BCD" w14:textId="77777777" w:rsidR="00CD3724" w:rsidRPr="00E2630C" w:rsidRDefault="00524BFA" w:rsidP="00CD3724">
      <w:pPr>
        <w:spacing w:line="480" w:lineRule="auto"/>
        <w:jc w:val="center"/>
        <w:rPr>
          <w:rFonts w:ascii="Times New Roman" w:hAnsi="Times New Roman" w:cs="Times New Roman"/>
          <w:b/>
          <w:bCs/>
          <w:color w:val="000000" w:themeColor="text1"/>
          <w:sz w:val="24"/>
          <w:szCs w:val="24"/>
          <w:lang w:val="en-US"/>
        </w:rPr>
      </w:pPr>
      <w:r w:rsidRPr="00E2630C">
        <w:rPr>
          <w:rFonts w:ascii="Times New Roman" w:hAnsi="Times New Roman" w:cs="Times New Roman"/>
          <w:b/>
          <w:bCs/>
          <w:color w:val="000000" w:themeColor="text1"/>
          <w:sz w:val="24"/>
          <w:szCs w:val="24"/>
        </w:rPr>
        <w:t>CHIEFTAINCY CONFLICTS A</w:t>
      </w:r>
      <w:r w:rsidR="00CD3724" w:rsidRPr="00E2630C">
        <w:rPr>
          <w:rFonts w:ascii="Times New Roman" w:hAnsi="Times New Roman" w:cs="Times New Roman"/>
          <w:b/>
          <w:bCs/>
          <w:color w:val="000000" w:themeColor="text1"/>
          <w:sz w:val="24"/>
          <w:szCs w:val="24"/>
        </w:rPr>
        <w:t>N</w:t>
      </w:r>
      <w:r w:rsidRPr="00E2630C">
        <w:rPr>
          <w:rFonts w:ascii="Times New Roman" w:hAnsi="Times New Roman" w:cs="Times New Roman"/>
          <w:b/>
          <w:bCs/>
          <w:color w:val="000000" w:themeColor="text1"/>
          <w:sz w:val="24"/>
          <w:szCs w:val="24"/>
        </w:rPr>
        <w:t>D</w:t>
      </w:r>
      <w:r w:rsidR="00CD3724" w:rsidRPr="00E2630C">
        <w:rPr>
          <w:rFonts w:ascii="Times New Roman" w:hAnsi="Times New Roman" w:cs="Times New Roman"/>
          <w:b/>
          <w:bCs/>
          <w:color w:val="000000" w:themeColor="text1"/>
          <w:sz w:val="24"/>
          <w:szCs w:val="24"/>
        </w:rPr>
        <w:t xml:space="preserve"> HUMAN SECURITY</w:t>
      </w:r>
      <w:r w:rsidRPr="00E2630C">
        <w:rPr>
          <w:rFonts w:ascii="Times New Roman" w:hAnsi="Times New Roman" w:cs="Times New Roman"/>
          <w:b/>
          <w:bCs/>
          <w:color w:val="000000" w:themeColor="text1"/>
          <w:sz w:val="24"/>
          <w:szCs w:val="24"/>
        </w:rPr>
        <w:t xml:space="preserve"> </w:t>
      </w:r>
      <w:r w:rsidR="00BE29E0" w:rsidRPr="00E2630C">
        <w:rPr>
          <w:rFonts w:ascii="Times New Roman" w:hAnsi="Times New Roman" w:cs="Times New Roman"/>
          <w:b/>
          <w:bCs/>
          <w:color w:val="000000" w:themeColor="text1"/>
          <w:sz w:val="24"/>
          <w:szCs w:val="24"/>
        </w:rPr>
        <w:t>IMPLICATIONS</w:t>
      </w:r>
      <w:r w:rsidR="00CD3724" w:rsidRPr="00E2630C">
        <w:rPr>
          <w:rFonts w:ascii="Times New Roman" w:hAnsi="Times New Roman" w:cs="Times New Roman"/>
          <w:b/>
          <w:bCs/>
          <w:color w:val="000000" w:themeColor="text1"/>
          <w:sz w:val="24"/>
          <w:szCs w:val="24"/>
        </w:rPr>
        <w:t xml:space="preserve">: </w:t>
      </w:r>
      <w:r w:rsidR="00BE29E0" w:rsidRPr="00E2630C">
        <w:rPr>
          <w:rFonts w:ascii="Times New Roman" w:hAnsi="Times New Roman" w:cs="Times New Roman"/>
          <w:b/>
          <w:bCs/>
          <w:color w:val="000000" w:themeColor="text1"/>
          <w:sz w:val="24"/>
          <w:szCs w:val="24"/>
        </w:rPr>
        <w:t xml:space="preserve">THE CASE OF </w:t>
      </w:r>
      <w:r w:rsidR="00CD3724" w:rsidRPr="00E2630C">
        <w:rPr>
          <w:rFonts w:ascii="Times New Roman" w:hAnsi="Times New Roman" w:cs="Times New Roman"/>
          <w:b/>
          <w:bCs/>
          <w:color w:val="000000" w:themeColor="text1"/>
          <w:sz w:val="24"/>
          <w:szCs w:val="24"/>
        </w:rPr>
        <w:t>THE BIMBILLA CHIEFTAINCY CONFLICT IN GHANA</w:t>
      </w:r>
      <w:r w:rsidR="00CD3724" w:rsidRPr="00E2630C">
        <w:rPr>
          <w:rFonts w:ascii="Times New Roman" w:hAnsi="Times New Roman" w:cs="Times New Roman"/>
          <w:b/>
          <w:bCs/>
          <w:color w:val="000000" w:themeColor="text1"/>
          <w:sz w:val="24"/>
          <w:szCs w:val="24"/>
          <w:lang w:val="en-US"/>
        </w:rPr>
        <w:t xml:space="preserve"> </w:t>
      </w:r>
    </w:p>
    <w:p w14:paraId="59B4C5EC" w14:textId="77777777"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p>
    <w:p w14:paraId="0719CF65" w14:textId="77777777"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r w:rsidRPr="00E2630C">
        <w:rPr>
          <w:rFonts w:ascii="Times New Roman" w:hAnsi="Times New Roman" w:cs="Times New Roman"/>
          <w:b/>
          <w:bCs/>
          <w:color w:val="000000" w:themeColor="text1"/>
          <w:sz w:val="24"/>
          <w:szCs w:val="24"/>
          <w:lang w:val="en-US"/>
        </w:rPr>
        <w:t>BY</w:t>
      </w:r>
    </w:p>
    <w:p w14:paraId="0436154F" w14:textId="77777777"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r w:rsidRPr="00E2630C">
        <w:rPr>
          <w:rFonts w:ascii="Times New Roman" w:hAnsi="Times New Roman" w:cs="Times New Roman"/>
          <w:b/>
          <w:bCs/>
          <w:color w:val="000000" w:themeColor="text1"/>
          <w:sz w:val="24"/>
          <w:szCs w:val="24"/>
          <w:lang w:val="en-US"/>
        </w:rPr>
        <w:t xml:space="preserve">MOHAMMED HAMZA </w:t>
      </w:r>
    </w:p>
    <w:p w14:paraId="29DC3358" w14:textId="75FB66F9" w:rsidR="00CD3724" w:rsidRPr="00E2630C" w:rsidRDefault="00CD3724" w:rsidP="00CD3724">
      <w:pPr>
        <w:spacing w:line="480" w:lineRule="auto"/>
        <w:jc w:val="center"/>
        <w:rPr>
          <w:rFonts w:ascii="Times New Roman" w:hAnsi="Times New Roman" w:cs="Times New Roman"/>
          <w:b/>
          <w:bCs/>
          <w:color w:val="000000" w:themeColor="text1"/>
          <w:sz w:val="24"/>
          <w:szCs w:val="24"/>
          <w:lang w:val="en-US"/>
        </w:rPr>
      </w:pPr>
      <w:r w:rsidRPr="00E2630C">
        <w:rPr>
          <w:rFonts w:ascii="Times New Roman" w:hAnsi="Times New Roman" w:cs="Times New Roman"/>
          <w:b/>
          <w:bCs/>
          <w:color w:val="000000" w:themeColor="text1"/>
          <w:sz w:val="24"/>
          <w:szCs w:val="24"/>
          <w:lang w:val="en-US"/>
        </w:rPr>
        <w:t>(PG</w:t>
      </w:r>
      <w:r w:rsidR="00A05FC5">
        <w:rPr>
          <w:rFonts w:ascii="Times New Roman" w:hAnsi="Times New Roman" w:cs="Times New Roman"/>
          <w:b/>
          <w:bCs/>
          <w:color w:val="000000" w:themeColor="text1"/>
          <w:sz w:val="24"/>
          <w:szCs w:val="24"/>
          <w:lang w:val="en-US"/>
        </w:rPr>
        <w:t>0002521</w:t>
      </w:r>
      <w:r w:rsidRPr="00E2630C">
        <w:rPr>
          <w:rFonts w:ascii="Times New Roman" w:hAnsi="Times New Roman" w:cs="Times New Roman"/>
          <w:b/>
          <w:bCs/>
          <w:color w:val="000000" w:themeColor="text1"/>
          <w:sz w:val="24"/>
          <w:szCs w:val="24"/>
          <w:lang w:val="en-US"/>
        </w:rPr>
        <w:t>)</w:t>
      </w:r>
    </w:p>
    <w:p w14:paraId="7FAA80EB" w14:textId="77777777" w:rsidR="00CD3724" w:rsidRPr="00E2630C" w:rsidRDefault="00CD3724" w:rsidP="00D815BB">
      <w:pPr>
        <w:spacing w:line="480" w:lineRule="auto"/>
        <w:rPr>
          <w:rFonts w:ascii="Times New Roman" w:hAnsi="Times New Roman" w:cs="Times New Roman"/>
          <w:b/>
          <w:bCs/>
          <w:color w:val="000000" w:themeColor="text1"/>
          <w:sz w:val="24"/>
          <w:szCs w:val="24"/>
          <w:lang w:val="en-US"/>
        </w:rPr>
      </w:pPr>
    </w:p>
    <w:p w14:paraId="4B20C24A" w14:textId="6CDCF42F" w:rsidR="00CD3724" w:rsidRPr="00A05FC5" w:rsidRDefault="00CD3724" w:rsidP="00CD3724">
      <w:pPr>
        <w:spacing w:line="480" w:lineRule="auto"/>
        <w:jc w:val="center"/>
        <w:rPr>
          <w:rFonts w:ascii="Times New Roman" w:hAnsi="Times New Roman" w:cs="Times New Roman"/>
          <w:b/>
          <w:bCs/>
          <w:color w:val="000000" w:themeColor="text1"/>
          <w:sz w:val="24"/>
          <w:szCs w:val="24"/>
          <w:lang w:val="en-US"/>
        </w:rPr>
      </w:pPr>
      <w:r w:rsidRPr="00A05FC5">
        <w:rPr>
          <w:rFonts w:ascii="Times New Roman" w:hAnsi="Times New Roman" w:cs="Times New Roman"/>
          <w:b/>
          <w:bCs/>
          <w:color w:val="000000" w:themeColor="text1"/>
          <w:sz w:val="24"/>
          <w:szCs w:val="24"/>
          <w:lang w:val="en-US"/>
        </w:rPr>
        <w:t xml:space="preserve">THESIS SUBMITTED TO THE DEPARTMENT </w:t>
      </w:r>
      <w:r w:rsidR="00276CF3">
        <w:rPr>
          <w:rFonts w:ascii="Times New Roman" w:hAnsi="Times New Roman" w:cs="Times New Roman"/>
          <w:b/>
          <w:bCs/>
          <w:color w:val="000000" w:themeColor="text1"/>
          <w:sz w:val="24"/>
          <w:szCs w:val="24"/>
          <w:lang w:val="en-US"/>
        </w:rPr>
        <w:t>OF</w:t>
      </w:r>
      <w:r w:rsidRPr="00A05FC5">
        <w:rPr>
          <w:rFonts w:ascii="Times New Roman" w:hAnsi="Times New Roman" w:cs="Times New Roman"/>
          <w:b/>
          <w:bCs/>
          <w:color w:val="000000" w:themeColor="text1"/>
          <w:sz w:val="24"/>
          <w:szCs w:val="24"/>
          <w:lang w:val="en-US"/>
        </w:rPr>
        <w:t xml:space="preserve"> DEVELOPMENT ST</w:t>
      </w:r>
      <w:r w:rsidR="00276CF3">
        <w:rPr>
          <w:rFonts w:ascii="Times New Roman" w:hAnsi="Times New Roman" w:cs="Times New Roman"/>
          <w:b/>
          <w:bCs/>
          <w:color w:val="000000" w:themeColor="text1"/>
          <w:sz w:val="24"/>
          <w:szCs w:val="24"/>
          <w:lang w:val="en-US"/>
        </w:rPr>
        <w:t>U</w:t>
      </w:r>
      <w:r w:rsidRPr="00A05FC5">
        <w:rPr>
          <w:rFonts w:ascii="Times New Roman" w:hAnsi="Times New Roman" w:cs="Times New Roman"/>
          <w:b/>
          <w:bCs/>
          <w:color w:val="000000" w:themeColor="text1"/>
          <w:sz w:val="24"/>
          <w:szCs w:val="24"/>
          <w:lang w:val="en-US"/>
        </w:rPr>
        <w:t xml:space="preserve">DIES, FACULTY OF INTEGRATED DEVELOPMENT </w:t>
      </w:r>
      <w:r w:rsidR="00E2630C" w:rsidRPr="00A05FC5">
        <w:rPr>
          <w:rFonts w:ascii="Times New Roman" w:hAnsi="Times New Roman" w:cs="Times New Roman"/>
          <w:b/>
          <w:bCs/>
          <w:color w:val="000000" w:themeColor="text1"/>
          <w:sz w:val="24"/>
          <w:szCs w:val="24"/>
          <w:lang w:val="en-US"/>
        </w:rPr>
        <w:t xml:space="preserve">STUDIES,  </w:t>
      </w:r>
      <w:r w:rsidRPr="00A05FC5">
        <w:rPr>
          <w:rFonts w:ascii="Times New Roman" w:hAnsi="Times New Roman" w:cs="Times New Roman"/>
          <w:b/>
          <w:bCs/>
          <w:color w:val="000000" w:themeColor="text1"/>
          <w:sz w:val="24"/>
          <w:szCs w:val="24"/>
          <w:lang w:val="en-US"/>
        </w:rPr>
        <w:t xml:space="preserve">         </w:t>
      </w:r>
      <w:r w:rsidR="00A05FC5" w:rsidRPr="00A05FC5">
        <w:rPr>
          <w:rFonts w:asciiTheme="majorBidi" w:hAnsiTheme="majorBidi" w:cstheme="majorBidi"/>
          <w:b/>
          <w:color w:val="000000" w:themeColor="text1"/>
          <w:sz w:val="24"/>
          <w:szCs w:val="24"/>
        </w:rPr>
        <w:t>SIMON DIEDONG DOMBO UNIVERSITY OF BUSINESS AND INTEGRATED DEVELOPMENT STUDIES</w:t>
      </w:r>
      <w:r w:rsidR="00A05FC5" w:rsidRPr="00A05FC5">
        <w:rPr>
          <w:rFonts w:ascii="Times New Roman" w:hAnsi="Times New Roman" w:cs="Times New Roman"/>
          <w:b/>
          <w:bCs/>
          <w:color w:val="000000" w:themeColor="text1"/>
          <w:sz w:val="24"/>
          <w:szCs w:val="24"/>
          <w:lang w:val="en-US"/>
        </w:rPr>
        <w:t xml:space="preserve"> </w:t>
      </w:r>
      <w:r w:rsidR="00E86A4A" w:rsidRPr="00A05FC5">
        <w:rPr>
          <w:rFonts w:ascii="Times New Roman" w:hAnsi="Times New Roman" w:cs="Times New Roman"/>
          <w:b/>
          <w:bCs/>
          <w:color w:val="000000" w:themeColor="text1"/>
          <w:sz w:val="24"/>
          <w:szCs w:val="24"/>
          <w:lang w:val="en-US"/>
        </w:rPr>
        <w:t>-GHANA</w:t>
      </w:r>
      <w:r w:rsidRPr="00A05FC5">
        <w:rPr>
          <w:rFonts w:ascii="Times New Roman" w:hAnsi="Times New Roman" w:cs="Times New Roman"/>
          <w:b/>
          <w:bCs/>
          <w:color w:val="000000" w:themeColor="text1"/>
          <w:sz w:val="24"/>
          <w:szCs w:val="24"/>
          <w:lang w:val="en-US"/>
        </w:rPr>
        <w:t>, IN PARTIAL                 FULFILLMENT OF THE REQUIREMENT FOR THE                                              AWARD OF DOCTOR OF PHILOSOPHY                                                           DEGREE IN DEVELOPMENT STUDIES</w:t>
      </w:r>
    </w:p>
    <w:p w14:paraId="42CA61BB" w14:textId="77777777" w:rsidR="00CD3724" w:rsidRPr="00A05FC5" w:rsidRDefault="00CD3724" w:rsidP="00CD3724">
      <w:pPr>
        <w:spacing w:line="480" w:lineRule="auto"/>
        <w:jc w:val="center"/>
        <w:rPr>
          <w:rFonts w:ascii="Times New Roman" w:hAnsi="Times New Roman" w:cs="Times New Roman"/>
          <w:b/>
          <w:bCs/>
          <w:color w:val="000000" w:themeColor="text1"/>
          <w:sz w:val="32"/>
          <w:szCs w:val="32"/>
          <w:lang w:val="en-US"/>
        </w:rPr>
      </w:pPr>
    </w:p>
    <w:p w14:paraId="69141C65" w14:textId="77777777" w:rsidR="00CD3724" w:rsidRPr="00A05FC5" w:rsidRDefault="00CD3724" w:rsidP="00CD3724">
      <w:pPr>
        <w:spacing w:line="480" w:lineRule="auto"/>
        <w:jc w:val="center"/>
        <w:rPr>
          <w:rFonts w:ascii="Times New Roman" w:hAnsi="Times New Roman" w:cs="Times New Roman"/>
          <w:b/>
          <w:bCs/>
          <w:color w:val="000000" w:themeColor="text1"/>
          <w:sz w:val="40"/>
          <w:szCs w:val="40"/>
          <w:lang w:val="en-US"/>
        </w:rPr>
      </w:pPr>
    </w:p>
    <w:p w14:paraId="43924A40" w14:textId="684F684B" w:rsidR="00CD3724" w:rsidRPr="00E2630C" w:rsidRDefault="00E2630C" w:rsidP="00CD3724">
      <w:pPr>
        <w:spacing w:line="480" w:lineRule="auto"/>
        <w:jc w:val="center"/>
        <w:rPr>
          <w:rFonts w:ascii="Times New Roman" w:hAnsi="Times New Roman" w:cs="Times New Roman"/>
          <w:b/>
          <w:bCs/>
          <w:color w:val="000000" w:themeColor="text1"/>
          <w:sz w:val="24"/>
          <w:szCs w:val="24"/>
          <w:lang w:val="en-US"/>
        </w:rPr>
      </w:pPr>
      <w:r w:rsidRPr="00E2630C">
        <w:rPr>
          <w:rFonts w:ascii="Times New Roman" w:hAnsi="Times New Roman" w:cs="Times New Roman"/>
          <w:b/>
          <w:bCs/>
          <w:color w:val="000000" w:themeColor="text1"/>
          <w:sz w:val="24"/>
          <w:szCs w:val="24"/>
          <w:lang w:val="en-US"/>
        </w:rPr>
        <w:t>NOVEMBER</w:t>
      </w:r>
      <w:r w:rsidR="00CD3724" w:rsidRPr="00E2630C">
        <w:rPr>
          <w:rFonts w:ascii="Times New Roman" w:hAnsi="Times New Roman" w:cs="Times New Roman"/>
          <w:b/>
          <w:bCs/>
          <w:color w:val="000000" w:themeColor="text1"/>
          <w:sz w:val="24"/>
          <w:szCs w:val="24"/>
          <w:lang w:val="en-US"/>
        </w:rPr>
        <w:t>, 2024</w:t>
      </w:r>
    </w:p>
    <w:p w14:paraId="5E3740E1" w14:textId="77777777" w:rsidR="00CD3724" w:rsidRPr="00E2630C" w:rsidRDefault="00CD3724" w:rsidP="00E2630C">
      <w:pPr>
        <w:pStyle w:val="Heading1"/>
        <w:sectPr w:rsidR="00CD3724" w:rsidRPr="00E2630C" w:rsidSect="00E2630C">
          <w:type w:val="continuous"/>
          <w:pgSz w:w="11906" w:h="16838" w:code="9"/>
          <w:pgMar w:top="1440" w:right="1440" w:bottom="1440" w:left="2160" w:header="706" w:footer="706" w:gutter="0"/>
          <w:pgNumType w:fmt="lowerRoman"/>
          <w:cols w:space="708"/>
          <w:titlePg/>
          <w:docGrid w:linePitch="360"/>
        </w:sectPr>
      </w:pPr>
    </w:p>
    <w:p w14:paraId="08C0EA75" w14:textId="77777777" w:rsidR="00CD3724" w:rsidRPr="00E2630C" w:rsidRDefault="00CD3724" w:rsidP="00E2630C">
      <w:pPr>
        <w:pStyle w:val="Heading1"/>
      </w:pPr>
      <w:bookmarkStart w:id="0" w:name="_Toc182386200"/>
      <w:r w:rsidRPr="00E2630C">
        <w:lastRenderedPageBreak/>
        <w:t>DECLARATION</w:t>
      </w:r>
      <w:bookmarkEnd w:id="0"/>
      <w:r w:rsidRPr="00E2630C">
        <w:t xml:space="preserve"> </w:t>
      </w:r>
    </w:p>
    <w:p w14:paraId="6BEF4180" w14:textId="391BC5FC"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 hereby declare that this thesis is </w:t>
      </w:r>
      <w:r w:rsidR="00827228" w:rsidRPr="00E2630C">
        <w:rPr>
          <w:rFonts w:ascii="Times New Roman" w:hAnsi="Times New Roman" w:cs="Times New Roman"/>
          <w:color w:val="000000" w:themeColor="text1"/>
          <w:sz w:val="24"/>
          <w:szCs w:val="24"/>
        </w:rPr>
        <w:t>the</w:t>
      </w:r>
      <w:r w:rsidRPr="00E2630C">
        <w:rPr>
          <w:rFonts w:ascii="Times New Roman" w:hAnsi="Times New Roman" w:cs="Times New Roman"/>
          <w:color w:val="000000" w:themeColor="text1"/>
          <w:sz w:val="24"/>
          <w:szCs w:val="24"/>
        </w:rPr>
        <w:t xml:space="preserve"> result of my own original work and that no part of it has been presented for another degree in </w:t>
      </w:r>
      <w:r w:rsidR="001D2E7E" w:rsidRPr="00E2630C">
        <w:rPr>
          <w:rFonts w:ascii="Times New Roman" w:hAnsi="Times New Roman" w:cs="Times New Roman"/>
          <w:color w:val="000000" w:themeColor="text1"/>
          <w:sz w:val="24"/>
          <w:szCs w:val="24"/>
          <w:lang w:val="en-US"/>
        </w:rPr>
        <w:t>S</w:t>
      </w:r>
      <w:r w:rsidR="001D2E7E" w:rsidRPr="00E2630C">
        <w:rPr>
          <w:rFonts w:ascii="Times New Roman" w:hAnsi="Times New Roman" w:cs="Times New Roman"/>
          <w:color w:val="000000" w:themeColor="text1"/>
          <w:sz w:val="24"/>
          <w:szCs w:val="24"/>
        </w:rPr>
        <w:t xml:space="preserve">D </w:t>
      </w:r>
      <w:r w:rsidR="001D2E7E" w:rsidRPr="00E2630C">
        <w:rPr>
          <w:rFonts w:ascii="Times New Roman" w:hAnsi="Times New Roman" w:cs="Times New Roman"/>
          <w:color w:val="000000" w:themeColor="text1"/>
          <w:sz w:val="24"/>
          <w:szCs w:val="24"/>
          <w:lang w:val="en-US"/>
        </w:rPr>
        <w:t xml:space="preserve">Dombo University </w:t>
      </w:r>
      <w:r w:rsidR="001D2E7E" w:rsidRPr="00E2630C">
        <w:rPr>
          <w:rFonts w:ascii="Times New Roman" w:hAnsi="Times New Roman" w:cs="Times New Roman"/>
          <w:color w:val="000000" w:themeColor="text1"/>
          <w:sz w:val="24"/>
          <w:szCs w:val="24"/>
        </w:rPr>
        <w:t xml:space="preserve">of </w:t>
      </w:r>
      <w:r w:rsidR="001D2E7E" w:rsidRPr="00E2630C">
        <w:rPr>
          <w:rFonts w:ascii="Times New Roman" w:hAnsi="Times New Roman" w:cs="Times New Roman"/>
          <w:color w:val="000000" w:themeColor="text1"/>
          <w:sz w:val="24"/>
          <w:szCs w:val="24"/>
          <w:lang w:val="en-US"/>
        </w:rPr>
        <w:t>Integrated                    Development and Business Studies</w:t>
      </w:r>
      <w:r w:rsidR="001D2E7E" w:rsidRPr="00E2630C">
        <w:rPr>
          <w:rFonts w:ascii="Times New Roman" w:hAnsi="Times New Roman" w:cs="Times New Roman"/>
          <w:color w:val="000000" w:themeColor="text1"/>
          <w:sz w:val="24"/>
          <w:szCs w:val="24"/>
        </w:rPr>
        <w:t xml:space="preserve"> or elsewhere.  </w:t>
      </w:r>
    </w:p>
    <w:p w14:paraId="54B0B1C7" w14:textId="77777777" w:rsidR="00CD3724" w:rsidRPr="00E2630C" w:rsidRDefault="00CD3724" w:rsidP="00CD3724">
      <w:pPr>
        <w:rPr>
          <w:rFonts w:ascii="Times New Roman" w:hAnsi="Times New Roman" w:cs="Times New Roman"/>
          <w:color w:val="000000" w:themeColor="text1"/>
          <w:sz w:val="24"/>
          <w:szCs w:val="24"/>
        </w:rPr>
      </w:pPr>
    </w:p>
    <w:p w14:paraId="19A0F6E3" w14:textId="2D146825"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Candidate's Signature ……………………………        </w:t>
      </w:r>
      <w:r w:rsidR="00E2630C">
        <w:rPr>
          <w:rFonts w:ascii="Times New Roman" w:hAnsi="Times New Roman" w:cs="Times New Roman"/>
          <w:color w:val="000000" w:themeColor="text1"/>
          <w:sz w:val="24"/>
          <w:szCs w:val="24"/>
        </w:rPr>
        <w:tab/>
      </w:r>
      <w:r w:rsidR="00E2630C" w:rsidRPr="00E2630C">
        <w:rPr>
          <w:rFonts w:ascii="Times New Roman" w:hAnsi="Times New Roman" w:cs="Times New Roman"/>
          <w:color w:val="000000" w:themeColor="text1"/>
          <w:sz w:val="24"/>
          <w:szCs w:val="24"/>
        </w:rPr>
        <w:t>Date</w:t>
      </w:r>
      <w:r w:rsidR="00E2630C">
        <w:rPr>
          <w:rFonts w:ascii="Times New Roman" w:hAnsi="Times New Roman" w:cs="Times New Roman"/>
          <w:color w:val="000000" w:themeColor="text1"/>
          <w:sz w:val="24"/>
          <w:szCs w:val="24"/>
        </w:rPr>
        <w:t>:</w:t>
      </w:r>
      <w:r w:rsidR="00E2630C" w:rsidRPr="00E2630C">
        <w:rPr>
          <w:rFonts w:ascii="Times New Roman" w:hAnsi="Times New Roman" w:cs="Times New Roman"/>
          <w:color w:val="000000" w:themeColor="text1"/>
          <w:sz w:val="24"/>
          <w:szCs w:val="24"/>
        </w:rPr>
        <w:t>…………………</w:t>
      </w:r>
    </w:p>
    <w:p w14:paraId="4F2C22E7" w14:textId="77777777"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Name: Mohammed Hamza</w:t>
      </w:r>
    </w:p>
    <w:p w14:paraId="6B43D9D9" w14:textId="77777777" w:rsidR="00CD3724" w:rsidRPr="00E2630C" w:rsidRDefault="00CD3724" w:rsidP="00CD3724">
      <w:pPr>
        <w:rPr>
          <w:rFonts w:ascii="Times New Roman" w:hAnsi="Times New Roman" w:cs="Times New Roman"/>
          <w:color w:val="000000" w:themeColor="text1"/>
          <w:sz w:val="24"/>
          <w:szCs w:val="24"/>
        </w:rPr>
      </w:pPr>
    </w:p>
    <w:p w14:paraId="2509432F" w14:textId="77777777" w:rsidR="00CD3724" w:rsidRPr="00E2630C" w:rsidRDefault="00CD3724" w:rsidP="00CD3724">
      <w:pPr>
        <w:rPr>
          <w:rFonts w:ascii="Times New Roman" w:hAnsi="Times New Roman" w:cs="Times New Roman"/>
          <w:color w:val="000000" w:themeColor="text1"/>
          <w:sz w:val="24"/>
          <w:szCs w:val="24"/>
        </w:rPr>
      </w:pPr>
    </w:p>
    <w:p w14:paraId="6F632488" w14:textId="23883CB9" w:rsidR="00CD3724"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We hereby declare that the preparation and presentation of this thesis were supervised in accordance with the guidelines on supervision of thesis laid down by </w:t>
      </w:r>
      <w:r w:rsidR="00A05FC5" w:rsidRPr="00E2630C">
        <w:rPr>
          <w:rFonts w:ascii="Times New Roman" w:hAnsi="Times New Roman" w:cs="Times New Roman"/>
          <w:color w:val="000000" w:themeColor="text1"/>
          <w:sz w:val="24"/>
          <w:szCs w:val="24"/>
          <w:lang w:val="en-US"/>
        </w:rPr>
        <w:t>S</w:t>
      </w:r>
      <w:r w:rsidR="00A05FC5" w:rsidRPr="00E2630C">
        <w:rPr>
          <w:rFonts w:ascii="Times New Roman" w:hAnsi="Times New Roman" w:cs="Times New Roman"/>
          <w:color w:val="000000" w:themeColor="text1"/>
          <w:sz w:val="24"/>
          <w:szCs w:val="24"/>
        </w:rPr>
        <w:t xml:space="preserve">D </w:t>
      </w:r>
      <w:r w:rsidR="00A05FC5" w:rsidRPr="00E2630C">
        <w:rPr>
          <w:rFonts w:ascii="Times New Roman" w:hAnsi="Times New Roman" w:cs="Times New Roman"/>
          <w:color w:val="000000" w:themeColor="text1"/>
          <w:sz w:val="24"/>
          <w:szCs w:val="24"/>
          <w:lang w:val="en-US"/>
        </w:rPr>
        <w:t xml:space="preserve">Dombo University </w:t>
      </w:r>
      <w:r w:rsidR="00A05FC5" w:rsidRPr="00E2630C">
        <w:rPr>
          <w:rFonts w:ascii="Times New Roman" w:hAnsi="Times New Roman" w:cs="Times New Roman"/>
          <w:color w:val="000000" w:themeColor="text1"/>
          <w:sz w:val="24"/>
          <w:szCs w:val="24"/>
        </w:rPr>
        <w:t xml:space="preserve">of </w:t>
      </w:r>
      <w:r w:rsidR="00A05FC5" w:rsidRPr="00E2630C">
        <w:rPr>
          <w:rFonts w:ascii="Times New Roman" w:hAnsi="Times New Roman" w:cs="Times New Roman"/>
          <w:color w:val="000000" w:themeColor="text1"/>
          <w:sz w:val="24"/>
          <w:szCs w:val="24"/>
          <w:lang w:val="en-US"/>
        </w:rPr>
        <w:t>Integrated</w:t>
      </w:r>
      <w:r w:rsidR="00A05FC5">
        <w:rPr>
          <w:rFonts w:ascii="Times New Roman" w:hAnsi="Times New Roman" w:cs="Times New Roman"/>
          <w:color w:val="000000" w:themeColor="text1"/>
          <w:sz w:val="24"/>
          <w:szCs w:val="24"/>
          <w:lang w:val="en-US"/>
        </w:rPr>
        <w:t xml:space="preserve"> </w:t>
      </w:r>
      <w:r w:rsidR="00A05FC5" w:rsidRPr="00E2630C">
        <w:rPr>
          <w:rFonts w:ascii="Times New Roman" w:hAnsi="Times New Roman" w:cs="Times New Roman"/>
          <w:color w:val="000000" w:themeColor="text1"/>
          <w:sz w:val="24"/>
          <w:szCs w:val="24"/>
          <w:lang w:val="en-US"/>
        </w:rPr>
        <w:t>Development and Business Studies</w:t>
      </w:r>
      <w:r w:rsidRPr="00E2630C">
        <w:rPr>
          <w:rFonts w:ascii="Times New Roman" w:hAnsi="Times New Roman" w:cs="Times New Roman"/>
          <w:color w:val="000000" w:themeColor="text1"/>
          <w:sz w:val="24"/>
          <w:szCs w:val="24"/>
        </w:rPr>
        <w:t xml:space="preserve">.  </w:t>
      </w:r>
    </w:p>
    <w:p w14:paraId="7C128534" w14:textId="77777777" w:rsidR="00250C76" w:rsidRPr="00E2630C" w:rsidRDefault="00250C76" w:rsidP="00250C76">
      <w:pPr>
        <w:pStyle w:val="NoSpacing"/>
      </w:pPr>
    </w:p>
    <w:p w14:paraId="497D7A07" w14:textId="219D9189"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Principal supervisor’s Signature………………………     </w:t>
      </w:r>
      <w:r w:rsidR="00E2630C">
        <w:rPr>
          <w:rFonts w:ascii="Times New Roman" w:hAnsi="Times New Roman" w:cs="Times New Roman"/>
          <w:color w:val="000000" w:themeColor="text1"/>
          <w:sz w:val="24"/>
          <w:szCs w:val="24"/>
        </w:rPr>
        <w:tab/>
      </w:r>
      <w:r w:rsidR="00E2630C" w:rsidRPr="00E2630C">
        <w:rPr>
          <w:rFonts w:ascii="Times New Roman" w:hAnsi="Times New Roman" w:cs="Times New Roman"/>
          <w:color w:val="000000" w:themeColor="text1"/>
          <w:sz w:val="24"/>
          <w:szCs w:val="24"/>
        </w:rPr>
        <w:t>Date</w:t>
      </w:r>
      <w:r w:rsidR="00E2630C">
        <w:rPr>
          <w:rFonts w:ascii="Times New Roman" w:hAnsi="Times New Roman" w:cs="Times New Roman"/>
          <w:color w:val="000000" w:themeColor="text1"/>
          <w:sz w:val="24"/>
          <w:szCs w:val="24"/>
        </w:rPr>
        <w:t>:</w:t>
      </w:r>
      <w:r w:rsidR="00E2630C" w:rsidRPr="00E2630C">
        <w:rPr>
          <w:rFonts w:ascii="Times New Roman" w:hAnsi="Times New Roman" w:cs="Times New Roman"/>
          <w:color w:val="000000" w:themeColor="text1"/>
          <w:sz w:val="24"/>
          <w:szCs w:val="24"/>
        </w:rPr>
        <w:t>…………………</w:t>
      </w:r>
    </w:p>
    <w:p w14:paraId="6DBF4BDC" w14:textId="77777777"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Name: Prof Samuel Marfo</w:t>
      </w:r>
    </w:p>
    <w:p w14:paraId="5ECE37A6" w14:textId="77777777" w:rsidR="00CD3724" w:rsidRPr="00E2630C" w:rsidRDefault="00CD3724" w:rsidP="00CD3724">
      <w:pPr>
        <w:rPr>
          <w:rFonts w:ascii="Times New Roman" w:hAnsi="Times New Roman" w:cs="Times New Roman"/>
          <w:color w:val="000000" w:themeColor="text1"/>
          <w:sz w:val="24"/>
          <w:szCs w:val="24"/>
        </w:rPr>
      </w:pPr>
    </w:p>
    <w:p w14:paraId="2839B78B" w14:textId="0D4023C4"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Co-Supervisor’s Signature……………………………          Date</w:t>
      </w:r>
      <w:r w:rsidR="00E2630C">
        <w:rPr>
          <w:rFonts w:ascii="Times New Roman" w:hAnsi="Times New Roman" w:cs="Times New Roman"/>
          <w:color w:val="000000" w:themeColor="text1"/>
          <w:sz w:val="24"/>
          <w:szCs w:val="24"/>
        </w:rPr>
        <w:t>:</w:t>
      </w:r>
      <w:r w:rsidRPr="00E2630C">
        <w:rPr>
          <w:rFonts w:ascii="Times New Roman" w:hAnsi="Times New Roman" w:cs="Times New Roman"/>
          <w:color w:val="000000" w:themeColor="text1"/>
          <w:sz w:val="24"/>
          <w:szCs w:val="24"/>
        </w:rPr>
        <w:t>…………………</w:t>
      </w:r>
    </w:p>
    <w:p w14:paraId="494319F9" w14:textId="00567889"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 Name:</w:t>
      </w:r>
      <w:r w:rsidR="001D2E7E" w:rsidRPr="00E2630C">
        <w:rPr>
          <w:rFonts w:ascii="Times New Roman" w:hAnsi="Times New Roman" w:cs="Times New Roman"/>
          <w:color w:val="000000" w:themeColor="text1"/>
          <w:sz w:val="24"/>
          <w:szCs w:val="24"/>
        </w:rPr>
        <w:t xml:space="preserve"> </w:t>
      </w:r>
      <w:r w:rsidR="002D6D5C" w:rsidRPr="00E2630C">
        <w:rPr>
          <w:rFonts w:ascii="Times New Roman" w:hAnsi="Times New Roman" w:cs="Times New Roman"/>
          <w:color w:val="000000" w:themeColor="text1"/>
          <w:sz w:val="24"/>
          <w:szCs w:val="24"/>
        </w:rPr>
        <w:t>Dr. Francis Nangbeviel Sanyare</w:t>
      </w:r>
    </w:p>
    <w:p w14:paraId="2E48546D" w14:textId="77777777" w:rsidR="00CD3724" w:rsidRPr="00E2630C" w:rsidRDefault="00CD3724" w:rsidP="00CD3724">
      <w:pPr>
        <w:rPr>
          <w:rFonts w:ascii="Times New Roman" w:hAnsi="Times New Roman" w:cs="Times New Roman"/>
          <w:color w:val="000000" w:themeColor="text1"/>
          <w:sz w:val="24"/>
          <w:szCs w:val="24"/>
        </w:rPr>
      </w:pPr>
    </w:p>
    <w:p w14:paraId="27DBB3D0" w14:textId="77777777" w:rsidR="00CD3724" w:rsidRPr="00E2630C" w:rsidRDefault="00CD3724" w:rsidP="00CD3724">
      <w:pPr>
        <w:rPr>
          <w:rFonts w:ascii="Times New Roman" w:hAnsi="Times New Roman" w:cs="Times New Roman"/>
          <w:color w:val="000000" w:themeColor="text1"/>
          <w:sz w:val="24"/>
          <w:szCs w:val="24"/>
        </w:rPr>
      </w:pPr>
    </w:p>
    <w:p w14:paraId="328E00B7" w14:textId="77777777" w:rsidR="00CD3724" w:rsidRPr="00E2630C" w:rsidRDefault="00CD3724" w:rsidP="00CD3724">
      <w:pPr>
        <w:rPr>
          <w:rFonts w:ascii="Times New Roman" w:hAnsi="Times New Roman" w:cs="Times New Roman"/>
          <w:color w:val="000000" w:themeColor="text1"/>
          <w:sz w:val="24"/>
          <w:szCs w:val="24"/>
        </w:rPr>
      </w:pPr>
    </w:p>
    <w:p w14:paraId="0CBE3145" w14:textId="77777777" w:rsidR="00CD3724" w:rsidRPr="00E2630C" w:rsidRDefault="00CD3724" w:rsidP="00CD3724">
      <w:pPr>
        <w:rPr>
          <w:rFonts w:ascii="Times New Roman" w:hAnsi="Times New Roman" w:cs="Times New Roman"/>
          <w:color w:val="000000" w:themeColor="text1"/>
          <w:sz w:val="24"/>
          <w:szCs w:val="24"/>
        </w:rPr>
      </w:pPr>
    </w:p>
    <w:p w14:paraId="7774CDCC" w14:textId="77777777" w:rsidR="00CD3724" w:rsidRPr="00E2630C" w:rsidRDefault="00CD3724" w:rsidP="00CD3724">
      <w:pPr>
        <w:rPr>
          <w:rFonts w:ascii="Times New Roman" w:hAnsi="Times New Roman" w:cs="Times New Roman"/>
          <w:color w:val="000000" w:themeColor="text1"/>
          <w:sz w:val="24"/>
          <w:szCs w:val="24"/>
        </w:rPr>
      </w:pPr>
    </w:p>
    <w:p w14:paraId="570811FB" w14:textId="77777777" w:rsidR="00CD3724" w:rsidRPr="00E2630C" w:rsidRDefault="00CD3724" w:rsidP="00CD3724">
      <w:pPr>
        <w:rPr>
          <w:rFonts w:ascii="Times New Roman" w:hAnsi="Times New Roman" w:cs="Times New Roman"/>
          <w:color w:val="000000" w:themeColor="text1"/>
          <w:sz w:val="24"/>
          <w:szCs w:val="24"/>
        </w:rPr>
      </w:pPr>
    </w:p>
    <w:p w14:paraId="6BA6A239" w14:textId="77777777" w:rsidR="00CD3724" w:rsidRPr="00E2630C" w:rsidRDefault="00CD3724" w:rsidP="00CD3724">
      <w:pPr>
        <w:rPr>
          <w:rFonts w:ascii="Times New Roman" w:hAnsi="Times New Roman" w:cs="Times New Roman"/>
          <w:color w:val="000000" w:themeColor="text1"/>
          <w:sz w:val="24"/>
          <w:szCs w:val="24"/>
        </w:rPr>
      </w:pPr>
    </w:p>
    <w:p w14:paraId="72AA4EF4" w14:textId="77777777" w:rsidR="00CD3724" w:rsidRPr="00E2630C" w:rsidRDefault="00CD3724" w:rsidP="00CD3724">
      <w:pPr>
        <w:rPr>
          <w:rFonts w:ascii="Times New Roman" w:hAnsi="Times New Roman" w:cs="Times New Roman"/>
          <w:color w:val="000000" w:themeColor="text1"/>
          <w:sz w:val="24"/>
          <w:szCs w:val="24"/>
        </w:rPr>
      </w:pPr>
    </w:p>
    <w:p w14:paraId="0AA3D65D" w14:textId="77777777" w:rsidR="00CD3724" w:rsidRPr="00E2630C" w:rsidRDefault="00CD3724" w:rsidP="00CD3724">
      <w:pPr>
        <w:rPr>
          <w:rFonts w:ascii="Times New Roman" w:hAnsi="Times New Roman" w:cs="Times New Roman"/>
          <w:color w:val="000000" w:themeColor="text1"/>
          <w:sz w:val="24"/>
          <w:szCs w:val="24"/>
        </w:rPr>
      </w:pPr>
    </w:p>
    <w:p w14:paraId="4A635AAB" w14:textId="77777777" w:rsidR="00CD3724" w:rsidRPr="00E2630C" w:rsidRDefault="00CD3724" w:rsidP="00CD3724">
      <w:pPr>
        <w:rPr>
          <w:rFonts w:ascii="Times New Roman" w:hAnsi="Times New Roman" w:cs="Times New Roman"/>
          <w:color w:val="000000" w:themeColor="text1"/>
          <w:sz w:val="24"/>
          <w:szCs w:val="24"/>
        </w:rPr>
      </w:pPr>
    </w:p>
    <w:p w14:paraId="222EA2ED" w14:textId="77777777" w:rsidR="00CD3724" w:rsidRPr="00E2630C" w:rsidRDefault="00CD3724" w:rsidP="00E2630C">
      <w:pPr>
        <w:pStyle w:val="Heading1"/>
      </w:pPr>
      <w:bookmarkStart w:id="1" w:name="_Toc182386201"/>
      <w:r w:rsidRPr="00E2630C">
        <w:lastRenderedPageBreak/>
        <w:t>ABSTRACT</w:t>
      </w:r>
      <w:bookmarkEnd w:id="1"/>
    </w:p>
    <w:p w14:paraId="722D3443" w14:textId="0A9A9ECF" w:rsidR="00CD3724" w:rsidRPr="00E2630C" w:rsidRDefault="00CD3724" w:rsidP="00CD3724">
      <w:pPr>
        <w:jc w:val="both"/>
        <w:rPr>
          <w:rFonts w:ascii="Times New Roman" w:eastAsia="Times New Roman" w:hAnsi="Times New Roman" w:cs="Times New Roman"/>
          <w:color w:val="000000" w:themeColor="text1"/>
          <w:sz w:val="24"/>
          <w:szCs w:val="24"/>
          <w:lang w:eastAsia="en-GB"/>
        </w:rPr>
      </w:pPr>
      <w:r w:rsidRPr="00E2630C">
        <w:rPr>
          <w:rFonts w:ascii="Times New Roman" w:hAnsi="Times New Roman" w:cs="Times New Roman"/>
          <w:color w:val="000000" w:themeColor="text1"/>
          <w:sz w:val="24"/>
          <w:szCs w:val="24"/>
        </w:rPr>
        <w:t>Chieftaincy is as old as humanity and the first form of governance among African states. Despite the prominence of state power and the strengthening of democratic rule, chieftaincy institutions continue to be extremely relevant. Bimbilla, the study community over the years has witnessed varying degrees of chieftaincy conflicts and has robbed the people of Bimbilla and the entire nation of the needed peace and human security. Though several studies on the conflicts in the area have been conducted by others, the overall effects of conflict on the human security of the people are less interrogated making the current study very necessary. The study examined the implication of the Bimbila chieftaincy conflict on human security, focusing specifically on the economic security, food security, health security, environmental security and personal security. The study was guided by Hobbbes Inherent Theory and Securitization Theory to show how chieftaincy conflicts undermine critical components of human security. The study used a convergent parallel design informed by a mixed-method approach to gain a thorough understanding of the impact of the Bimbilla chieftaincy conflict on human security in</w:t>
      </w:r>
      <w:r w:rsidR="00B018A5"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t>the municipality.</w:t>
      </w:r>
      <w:r w:rsidR="00BF10F7" w:rsidRPr="00E2630C">
        <w:rPr>
          <w:rFonts w:ascii="Times New Roman" w:hAnsi="Times New Roman" w:cs="Times New Roman"/>
          <w:color w:val="000000" w:themeColor="text1"/>
          <w:sz w:val="24"/>
          <w:szCs w:val="24"/>
        </w:rPr>
        <w:t xml:space="preserve"> The study purposely selected 50</w:t>
      </w:r>
      <w:r w:rsidRPr="00E2630C">
        <w:rPr>
          <w:rFonts w:ascii="Times New Roman" w:hAnsi="Times New Roman" w:cs="Times New Roman"/>
          <w:color w:val="000000" w:themeColor="text1"/>
          <w:sz w:val="24"/>
          <w:szCs w:val="24"/>
        </w:rPr>
        <w:t xml:space="preserve"> individuals whose selection was informed by the principle of saturation. Besides, simple random sampling technique was used to select a cross section of 341 respondents mainly from 12 crop and livestock association. Descriptive and regression analysis were run to establish the association of chieftaincy conflicts and the essential elements of human security</w:t>
      </w:r>
      <w:r w:rsidRPr="00E2630C">
        <w:rPr>
          <w:rFonts w:ascii="Times New Roman" w:hAnsi="Times New Roman" w:cs="Times New Roman"/>
          <w:color w:val="000000" w:themeColor="text1"/>
          <w:sz w:val="24"/>
          <w:szCs w:val="24"/>
          <w:lang w:eastAsia="en-ZA"/>
        </w:rPr>
        <w:t xml:space="preserve">. </w:t>
      </w:r>
      <w:r w:rsidRPr="00E2630C">
        <w:rPr>
          <w:rFonts w:ascii="Times New Roman" w:eastAsia="Times New Roman" w:hAnsi="Times New Roman" w:cs="Times New Roman"/>
          <w:color w:val="000000" w:themeColor="text1"/>
          <w:sz w:val="24"/>
          <w:szCs w:val="24"/>
          <w:lang w:eastAsia="en-GB"/>
        </w:rPr>
        <w:t>The study found that the Bimbilla chieftaincy conflict has led to significant ramifications across various dimensions of human security (health, personal, environmental, food and economic security). Health security has been compromised due to disrupted healthcare services and infrastructure, contributing to increased vulnerability and decreased well-being among the affected population.  Environmental security has suffered from resource depletion and environmental degradation stemming from the conflict's impact on land and natural habitats. Personal security has been profoundly affected, with widespread displacement, violence, and a pervasive sense of insecurity prevalent among the people. Economic security has been undermined, disrupting livelihoods, economic activities, and overall stability in the region. The Bimbilla chieftaincy conflicts were found to have greatly undermined the vitae core of people, construed as human security namely food security, health security, environmental security and economic security. The study concluded that the chieftaincy conflict has differential and significant impacts on the various variables underpinning each essential component of human security</w:t>
      </w:r>
      <w:r w:rsidR="009508BB" w:rsidRPr="00E2630C">
        <w:rPr>
          <w:rFonts w:ascii="Times New Roman" w:eastAsia="Times New Roman" w:hAnsi="Times New Roman" w:cs="Times New Roman"/>
          <w:color w:val="000000" w:themeColor="text1"/>
          <w:sz w:val="24"/>
          <w:szCs w:val="24"/>
          <w:lang w:eastAsia="en-GB"/>
        </w:rPr>
        <w:t xml:space="preserve"> as part of recommendation</w:t>
      </w:r>
      <w:r w:rsidR="00B35AB2" w:rsidRPr="00E2630C">
        <w:rPr>
          <w:rFonts w:ascii="Times New Roman" w:eastAsia="Times New Roman" w:hAnsi="Times New Roman" w:cs="Times New Roman"/>
          <w:color w:val="000000" w:themeColor="text1"/>
          <w:sz w:val="24"/>
          <w:szCs w:val="24"/>
          <w:lang w:eastAsia="en-GB"/>
        </w:rPr>
        <w:t>, the regional house of chiefs and the Regional Peace Council have to facilitate conflict resolution workshops and mediation sessions to mitigate tensions and foster reconciliation among conflicting parties.</w:t>
      </w:r>
    </w:p>
    <w:p w14:paraId="1DFA593A" w14:textId="77777777" w:rsidR="00CD3724" w:rsidRPr="00E2630C" w:rsidRDefault="00CD3724" w:rsidP="00CD3724">
      <w:pPr>
        <w:spacing w:line="360" w:lineRule="auto"/>
        <w:jc w:val="both"/>
        <w:rPr>
          <w:rFonts w:ascii="Times New Roman" w:eastAsia="Times New Roman" w:hAnsi="Times New Roman" w:cs="Times New Roman"/>
          <w:color w:val="000000" w:themeColor="text1"/>
          <w:sz w:val="24"/>
          <w:szCs w:val="24"/>
          <w:lang w:eastAsia="en-GB"/>
        </w:rPr>
      </w:pPr>
    </w:p>
    <w:p w14:paraId="283DBA72" w14:textId="77777777" w:rsidR="00CD3724" w:rsidRPr="00E2630C" w:rsidRDefault="00CD3724" w:rsidP="00E2630C">
      <w:pPr>
        <w:pStyle w:val="Heading1"/>
      </w:pPr>
      <w:r w:rsidRPr="00E2630C">
        <w:lastRenderedPageBreak/>
        <w:t xml:space="preserve"> </w:t>
      </w:r>
      <w:bookmarkStart w:id="2" w:name="_Toc182386202"/>
      <w:r w:rsidRPr="00E2630C">
        <w:t>ACKNOWLEDGEMNTS</w:t>
      </w:r>
      <w:bookmarkEnd w:id="2"/>
      <w:r w:rsidRPr="00E2630C">
        <w:t xml:space="preserve"> </w:t>
      </w:r>
    </w:p>
    <w:p w14:paraId="63267FFA" w14:textId="728A7B83"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I wish to acknowledge the tremendous contributions made by some individuals and organisations in various ways towards the completion of this work.  In undertaking this important field of research, my most treasured asset and source of inspiration was my supervisor</w:t>
      </w:r>
      <w:r w:rsidR="002D6D5C" w:rsidRPr="00E2630C">
        <w:rPr>
          <w:rFonts w:ascii="Times New Roman" w:hAnsi="Times New Roman" w:cs="Times New Roman"/>
          <w:color w:val="000000" w:themeColor="text1"/>
          <w:sz w:val="24"/>
          <w:szCs w:val="24"/>
        </w:rPr>
        <w:t>s</w:t>
      </w:r>
      <w:r w:rsidRPr="00E2630C">
        <w:rPr>
          <w:rFonts w:ascii="Times New Roman" w:hAnsi="Times New Roman" w:cs="Times New Roman"/>
          <w:color w:val="000000" w:themeColor="text1"/>
          <w:sz w:val="24"/>
          <w:szCs w:val="24"/>
        </w:rPr>
        <w:t xml:space="preserve">, </w:t>
      </w:r>
      <w:r w:rsidR="00280B83" w:rsidRPr="00E2630C">
        <w:rPr>
          <w:rFonts w:ascii="Times New Roman" w:hAnsi="Times New Roman" w:cs="Times New Roman"/>
          <w:color w:val="000000" w:themeColor="text1"/>
          <w:sz w:val="24"/>
          <w:szCs w:val="24"/>
        </w:rPr>
        <w:t xml:space="preserve">Professor </w:t>
      </w:r>
      <w:r w:rsidRPr="00E2630C">
        <w:rPr>
          <w:rFonts w:ascii="Times New Roman" w:hAnsi="Times New Roman" w:cs="Times New Roman"/>
          <w:color w:val="000000" w:themeColor="text1"/>
          <w:sz w:val="24"/>
          <w:szCs w:val="24"/>
        </w:rPr>
        <w:t>Samuel Marfo</w:t>
      </w:r>
      <w:r w:rsidR="00223C2C" w:rsidRPr="00E2630C">
        <w:rPr>
          <w:rFonts w:ascii="Times New Roman" w:hAnsi="Times New Roman" w:cs="Times New Roman"/>
          <w:color w:val="000000" w:themeColor="text1"/>
          <w:sz w:val="24"/>
          <w:szCs w:val="24"/>
        </w:rPr>
        <w:t xml:space="preserve"> and </w:t>
      </w:r>
      <w:r w:rsidR="002D6D5C" w:rsidRPr="00E2630C">
        <w:rPr>
          <w:rFonts w:ascii="Times New Roman" w:hAnsi="Times New Roman" w:cs="Times New Roman"/>
          <w:color w:val="000000" w:themeColor="text1"/>
          <w:sz w:val="24"/>
          <w:szCs w:val="24"/>
        </w:rPr>
        <w:t>Dr. Francis Nangbeviel Sanyare</w:t>
      </w:r>
      <w:r w:rsidRPr="00E2630C">
        <w:rPr>
          <w:rFonts w:ascii="Times New Roman" w:hAnsi="Times New Roman" w:cs="Times New Roman"/>
          <w:color w:val="000000" w:themeColor="text1"/>
          <w:sz w:val="24"/>
          <w:szCs w:val="24"/>
        </w:rPr>
        <w:t xml:space="preserve">. </w:t>
      </w:r>
      <w:r w:rsidR="00223C2C" w:rsidRPr="00E2630C">
        <w:rPr>
          <w:rFonts w:ascii="Times New Roman" w:hAnsi="Times New Roman" w:cs="Times New Roman"/>
          <w:color w:val="000000" w:themeColor="text1"/>
          <w:sz w:val="24"/>
          <w:szCs w:val="24"/>
        </w:rPr>
        <w:t>Their</w:t>
      </w:r>
      <w:r w:rsidRPr="00E2630C">
        <w:rPr>
          <w:rFonts w:ascii="Times New Roman" w:hAnsi="Times New Roman" w:cs="Times New Roman"/>
          <w:color w:val="000000" w:themeColor="text1"/>
          <w:sz w:val="24"/>
          <w:szCs w:val="24"/>
        </w:rPr>
        <w:t xml:space="preserve"> untiring effort at seeing me through this work, while insisting on the quality of this study is very much appreciated. I am thankful for </w:t>
      </w:r>
      <w:r w:rsidR="00223C2C" w:rsidRPr="00E2630C">
        <w:rPr>
          <w:rFonts w:ascii="Times New Roman" w:hAnsi="Times New Roman" w:cs="Times New Roman"/>
          <w:color w:val="000000" w:themeColor="text1"/>
          <w:sz w:val="24"/>
          <w:szCs w:val="24"/>
        </w:rPr>
        <w:t>their</w:t>
      </w:r>
      <w:r w:rsidRPr="00E2630C">
        <w:rPr>
          <w:rFonts w:ascii="Times New Roman" w:hAnsi="Times New Roman" w:cs="Times New Roman"/>
          <w:color w:val="000000" w:themeColor="text1"/>
          <w:sz w:val="24"/>
          <w:szCs w:val="24"/>
        </w:rPr>
        <w:t xml:space="preserve"> commitment and dedication to work.  I also wish to thank Alhaji </w:t>
      </w:r>
      <w:r w:rsidR="002D6D5C" w:rsidRPr="00E2630C">
        <w:rPr>
          <w:rFonts w:ascii="Times New Roman" w:hAnsi="Times New Roman" w:cs="Times New Roman"/>
          <w:color w:val="000000" w:themeColor="text1"/>
          <w:sz w:val="24"/>
          <w:szCs w:val="24"/>
        </w:rPr>
        <w:t xml:space="preserve">Nurudeen </w:t>
      </w:r>
      <w:r w:rsidRPr="00E2630C">
        <w:rPr>
          <w:rFonts w:ascii="Times New Roman" w:hAnsi="Times New Roman" w:cs="Times New Roman"/>
          <w:color w:val="000000" w:themeColor="text1"/>
          <w:sz w:val="24"/>
          <w:szCs w:val="24"/>
        </w:rPr>
        <w:t xml:space="preserve">Issah </w:t>
      </w:r>
      <w:r w:rsidR="002D6D5C" w:rsidRPr="00E2630C">
        <w:rPr>
          <w:rFonts w:ascii="Times New Roman" w:hAnsi="Times New Roman" w:cs="Times New Roman"/>
          <w:color w:val="000000" w:themeColor="text1"/>
          <w:sz w:val="24"/>
          <w:szCs w:val="24"/>
        </w:rPr>
        <w:t>Abubakari</w:t>
      </w:r>
      <w:r w:rsidR="00C80822" w:rsidRPr="00E2630C">
        <w:rPr>
          <w:rFonts w:ascii="Times New Roman" w:hAnsi="Times New Roman" w:cs="Times New Roman"/>
          <w:color w:val="000000" w:themeColor="text1"/>
          <w:sz w:val="24"/>
          <w:szCs w:val="24"/>
        </w:rPr>
        <w:t xml:space="preserve">, </w:t>
      </w:r>
      <w:r w:rsidR="00F94168" w:rsidRPr="00E2630C">
        <w:rPr>
          <w:rFonts w:ascii="Times New Roman" w:hAnsi="Times New Roman" w:cs="Times New Roman"/>
          <w:color w:val="000000" w:themeColor="text1"/>
          <w:sz w:val="24"/>
          <w:szCs w:val="24"/>
        </w:rPr>
        <w:t>Professor</w:t>
      </w:r>
      <w:r w:rsidRPr="00E2630C">
        <w:rPr>
          <w:rFonts w:ascii="Times New Roman" w:hAnsi="Times New Roman" w:cs="Times New Roman"/>
          <w:color w:val="000000" w:themeColor="text1"/>
          <w:sz w:val="24"/>
          <w:szCs w:val="24"/>
        </w:rPr>
        <w:t xml:space="preserve"> Osmanu Kanton, Profersor Amin </w:t>
      </w:r>
      <w:r w:rsidR="00E2630C" w:rsidRPr="00E2630C">
        <w:rPr>
          <w:rFonts w:ascii="Times New Roman" w:hAnsi="Times New Roman" w:cs="Times New Roman"/>
          <w:color w:val="000000" w:themeColor="text1"/>
          <w:sz w:val="24"/>
          <w:szCs w:val="24"/>
        </w:rPr>
        <w:t>Alhassan, Professor</w:t>
      </w:r>
      <w:r w:rsidRPr="00E2630C">
        <w:rPr>
          <w:rFonts w:ascii="Times New Roman" w:hAnsi="Times New Roman" w:cs="Times New Roman"/>
          <w:color w:val="000000" w:themeColor="text1"/>
          <w:sz w:val="24"/>
          <w:szCs w:val="24"/>
        </w:rPr>
        <w:t xml:space="preserve">  Paul Nkegbe, Dr. Yazeed</w:t>
      </w:r>
      <w:r w:rsidR="00F94168" w:rsidRPr="00E2630C">
        <w:rPr>
          <w:rFonts w:ascii="Times New Roman" w:hAnsi="Times New Roman" w:cs="Times New Roman"/>
          <w:color w:val="000000" w:themeColor="text1"/>
          <w:sz w:val="24"/>
          <w:szCs w:val="24"/>
        </w:rPr>
        <w:t xml:space="preserve"> </w:t>
      </w:r>
      <w:r w:rsidR="00C80822" w:rsidRPr="00E2630C">
        <w:rPr>
          <w:rFonts w:ascii="Times New Roman" w:hAnsi="Times New Roman" w:cs="Times New Roman"/>
          <w:color w:val="000000" w:themeColor="text1"/>
          <w:sz w:val="24"/>
          <w:szCs w:val="24"/>
        </w:rPr>
        <w:t>A</w:t>
      </w:r>
      <w:r w:rsidR="00F94168" w:rsidRPr="00E2630C">
        <w:rPr>
          <w:rFonts w:ascii="Times New Roman" w:hAnsi="Times New Roman" w:cs="Times New Roman"/>
          <w:color w:val="000000" w:themeColor="text1"/>
          <w:sz w:val="24"/>
          <w:szCs w:val="24"/>
        </w:rPr>
        <w:t>bdul Mumen</w:t>
      </w:r>
      <w:r w:rsidRPr="00E2630C">
        <w:rPr>
          <w:rFonts w:ascii="Times New Roman" w:hAnsi="Times New Roman" w:cs="Times New Roman"/>
          <w:color w:val="000000" w:themeColor="text1"/>
          <w:sz w:val="24"/>
          <w:szCs w:val="24"/>
        </w:rPr>
        <w:t xml:space="preserve">,  Dr. Alhassan Musah, Dr. </w:t>
      </w:r>
      <w:r w:rsidR="00F94168" w:rsidRPr="00E2630C">
        <w:rPr>
          <w:rFonts w:ascii="Times New Roman" w:hAnsi="Times New Roman" w:cs="Times New Roman"/>
          <w:color w:val="000000" w:themeColor="text1"/>
          <w:sz w:val="24"/>
          <w:szCs w:val="24"/>
        </w:rPr>
        <w:t xml:space="preserve"> Abdul-</w:t>
      </w:r>
      <w:r w:rsidRPr="00E2630C">
        <w:rPr>
          <w:rFonts w:ascii="Times New Roman" w:hAnsi="Times New Roman" w:cs="Times New Roman"/>
          <w:color w:val="000000" w:themeColor="text1"/>
          <w:sz w:val="24"/>
          <w:szCs w:val="24"/>
        </w:rPr>
        <w:t>Rahim</w:t>
      </w:r>
      <w:r w:rsidR="00F94168" w:rsidRPr="00E2630C">
        <w:rPr>
          <w:rFonts w:ascii="Times New Roman" w:hAnsi="Times New Roman" w:cs="Times New Roman"/>
          <w:color w:val="000000" w:themeColor="text1"/>
          <w:sz w:val="24"/>
          <w:szCs w:val="24"/>
        </w:rPr>
        <w:t xml:space="preserve"> Mohammed</w:t>
      </w:r>
      <w:r w:rsidRPr="00E2630C">
        <w:rPr>
          <w:rFonts w:ascii="Times New Roman" w:hAnsi="Times New Roman" w:cs="Times New Roman"/>
          <w:color w:val="000000" w:themeColor="text1"/>
          <w:sz w:val="24"/>
          <w:szCs w:val="24"/>
        </w:rPr>
        <w:t xml:space="preserve">, Mr. Rufai Jawal, Mr. Ibrahim </w:t>
      </w:r>
      <w:r w:rsidR="00F94168" w:rsidRPr="00E2630C">
        <w:rPr>
          <w:rFonts w:ascii="Times New Roman" w:hAnsi="Times New Roman" w:cs="Times New Roman"/>
          <w:color w:val="000000" w:themeColor="text1"/>
          <w:sz w:val="24"/>
          <w:szCs w:val="24"/>
        </w:rPr>
        <w:t>Yakubbu Issahaku</w:t>
      </w:r>
      <w:r w:rsidR="00CB24FC" w:rsidRPr="00E2630C">
        <w:rPr>
          <w:rFonts w:ascii="Times New Roman" w:hAnsi="Times New Roman" w:cs="Times New Roman"/>
          <w:color w:val="000000" w:themeColor="text1"/>
          <w:sz w:val="24"/>
          <w:szCs w:val="24"/>
        </w:rPr>
        <w:t>, Mr. Issahaqu Mumuni</w:t>
      </w:r>
      <w:r w:rsidR="00B018A5" w:rsidRPr="00E2630C">
        <w:rPr>
          <w:rFonts w:ascii="Times New Roman" w:hAnsi="Times New Roman" w:cs="Times New Roman"/>
          <w:color w:val="000000" w:themeColor="text1"/>
          <w:sz w:val="24"/>
          <w:szCs w:val="24"/>
        </w:rPr>
        <w:t>,</w:t>
      </w:r>
      <w:r w:rsidR="00CB24FC" w:rsidRPr="00E2630C">
        <w:rPr>
          <w:rFonts w:ascii="Times New Roman" w:hAnsi="Times New Roman" w:cs="Times New Roman"/>
          <w:color w:val="000000" w:themeColor="text1"/>
          <w:sz w:val="24"/>
          <w:szCs w:val="24"/>
        </w:rPr>
        <w:t xml:space="preserve"> </w:t>
      </w:r>
      <w:r w:rsidR="002D6D5C" w:rsidRPr="00E2630C">
        <w:rPr>
          <w:rFonts w:ascii="Times New Roman" w:hAnsi="Times New Roman" w:cs="Times New Roman"/>
          <w:color w:val="000000" w:themeColor="text1"/>
          <w:sz w:val="24"/>
          <w:szCs w:val="24"/>
        </w:rPr>
        <w:t xml:space="preserve">Mr. Ibrahim Mutala, </w:t>
      </w:r>
      <w:r w:rsidRPr="00E2630C">
        <w:rPr>
          <w:rFonts w:ascii="Times New Roman" w:hAnsi="Times New Roman" w:cs="Times New Roman"/>
          <w:color w:val="000000" w:themeColor="text1"/>
          <w:sz w:val="24"/>
          <w:szCs w:val="24"/>
        </w:rPr>
        <w:t xml:space="preserve">all the staff of UDS and UBIDS Library and Graduate School for their constant encouragement. I wish to acknowledge the help of the entire Turzun family and My Zaawiya (Deewani Sualiheen) at Gumani as well as all my well-wishers. </w:t>
      </w:r>
    </w:p>
    <w:p w14:paraId="57088E7C" w14:textId="77777777" w:rsidR="00CD3724" w:rsidRPr="00E2630C" w:rsidRDefault="00CD3724" w:rsidP="00CD3724">
      <w:pPr>
        <w:jc w:val="both"/>
        <w:rPr>
          <w:rFonts w:ascii="Times New Roman" w:hAnsi="Times New Roman" w:cs="Times New Roman"/>
          <w:color w:val="000000" w:themeColor="text1"/>
          <w:sz w:val="24"/>
          <w:szCs w:val="24"/>
        </w:rPr>
      </w:pPr>
    </w:p>
    <w:p w14:paraId="7E4EFDC4" w14:textId="77777777" w:rsidR="00CD3724" w:rsidRPr="00E2630C" w:rsidRDefault="00CD3724" w:rsidP="00CD3724">
      <w:pPr>
        <w:jc w:val="both"/>
        <w:rPr>
          <w:rFonts w:ascii="Times New Roman" w:hAnsi="Times New Roman" w:cs="Times New Roman"/>
          <w:color w:val="000000" w:themeColor="text1"/>
          <w:sz w:val="24"/>
          <w:szCs w:val="24"/>
        </w:rPr>
      </w:pPr>
    </w:p>
    <w:p w14:paraId="376A366C" w14:textId="77777777" w:rsidR="00CD3724" w:rsidRPr="00E2630C" w:rsidRDefault="00CD3724" w:rsidP="00CD3724">
      <w:pPr>
        <w:jc w:val="both"/>
        <w:rPr>
          <w:rFonts w:ascii="Times New Roman" w:hAnsi="Times New Roman" w:cs="Times New Roman"/>
          <w:color w:val="000000" w:themeColor="text1"/>
          <w:sz w:val="24"/>
          <w:szCs w:val="24"/>
        </w:rPr>
      </w:pPr>
    </w:p>
    <w:p w14:paraId="00B6AE92" w14:textId="77777777" w:rsidR="00CD3724" w:rsidRPr="00E2630C" w:rsidRDefault="00CD3724" w:rsidP="00CD3724">
      <w:pPr>
        <w:jc w:val="both"/>
        <w:rPr>
          <w:rFonts w:ascii="Times New Roman" w:hAnsi="Times New Roman" w:cs="Times New Roman"/>
          <w:color w:val="000000" w:themeColor="text1"/>
          <w:sz w:val="24"/>
          <w:szCs w:val="24"/>
        </w:rPr>
      </w:pPr>
    </w:p>
    <w:p w14:paraId="7B53C8A3" w14:textId="77777777" w:rsidR="00CD3724" w:rsidRPr="00E2630C" w:rsidRDefault="00CD3724" w:rsidP="00CD3724">
      <w:pPr>
        <w:jc w:val="both"/>
        <w:rPr>
          <w:rFonts w:ascii="Times New Roman" w:hAnsi="Times New Roman" w:cs="Times New Roman"/>
          <w:color w:val="000000" w:themeColor="text1"/>
          <w:sz w:val="24"/>
          <w:szCs w:val="24"/>
        </w:rPr>
      </w:pPr>
    </w:p>
    <w:p w14:paraId="58451EDC" w14:textId="77777777" w:rsidR="00CD3724" w:rsidRPr="00E2630C" w:rsidRDefault="00CD3724" w:rsidP="00CD3724">
      <w:pPr>
        <w:jc w:val="both"/>
        <w:rPr>
          <w:rFonts w:ascii="Times New Roman" w:hAnsi="Times New Roman" w:cs="Times New Roman"/>
          <w:color w:val="000000" w:themeColor="text1"/>
          <w:sz w:val="24"/>
          <w:szCs w:val="24"/>
        </w:rPr>
      </w:pPr>
    </w:p>
    <w:p w14:paraId="6EBDB6DC" w14:textId="77777777" w:rsidR="00CD3724" w:rsidRPr="00E2630C" w:rsidRDefault="00CD3724" w:rsidP="00CD3724">
      <w:pPr>
        <w:jc w:val="both"/>
        <w:rPr>
          <w:rFonts w:ascii="Times New Roman" w:hAnsi="Times New Roman" w:cs="Times New Roman"/>
          <w:color w:val="000000" w:themeColor="text1"/>
          <w:sz w:val="24"/>
          <w:szCs w:val="24"/>
        </w:rPr>
      </w:pPr>
    </w:p>
    <w:p w14:paraId="7F1D070F" w14:textId="77777777" w:rsidR="00CD3724" w:rsidRPr="00E2630C" w:rsidRDefault="00CD3724" w:rsidP="00CD3724">
      <w:pPr>
        <w:jc w:val="both"/>
        <w:rPr>
          <w:rFonts w:ascii="Times New Roman" w:hAnsi="Times New Roman" w:cs="Times New Roman"/>
          <w:color w:val="000000" w:themeColor="text1"/>
          <w:sz w:val="24"/>
          <w:szCs w:val="24"/>
        </w:rPr>
      </w:pPr>
    </w:p>
    <w:p w14:paraId="17A4D572" w14:textId="77777777" w:rsidR="00CD3724" w:rsidRPr="00E2630C" w:rsidRDefault="00CD3724" w:rsidP="00CD3724">
      <w:pPr>
        <w:jc w:val="both"/>
        <w:rPr>
          <w:rFonts w:ascii="Times New Roman" w:hAnsi="Times New Roman" w:cs="Times New Roman"/>
          <w:color w:val="000000" w:themeColor="text1"/>
          <w:sz w:val="24"/>
          <w:szCs w:val="24"/>
        </w:rPr>
      </w:pPr>
    </w:p>
    <w:p w14:paraId="299D27CB" w14:textId="77777777" w:rsidR="00CD3724" w:rsidRPr="00E2630C" w:rsidRDefault="00CD3724" w:rsidP="00CD3724">
      <w:pPr>
        <w:jc w:val="both"/>
        <w:rPr>
          <w:rFonts w:ascii="Times New Roman" w:hAnsi="Times New Roman" w:cs="Times New Roman"/>
          <w:color w:val="000000" w:themeColor="text1"/>
          <w:sz w:val="24"/>
          <w:szCs w:val="24"/>
        </w:rPr>
      </w:pPr>
    </w:p>
    <w:p w14:paraId="0D0C6520" w14:textId="77777777" w:rsidR="00CD3724" w:rsidRPr="00E2630C" w:rsidRDefault="00CD3724" w:rsidP="00CD3724">
      <w:pPr>
        <w:jc w:val="both"/>
        <w:rPr>
          <w:rFonts w:ascii="Times New Roman" w:hAnsi="Times New Roman" w:cs="Times New Roman"/>
          <w:color w:val="000000" w:themeColor="text1"/>
          <w:sz w:val="24"/>
          <w:szCs w:val="24"/>
        </w:rPr>
      </w:pPr>
    </w:p>
    <w:p w14:paraId="2F902FF4" w14:textId="77777777" w:rsidR="00CD3724" w:rsidRPr="00E2630C" w:rsidRDefault="00CD3724" w:rsidP="00CD3724">
      <w:pPr>
        <w:jc w:val="both"/>
        <w:rPr>
          <w:rFonts w:ascii="Times New Roman" w:hAnsi="Times New Roman" w:cs="Times New Roman"/>
          <w:color w:val="000000" w:themeColor="text1"/>
          <w:sz w:val="24"/>
          <w:szCs w:val="24"/>
        </w:rPr>
      </w:pPr>
    </w:p>
    <w:p w14:paraId="498C6760" w14:textId="77777777" w:rsidR="00CD3724" w:rsidRPr="00E2630C" w:rsidRDefault="00CD3724" w:rsidP="00CD3724">
      <w:pPr>
        <w:jc w:val="both"/>
        <w:rPr>
          <w:rFonts w:ascii="Times New Roman" w:hAnsi="Times New Roman" w:cs="Times New Roman"/>
          <w:color w:val="000000" w:themeColor="text1"/>
          <w:sz w:val="24"/>
          <w:szCs w:val="24"/>
        </w:rPr>
      </w:pPr>
    </w:p>
    <w:p w14:paraId="2A66AF82" w14:textId="77777777" w:rsidR="00CD3724" w:rsidRPr="00E2630C" w:rsidRDefault="00CD3724" w:rsidP="00CD3724">
      <w:pPr>
        <w:jc w:val="both"/>
        <w:rPr>
          <w:rFonts w:ascii="Times New Roman" w:hAnsi="Times New Roman" w:cs="Times New Roman"/>
          <w:color w:val="000000" w:themeColor="text1"/>
          <w:sz w:val="24"/>
          <w:szCs w:val="24"/>
        </w:rPr>
      </w:pPr>
    </w:p>
    <w:p w14:paraId="4067DBB4" w14:textId="77777777" w:rsidR="00CD3724" w:rsidRPr="00E2630C" w:rsidRDefault="00CD3724" w:rsidP="00CD3724">
      <w:pPr>
        <w:jc w:val="both"/>
        <w:rPr>
          <w:rFonts w:ascii="Times New Roman" w:hAnsi="Times New Roman" w:cs="Times New Roman"/>
          <w:color w:val="000000" w:themeColor="text1"/>
          <w:sz w:val="24"/>
          <w:szCs w:val="24"/>
        </w:rPr>
      </w:pPr>
    </w:p>
    <w:p w14:paraId="040B0F44" w14:textId="77777777" w:rsidR="00CD3724" w:rsidRPr="00E2630C" w:rsidRDefault="00CD3724" w:rsidP="00E2630C">
      <w:pPr>
        <w:pStyle w:val="Heading1"/>
      </w:pPr>
      <w:bookmarkStart w:id="3" w:name="_Toc182386203"/>
      <w:r w:rsidRPr="00E2630C">
        <w:lastRenderedPageBreak/>
        <w:t>DEDICATION</w:t>
      </w:r>
      <w:bookmarkEnd w:id="3"/>
    </w:p>
    <w:p w14:paraId="37555A7A" w14:textId="553BA51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 dedicate this work to my </w:t>
      </w:r>
      <w:r w:rsidR="00E2630C" w:rsidRPr="00E2630C">
        <w:rPr>
          <w:rFonts w:ascii="Times New Roman" w:hAnsi="Times New Roman" w:cs="Times New Roman"/>
          <w:color w:val="000000" w:themeColor="text1"/>
          <w:sz w:val="24"/>
          <w:szCs w:val="24"/>
        </w:rPr>
        <w:t>beloved father</w:t>
      </w:r>
      <w:r w:rsidR="00C80822" w:rsidRPr="00E2630C">
        <w:rPr>
          <w:rFonts w:ascii="Times New Roman" w:hAnsi="Times New Roman" w:cs="Times New Roman"/>
          <w:color w:val="000000" w:themeColor="text1"/>
          <w:sz w:val="24"/>
          <w:szCs w:val="24"/>
        </w:rPr>
        <w:t xml:space="preserve"> Alhaj Mohammed Awal Ibrahim, Alhaj Saani Ibrahim</w:t>
      </w:r>
      <w:r w:rsidR="008A4D78" w:rsidRPr="00E2630C">
        <w:rPr>
          <w:rFonts w:ascii="Times New Roman" w:hAnsi="Times New Roman" w:cs="Times New Roman"/>
          <w:color w:val="000000" w:themeColor="text1"/>
          <w:sz w:val="24"/>
          <w:szCs w:val="24"/>
        </w:rPr>
        <w:t>,</w:t>
      </w:r>
      <w:r w:rsidR="00C80822" w:rsidRPr="00E2630C">
        <w:rPr>
          <w:rFonts w:ascii="Times New Roman" w:hAnsi="Times New Roman" w:cs="Times New Roman"/>
          <w:color w:val="000000" w:themeColor="text1"/>
          <w:sz w:val="24"/>
          <w:szCs w:val="24"/>
        </w:rPr>
        <w:t xml:space="preserve"> Alhaj Baba </w:t>
      </w:r>
      <w:r w:rsidR="00E2630C" w:rsidRPr="00E2630C">
        <w:rPr>
          <w:rFonts w:ascii="Times New Roman" w:hAnsi="Times New Roman" w:cs="Times New Roman"/>
          <w:color w:val="000000" w:themeColor="text1"/>
          <w:sz w:val="24"/>
          <w:szCs w:val="24"/>
        </w:rPr>
        <w:t>Ibrahim, my mother</w:t>
      </w:r>
      <w:r w:rsidR="00C80822" w:rsidRPr="00E2630C">
        <w:rPr>
          <w:rFonts w:ascii="Times New Roman" w:hAnsi="Times New Roman" w:cs="Times New Roman"/>
          <w:color w:val="000000" w:themeColor="text1"/>
          <w:sz w:val="24"/>
          <w:szCs w:val="24"/>
        </w:rPr>
        <w:t xml:space="preserve"> Hajia Saadia</w:t>
      </w:r>
      <w:r w:rsidR="00C440B9" w:rsidRPr="00E2630C">
        <w:rPr>
          <w:rFonts w:ascii="Times New Roman" w:hAnsi="Times New Roman" w:cs="Times New Roman"/>
          <w:color w:val="000000" w:themeColor="text1"/>
          <w:sz w:val="24"/>
          <w:szCs w:val="24"/>
        </w:rPr>
        <w:t xml:space="preserve"> and </w:t>
      </w:r>
      <w:r w:rsidR="00C80822" w:rsidRPr="00E2630C">
        <w:rPr>
          <w:rFonts w:ascii="Times New Roman" w:hAnsi="Times New Roman" w:cs="Times New Roman"/>
          <w:color w:val="000000" w:themeColor="text1"/>
          <w:sz w:val="24"/>
          <w:szCs w:val="24"/>
        </w:rPr>
        <w:t xml:space="preserve">Hajia Kulsoom, also </w:t>
      </w:r>
      <w:r w:rsidRPr="00E2630C">
        <w:rPr>
          <w:rFonts w:ascii="Times New Roman" w:hAnsi="Times New Roman" w:cs="Times New Roman"/>
          <w:color w:val="000000" w:themeColor="text1"/>
          <w:sz w:val="24"/>
          <w:szCs w:val="24"/>
        </w:rPr>
        <w:t>Hajia Sadia, Hajia Sherifa, Hajia Rukaya, Anita Dzifa Owusu, My Lovely siblings</w:t>
      </w:r>
      <w:r w:rsidR="00C440B9" w:rsidRPr="00E2630C">
        <w:rPr>
          <w:rFonts w:ascii="Times New Roman" w:hAnsi="Times New Roman" w:cs="Times New Roman"/>
          <w:color w:val="000000" w:themeColor="text1"/>
          <w:sz w:val="24"/>
          <w:szCs w:val="24"/>
        </w:rPr>
        <w:t xml:space="preserve"> and </w:t>
      </w:r>
      <w:r w:rsidRPr="00E2630C">
        <w:rPr>
          <w:rFonts w:ascii="Times New Roman" w:hAnsi="Times New Roman" w:cs="Times New Roman"/>
          <w:color w:val="000000" w:themeColor="text1"/>
          <w:sz w:val="24"/>
          <w:szCs w:val="24"/>
        </w:rPr>
        <w:t>my lovely wife Hidaayatu Imam who have shown tremendous interest in my academic affairs.</w:t>
      </w:r>
      <w:r w:rsidR="00C440B9" w:rsidRPr="00E2630C">
        <w:rPr>
          <w:rFonts w:ascii="Times New Roman" w:hAnsi="Times New Roman" w:cs="Times New Roman"/>
          <w:color w:val="000000" w:themeColor="text1"/>
          <w:sz w:val="24"/>
          <w:szCs w:val="24"/>
        </w:rPr>
        <w:t xml:space="preserve"> I cannot forget my late sister </w:t>
      </w:r>
      <w:r w:rsidR="00A63B71" w:rsidRPr="00E2630C">
        <w:rPr>
          <w:rFonts w:ascii="Times New Roman" w:hAnsi="Times New Roman" w:cs="Times New Roman"/>
          <w:color w:val="000000" w:themeColor="text1"/>
          <w:sz w:val="24"/>
          <w:szCs w:val="24"/>
        </w:rPr>
        <w:t>ASANA MOHAMMED</w:t>
      </w:r>
      <w:r w:rsidR="00C440B9" w:rsidRPr="00E2630C">
        <w:rPr>
          <w:rFonts w:ascii="Times New Roman" w:hAnsi="Times New Roman" w:cs="Times New Roman"/>
          <w:color w:val="000000" w:themeColor="text1"/>
          <w:sz w:val="24"/>
          <w:szCs w:val="24"/>
        </w:rPr>
        <w:t>, I love you</w:t>
      </w:r>
      <w:r w:rsidR="00A63B71" w:rsidRPr="00E2630C">
        <w:rPr>
          <w:rFonts w:ascii="Times New Roman" w:hAnsi="Times New Roman" w:cs="Times New Roman"/>
          <w:color w:val="000000" w:themeColor="text1"/>
          <w:sz w:val="24"/>
          <w:szCs w:val="24"/>
        </w:rPr>
        <w:t xml:space="preserve"> keep resting.</w:t>
      </w:r>
    </w:p>
    <w:p w14:paraId="607CCBB1" w14:textId="77777777" w:rsidR="00CD3724" w:rsidRPr="00E2630C" w:rsidRDefault="00CD3724" w:rsidP="00CD3724">
      <w:pPr>
        <w:jc w:val="center"/>
        <w:rPr>
          <w:rFonts w:ascii="Times New Roman" w:hAnsi="Times New Roman" w:cs="Times New Roman"/>
          <w:b/>
          <w:color w:val="000000" w:themeColor="text1"/>
          <w:sz w:val="24"/>
          <w:szCs w:val="24"/>
        </w:rPr>
      </w:pPr>
    </w:p>
    <w:p w14:paraId="2E9F292E" w14:textId="77777777" w:rsidR="00CD3724" w:rsidRPr="00E2630C" w:rsidRDefault="00CD3724" w:rsidP="00CD3724">
      <w:pPr>
        <w:jc w:val="center"/>
        <w:rPr>
          <w:rFonts w:ascii="Times New Roman" w:hAnsi="Times New Roman" w:cs="Times New Roman"/>
          <w:b/>
          <w:color w:val="000000" w:themeColor="text1"/>
          <w:sz w:val="24"/>
          <w:szCs w:val="24"/>
        </w:rPr>
      </w:pPr>
    </w:p>
    <w:p w14:paraId="2AFBA86C" w14:textId="77777777" w:rsidR="00CD3724" w:rsidRPr="00E2630C" w:rsidRDefault="00CD3724" w:rsidP="00CD3724">
      <w:pPr>
        <w:jc w:val="center"/>
        <w:rPr>
          <w:rFonts w:ascii="Times New Roman" w:hAnsi="Times New Roman" w:cs="Times New Roman"/>
          <w:b/>
          <w:color w:val="000000" w:themeColor="text1"/>
          <w:sz w:val="24"/>
          <w:szCs w:val="24"/>
        </w:rPr>
      </w:pPr>
    </w:p>
    <w:p w14:paraId="1379017E" w14:textId="77777777" w:rsidR="00CD3724" w:rsidRPr="00E2630C" w:rsidRDefault="00CD3724" w:rsidP="00CD3724">
      <w:pPr>
        <w:jc w:val="center"/>
        <w:rPr>
          <w:rFonts w:ascii="Times New Roman" w:hAnsi="Times New Roman" w:cs="Times New Roman"/>
          <w:b/>
          <w:color w:val="000000" w:themeColor="text1"/>
          <w:sz w:val="24"/>
          <w:szCs w:val="24"/>
        </w:rPr>
      </w:pPr>
    </w:p>
    <w:p w14:paraId="243AF27A" w14:textId="77777777" w:rsidR="00CD3724" w:rsidRPr="00E2630C" w:rsidRDefault="00CD3724" w:rsidP="00CD3724">
      <w:pPr>
        <w:jc w:val="center"/>
        <w:rPr>
          <w:rFonts w:ascii="Times New Roman" w:hAnsi="Times New Roman" w:cs="Times New Roman"/>
          <w:b/>
          <w:color w:val="000000" w:themeColor="text1"/>
          <w:sz w:val="24"/>
          <w:szCs w:val="24"/>
        </w:rPr>
      </w:pPr>
    </w:p>
    <w:p w14:paraId="0474F28A" w14:textId="77777777" w:rsidR="00CD3724" w:rsidRPr="00E2630C" w:rsidRDefault="00CD3724" w:rsidP="00CD3724">
      <w:pPr>
        <w:jc w:val="center"/>
        <w:rPr>
          <w:rFonts w:ascii="Times New Roman" w:hAnsi="Times New Roman" w:cs="Times New Roman"/>
          <w:b/>
          <w:color w:val="000000" w:themeColor="text1"/>
          <w:sz w:val="24"/>
          <w:szCs w:val="24"/>
        </w:rPr>
      </w:pPr>
    </w:p>
    <w:p w14:paraId="15893ECC" w14:textId="77777777" w:rsidR="00CD3724" w:rsidRPr="00E2630C" w:rsidRDefault="00CD3724" w:rsidP="00CD3724">
      <w:pPr>
        <w:jc w:val="center"/>
        <w:rPr>
          <w:rFonts w:ascii="Times New Roman" w:hAnsi="Times New Roman" w:cs="Times New Roman"/>
          <w:b/>
          <w:color w:val="000000" w:themeColor="text1"/>
          <w:sz w:val="24"/>
          <w:szCs w:val="24"/>
        </w:rPr>
      </w:pPr>
    </w:p>
    <w:p w14:paraId="4D3AE775" w14:textId="77777777" w:rsidR="00CD3724" w:rsidRPr="00E2630C" w:rsidRDefault="00CD3724" w:rsidP="00CD3724">
      <w:pPr>
        <w:jc w:val="center"/>
        <w:rPr>
          <w:rFonts w:ascii="Times New Roman" w:hAnsi="Times New Roman" w:cs="Times New Roman"/>
          <w:b/>
          <w:color w:val="000000" w:themeColor="text1"/>
          <w:sz w:val="24"/>
          <w:szCs w:val="24"/>
        </w:rPr>
      </w:pPr>
    </w:p>
    <w:p w14:paraId="67CE5B0D" w14:textId="77777777" w:rsidR="00CD3724" w:rsidRPr="00E2630C" w:rsidRDefault="00CD3724" w:rsidP="00CD3724">
      <w:pPr>
        <w:jc w:val="center"/>
        <w:rPr>
          <w:rFonts w:ascii="Times New Roman" w:hAnsi="Times New Roman" w:cs="Times New Roman"/>
          <w:b/>
          <w:color w:val="000000" w:themeColor="text1"/>
          <w:sz w:val="24"/>
          <w:szCs w:val="24"/>
        </w:rPr>
      </w:pPr>
    </w:p>
    <w:p w14:paraId="728802F9" w14:textId="77777777" w:rsidR="00CD3724" w:rsidRPr="00E2630C" w:rsidRDefault="00CD3724" w:rsidP="00CD3724">
      <w:pPr>
        <w:jc w:val="center"/>
        <w:rPr>
          <w:rFonts w:ascii="Times New Roman" w:hAnsi="Times New Roman" w:cs="Times New Roman"/>
          <w:b/>
          <w:color w:val="000000" w:themeColor="text1"/>
          <w:sz w:val="24"/>
          <w:szCs w:val="24"/>
        </w:rPr>
      </w:pPr>
    </w:p>
    <w:p w14:paraId="66E6F0F5" w14:textId="77777777" w:rsidR="00CD3724" w:rsidRPr="00E2630C" w:rsidRDefault="00CD3724" w:rsidP="00CD3724">
      <w:pPr>
        <w:jc w:val="center"/>
        <w:rPr>
          <w:rFonts w:ascii="Times New Roman" w:hAnsi="Times New Roman" w:cs="Times New Roman"/>
          <w:b/>
          <w:color w:val="000000" w:themeColor="text1"/>
          <w:sz w:val="24"/>
          <w:szCs w:val="24"/>
        </w:rPr>
      </w:pPr>
    </w:p>
    <w:p w14:paraId="44B6D36D" w14:textId="77777777" w:rsidR="00CD3724" w:rsidRPr="00E2630C" w:rsidRDefault="00CD3724" w:rsidP="00CD3724">
      <w:pPr>
        <w:jc w:val="center"/>
        <w:rPr>
          <w:rFonts w:ascii="Times New Roman" w:hAnsi="Times New Roman" w:cs="Times New Roman"/>
          <w:b/>
          <w:color w:val="000000" w:themeColor="text1"/>
          <w:sz w:val="24"/>
          <w:szCs w:val="24"/>
        </w:rPr>
      </w:pPr>
    </w:p>
    <w:p w14:paraId="34D9D012" w14:textId="77777777" w:rsidR="00CD3724" w:rsidRPr="00E2630C" w:rsidRDefault="00CD3724" w:rsidP="00CD3724">
      <w:pPr>
        <w:jc w:val="center"/>
        <w:rPr>
          <w:rFonts w:ascii="Times New Roman" w:hAnsi="Times New Roman" w:cs="Times New Roman"/>
          <w:b/>
          <w:color w:val="000000" w:themeColor="text1"/>
          <w:sz w:val="24"/>
          <w:szCs w:val="24"/>
        </w:rPr>
      </w:pPr>
    </w:p>
    <w:p w14:paraId="2310035B" w14:textId="77777777" w:rsidR="00CD3724" w:rsidRPr="00E2630C" w:rsidRDefault="00CD3724" w:rsidP="00CD3724">
      <w:pPr>
        <w:jc w:val="center"/>
        <w:rPr>
          <w:rFonts w:ascii="Times New Roman" w:hAnsi="Times New Roman" w:cs="Times New Roman"/>
          <w:b/>
          <w:color w:val="000000" w:themeColor="text1"/>
          <w:sz w:val="24"/>
          <w:szCs w:val="24"/>
        </w:rPr>
      </w:pPr>
    </w:p>
    <w:p w14:paraId="385D721B" w14:textId="77777777" w:rsidR="00CD3724" w:rsidRPr="00E2630C" w:rsidRDefault="00CD3724" w:rsidP="00CD3724">
      <w:pPr>
        <w:jc w:val="center"/>
        <w:rPr>
          <w:rFonts w:ascii="Times New Roman" w:hAnsi="Times New Roman" w:cs="Times New Roman"/>
          <w:b/>
          <w:color w:val="000000" w:themeColor="text1"/>
          <w:sz w:val="24"/>
          <w:szCs w:val="24"/>
        </w:rPr>
      </w:pPr>
    </w:p>
    <w:p w14:paraId="73EF4A8D" w14:textId="77777777" w:rsidR="00CD3724" w:rsidRPr="00E2630C" w:rsidRDefault="00CD3724" w:rsidP="00CD3724">
      <w:pPr>
        <w:jc w:val="center"/>
        <w:rPr>
          <w:rFonts w:ascii="Times New Roman" w:hAnsi="Times New Roman" w:cs="Times New Roman"/>
          <w:b/>
          <w:color w:val="000000" w:themeColor="text1"/>
          <w:sz w:val="24"/>
          <w:szCs w:val="24"/>
        </w:rPr>
      </w:pPr>
    </w:p>
    <w:p w14:paraId="3E0BEDC5" w14:textId="77777777" w:rsidR="00CD3724" w:rsidRPr="00E2630C" w:rsidRDefault="00CD3724" w:rsidP="00CD3724">
      <w:pPr>
        <w:jc w:val="center"/>
        <w:rPr>
          <w:rFonts w:ascii="Times New Roman" w:hAnsi="Times New Roman" w:cs="Times New Roman"/>
          <w:b/>
          <w:color w:val="000000" w:themeColor="text1"/>
          <w:sz w:val="24"/>
          <w:szCs w:val="24"/>
        </w:rPr>
      </w:pPr>
    </w:p>
    <w:p w14:paraId="6AAD83CB" w14:textId="77777777" w:rsidR="00CD3724" w:rsidRPr="00E2630C" w:rsidRDefault="00CD3724" w:rsidP="00CD3724">
      <w:pPr>
        <w:jc w:val="center"/>
        <w:rPr>
          <w:rFonts w:ascii="Times New Roman" w:hAnsi="Times New Roman" w:cs="Times New Roman"/>
          <w:b/>
          <w:color w:val="000000" w:themeColor="text1"/>
          <w:sz w:val="24"/>
          <w:szCs w:val="24"/>
        </w:rPr>
      </w:pPr>
    </w:p>
    <w:p w14:paraId="3FC89290" w14:textId="77777777" w:rsidR="00CD3724" w:rsidRPr="00E2630C" w:rsidRDefault="00CD3724" w:rsidP="00C80822">
      <w:pPr>
        <w:rPr>
          <w:rFonts w:ascii="Times New Roman" w:hAnsi="Times New Roman" w:cs="Times New Roman"/>
          <w:b/>
          <w:color w:val="000000" w:themeColor="text1"/>
          <w:sz w:val="24"/>
          <w:szCs w:val="24"/>
        </w:rPr>
      </w:pPr>
    </w:p>
    <w:p w14:paraId="29CE6128" w14:textId="77777777" w:rsidR="00C80822" w:rsidRPr="00E2630C" w:rsidRDefault="00C80822" w:rsidP="00C80822">
      <w:pPr>
        <w:rPr>
          <w:rFonts w:ascii="Times New Roman" w:hAnsi="Times New Roman" w:cs="Times New Roman"/>
          <w:b/>
          <w:color w:val="000000" w:themeColor="text1"/>
          <w:sz w:val="24"/>
          <w:szCs w:val="24"/>
        </w:rPr>
      </w:pPr>
    </w:p>
    <w:p w14:paraId="0CAB7010" w14:textId="77777777" w:rsidR="00CD3724" w:rsidRPr="00E2630C" w:rsidRDefault="00CD3724" w:rsidP="00CD3724">
      <w:pPr>
        <w:jc w:val="center"/>
        <w:rPr>
          <w:rFonts w:ascii="Times New Roman" w:hAnsi="Times New Roman" w:cs="Times New Roman"/>
          <w:b/>
          <w:color w:val="000000" w:themeColor="text1"/>
          <w:sz w:val="24"/>
          <w:szCs w:val="24"/>
        </w:rPr>
      </w:pPr>
    </w:p>
    <w:p w14:paraId="27F6CFCF" w14:textId="77777777" w:rsidR="00CD3724" w:rsidRPr="00E2630C" w:rsidRDefault="00CD3724" w:rsidP="00E2630C">
      <w:pPr>
        <w:pStyle w:val="Heading1"/>
      </w:pPr>
      <w:bookmarkStart w:id="4" w:name="_Toc182386204"/>
      <w:r w:rsidRPr="00E2630C">
        <w:lastRenderedPageBreak/>
        <w:t>TABLE OF CONTENTS</w:t>
      </w:r>
      <w:bookmarkEnd w:id="4"/>
    </w:p>
    <w:p w14:paraId="428F024E" w14:textId="77777777" w:rsidR="00CD3724" w:rsidRPr="00E2630C" w:rsidRDefault="00CD3724" w:rsidP="00CD3724">
      <w:pPr>
        <w:pStyle w:val="NoSpacing"/>
        <w:spacing w:line="360" w:lineRule="auto"/>
        <w:rPr>
          <w:rFonts w:ascii="Times New Roman" w:hAnsi="Times New Roman" w:cs="Times New Roman"/>
          <w:color w:val="000000" w:themeColor="text1"/>
          <w:sz w:val="24"/>
          <w:szCs w:val="24"/>
        </w:rPr>
      </w:pPr>
    </w:p>
    <w:p w14:paraId="7A6E375F" w14:textId="105B3A8A" w:rsidR="00DD112B" w:rsidRDefault="00DD112B">
      <w:pPr>
        <w:pStyle w:val="TOC1"/>
        <w:rPr>
          <w:rFonts w:asciiTheme="minorHAnsi" w:eastAsiaTheme="minorEastAsia" w:hAnsiTheme="minorHAnsi"/>
          <w:b w:val="0"/>
          <w:noProof/>
          <w:sz w:val="22"/>
          <w:lang w:val="en-US"/>
        </w:rPr>
      </w:pPr>
      <w:r>
        <w:rPr>
          <w:rFonts w:cs="Times New Roman"/>
          <w:color w:val="000000" w:themeColor="text1"/>
          <w:szCs w:val="24"/>
        </w:rPr>
        <w:fldChar w:fldCharType="begin"/>
      </w:r>
      <w:r>
        <w:rPr>
          <w:rFonts w:cs="Times New Roman"/>
          <w:color w:val="000000" w:themeColor="text1"/>
          <w:szCs w:val="24"/>
        </w:rPr>
        <w:instrText xml:space="preserve"> TOC \o "1-3" \h \z \u </w:instrText>
      </w:r>
      <w:r>
        <w:rPr>
          <w:rFonts w:cs="Times New Roman"/>
          <w:color w:val="000000" w:themeColor="text1"/>
          <w:szCs w:val="24"/>
        </w:rPr>
        <w:fldChar w:fldCharType="separate"/>
      </w:r>
      <w:hyperlink w:anchor="_Toc182386200" w:history="1">
        <w:r w:rsidRPr="00C6074C">
          <w:rPr>
            <w:rStyle w:val="Hyperlink"/>
            <w:noProof/>
          </w:rPr>
          <w:t>DECLARATION</w:t>
        </w:r>
        <w:r>
          <w:rPr>
            <w:noProof/>
            <w:webHidden/>
          </w:rPr>
          <w:tab/>
        </w:r>
        <w:r>
          <w:rPr>
            <w:noProof/>
            <w:webHidden/>
          </w:rPr>
          <w:fldChar w:fldCharType="begin"/>
        </w:r>
        <w:r>
          <w:rPr>
            <w:noProof/>
            <w:webHidden/>
          </w:rPr>
          <w:instrText xml:space="preserve"> PAGEREF _Toc182386200 \h </w:instrText>
        </w:r>
        <w:r>
          <w:rPr>
            <w:noProof/>
            <w:webHidden/>
          </w:rPr>
        </w:r>
        <w:r>
          <w:rPr>
            <w:noProof/>
            <w:webHidden/>
          </w:rPr>
          <w:fldChar w:fldCharType="separate"/>
        </w:r>
        <w:r w:rsidR="00B34C8F">
          <w:rPr>
            <w:noProof/>
            <w:webHidden/>
          </w:rPr>
          <w:t>i</w:t>
        </w:r>
        <w:r>
          <w:rPr>
            <w:noProof/>
            <w:webHidden/>
          </w:rPr>
          <w:fldChar w:fldCharType="end"/>
        </w:r>
      </w:hyperlink>
    </w:p>
    <w:p w14:paraId="714F3577" w14:textId="60D6A1AD" w:rsidR="00DD112B" w:rsidRDefault="00DD112B">
      <w:pPr>
        <w:pStyle w:val="TOC1"/>
        <w:rPr>
          <w:rFonts w:asciiTheme="minorHAnsi" w:eastAsiaTheme="minorEastAsia" w:hAnsiTheme="minorHAnsi"/>
          <w:b w:val="0"/>
          <w:noProof/>
          <w:sz w:val="22"/>
          <w:lang w:val="en-US"/>
        </w:rPr>
      </w:pPr>
      <w:hyperlink w:anchor="_Toc182386201" w:history="1">
        <w:r w:rsidRPr="00C6074C">
          <w:rPr>
            <w:rStyle w:val="Hyperlink"/>
            <w:noProof/>
          </w:rPr>
          <w:t>ABSTRACT</w:t>
        </w:r>
        <w:r>
          <w:rPr>
            <w:noProof/>
            <w:webHidden/>
          </w:rPr>
          <w:tab/>
        </w:r>
        <w:r>
          <w:rPr>
            <w:noProof/>
            <w:webHidden/>
          </w:rPr>
          <w:fldChar w:fldCharType="begin"/>
        </w:r>
        <w:r>
          <w:rPr>
            <w:noProof/>
            <w:webHidden/>
          </w:rPr>
          <w:instrText xml:space="preserve"> PAGEREF _Toc182386201 \h </w:instrText>
        </w:r>
        <w:r>
          <w:rPr>
            <w:noProof/>
            <w:webHidden/>
          </w:rPr>
        </w:r>
        <w:r>
          <w:rPr>
            <w:noProof/>
            <w:webHidden/>
          </w:rPr>
          <w:fldChar w:fldCharType="separate"/>
        </w:r>
        <w:r w:rsidR="00B34C8F">
          <w:rPr>
            <w:noProof/>
            <w:webHidden/>
          </w:rPr>
          <w:t>ii</w:t>
        </w:r>
        <w:r>
          <w:rPr>
            <w:noProof/>
            <w:webHidden/>
          </w:rPr>
          <w:fldChar w:fldCharType="end"/>
        </w:r>
      </w:hyperlink>
    </w:p>
    <w:p w14:paraId="06C2FD1C" w14:textId="58330F64" w:rsidR="00DD112B" w:rsidRDefault="00DD112B">
      <w:pPr>
        <w:pStyle w:val="TOC1"/>
        <w:rPr>
          <w:rFonts w:asciiTheme="minorHAnsi" w:eastAsiaTheme="minorEastAsia" w:hAnsiTheme="minorHAnsi"/>
          <w:b w:val="0"/>
          <w:noProof/>
          <w:sz w:val="22"/>
          <w:lang w:val="en-US"/>
        </w:rPr>
      </w:pPr>
      <w:hyperlink w:anchor="_Toc182386202" w:history="1">
        <w:r w:rsidRPr="00C6074C">
          <w:rPr>
            <w:rStyle w:val="Hyperlink"/>
            <w:noProof/>
          </w:rPr>
          <w:t>ACKNOWLEDGEMNTS</w:t>
        </w:r>
        <w:r>
          <w:rPr>
            <w:noProof/>
            <w:webHidden/>
          </w:rPr>
          <w:tab/>
        </w:r>
        <w:r>
          <w:rPr>
            <w:noProof/>
            <w:webHidden/>
          </w:rPr>
          <w:fldChar w:fldCharType="begin"/>
        </w:r>
        <w:r>
          <w:rPr>
            <w:noProof/>
            <w:webHidden/>
          </w:rPr>
          <w:instrText xml:space="preserve"> PAGEREF _Toc182386202 \h </w:instrText>
        </w:r>
        <w:r>
          <w:rPr>
            <w:noProof/>
            <w:webHidden/>
          </w:rPr>
        </w:r>
        <w:r>
          <w:rPr>
            <w:noProof/>
            <w:webHidden/>
          </w:rPr>
          <w:fldChar w:fldCharType="separate"/>
        </w:r>
        <w:r w:rsidR="00B34C8F">
          <w:rPr>
            <w:noProof/>
            <w:webHidden/>
          </w:rPr>
          <w:t>iii</w:t>
        </w:r>
        <w:r>
          <w:rPr>
            <w:noProof/>
            <w:webHidden/>
          </w:rPr>
          <w:fldChar w:fldCharType="end"/>
        </w:r>
      </w:hyperlink>
    </w:p>
    <w:p w14:paraId="0174DDCA" w14:textId="395A2594" w:rsidR="00DD112B" w:rsidRDefault="00DD112B">
      <w:pPr>
        <w:pStyle w:val="TOC1"/>
        <w:rPr>
          <w:rFonts w:asciiTheme="minorHAnsi" w:eastAsiaTheme="minorEastAsia" w:hAnsiTheme="minorHAnsi"/>
          <w:b w:val="0"/>
          <w:noProof/>
          <w:sz w:val="22"/>
          <w:lang w:val="en-US"/>
        </w:rPr>
      </w:pPr>
      <w:hyperlink w:anchor="_Toc182386203" w:history="1">
        <w:r w:rsidRPr="00C6074C">
          <w:rPr>
            <w:rStyle w:val="Hyperlink"/>
            <w:noProof/>
          </w:rPr>
          <w:t>DEDICATION</w:t>
        </w:r>
        <w:r>
          <w:rPr>
            <w:noProof/>
            <w:webHidden/>
          </w:rPr>
          <w:tab/>
        </w:r>
        <w:r>
          <w:rPr>
            <w:noProof/>
            <w:webHidden/>
          </w:rPr>
          <w:fldChar w:fldCharType="begin"/>
        </w:r>
        <w:r>
          <w:rPr>
            <w:noProof/>
            <w:webHidden/>
          </w:rPr>
          <w:instrText xml:space="preserve"> PAGEREF _Toc182386203 \h </w:instrText>
        </w:r>
        <w:r>
          <w:rPr>
            <w:noProof/>
            <w:webHidden/>
          </w:rPr>
        </w:r>
        <w:r>
          <w:rPr>
            <w:noProof/>
            <w:webHidden/>
          </w:rPr>
          <w:fldChar w:fldCharType="separate"/>
        </w:r>
        <w:r w:rsidR="00B34C8F">
          <w:rPr>
            <w:noProof/>
            <w:webHidden/>
          </w:rPr>
          <w:t>iv</w:t>
        </w:r>
        <w:r>
          <w:rPr>
            <w:noProof/>
            <w:webHidden/>
          </w:rPr>
          <w:fldChar w:fldCharType="end"/>
        </w:r>
      </w:hyperlink>
    </w:p>
    <w:p w14:paraId="7B6D2DD9" w14:textId="5875D5B2" w:rsidR="00DD112B" w:rsidRDefault="00DD112B">
      <w:pPr>
        <w:pStyle w:val="TOC1"/>
        <w:rPr>
          <w:rFonts w:asciiTheme="minorHAnsi" w:eastAsiaTheme="minorEastAsia" w:hAnsiTheme="minorHAnsi"/>
          <w:b w:val="0"/>
          <w:noProof/>
          <w:sz w:val="22"/>
          <w:lang w:val="en-US"/>
        </w:rPr>
      </w:pPr>
      <w:hyperlink w:anchor="_Toc182386204" w:history="1">
        <w:r w:rsidRPr="00C6074C">
          <w:rPr>
            <w:rStyle w:val="Hyperlink"/>
            <w:noProof/>
          </w:rPr>
          <w:t>TABLE OF CONTENTS</w:t>
        </w:r>
        <w:r>
          <w:rPr>
            <w:noProof/>
            <w:webHidden/>
          </w:rPr>
          <w:tab/>
        </w:r>
        <w:r>
          <w:rPr>
            <w:noProof/>
            <w:webHidden/>
          </w:rPr>
          <w:fldChar w:fldCharType="begin"/>
        </w:r>
        <w:r>
          <w:rPr>
            <w:noProof/>
            <w:webHidden/>
          </w:rPr>
          <w:instrText xml:space="preserve"> PAGEREF _Toc182386204 \h </w:instrText>
        </w:r>
        <w:r>
          <w:rPr>
            <w:noProof/>
            <w:webHidden/>
          </w:rPr>
        </w:r>
        <w:r>
          <w:rPr>
            <w:noProof/>
            <w:webHidden/>
          </w:rPr>
          <w:fldChar w:fldCharType="separate"/>
        </w:r>
        <w:r w:rsidR="00B34C8F">
          <w:rPr>
            <w:noProof/>
            <w:webHidden/>
          </w:rPr>
          <w:t>v</w:t>
        </w:r>
        <w:r>
          <w:rPr>
            <w:noProof/>
            <w:webHidden/>
          </w:rPr>
          <w:fldChar w:fldCharType="end"/>
        </w:r>
      </w:hyperlink>
    </w:p>
    <w:p w14:paraId="2684E920" w14:textId="3832C2D9" w:rsidR="00DD112B" w:rsidRDefault="00DD112B">
      <w:pPr>
        <w:pStyle w:val="TOC1"/>
        <w:rPr>
          <w:rFonts w:asciiTheme="minorHAnsi" w:eastAsiaTheme="minorEastAsia" w:hAnsiTheme="minorHAnsi"/>
          <w:b w:val="0"/>
          <w:noProof/>
          <w:sz w:val="22"/>
          <w:lang w:val="en-US"/>
        </w:rPr>
      </w:pPr>
      <w:hyperlink w:anchor="_Toc182386205" w:history="1">
        <w:r w:rsidRPr="00C6074C">
          <w:rPr>
            <w:rStyle w:val="Hyperlink"/>
            <w:noProof/>
          </w:rPr>
          <w:t>LIST OF TABLES</w:t>
        </w:r>
        <w:r>
          <w:rPr>
            <w:noProof/>
            <w:webHidden/>
          </w:rPr>
          <w:tab/>
        </w:r>
        <w:r>
          <w:rPr>
            <w:noProof/>
            <w:webHidden/>
          </w:rPr>
          <w:fldChar w:fldCharType="begin"/>
        </w:r>
        <w:r>
          <w:rPr>
            <w:noProof/>
            <w:webHidden/>
          </w:rPr>
          <w:instrText xml:space="preserve"> PAGEREF _Toc182386205 \h </w:instrText>
        </w:r>
        <w:r>
          <w:rPr>
            <w:noProof/>
            <w:webHidden/>
          </w:rPr>
        </w:r>
        <w:r>
          <w:rPr>
            <w:noProof/>
            <w:webHidden/>
          </w:rPr>
          <w:fldChar w:fldCharType="separate"/>
        </w:r>
        <w:r w:rsidR="00B34C8F">
          <w:rPr>
            <w:noProof/>
            <w:webHidden/>
          </w:rPr>
          <w:t>ix</w:t>
        </w:r>
        <w:r>
          <w:rPr>
            <w:noProof/>
            <w:webHidden/>
          </w:rPr>
          <w:fldChar w:fldCharType="end"/>
        </w:r>
      </w:hyperlink>
    </w:p>
    <w:p w14:paraId="53F0496A" w14:textId="0EDDA252" w:rsidR="00DD112B" w:rsidRDefault="00DD112B">
      <w:pPr>
        <w:pStyle w:val="TOC1"/>
        <w:rPr>
          <w:rFonts w:asciiTheme="minorHAnsi" w:eastAsiaTheme="minorEastAsia" w:hAnsiTheme="minorHAnsi"/>
          <w:b w:val="0"/>
          <w:noProof/>
          <w:sz w:val="22"/>
          <w:lang w:val="en-US"/>
        </w:rPr>
      </w:pPr>
      <w:hyperlink w:anchor="_Toc182386206" w:history="1">
        <w:r w:rsidRPr="00C6074C">
          <w:rPr>
            <w:rStyle w:val="Hyperlink"/>
            <w:noProof/>
          </w:rPr>
          <w:t>LIST OF FIGURES</w:t>
        </w:r>
        <w:r>
          <w:rPr>
            <w:noProof/>
            <w:webHidden/>
          </w:rPr>
          <w:tab/>
        </w:r>
        <w:r>
          <w:rPr>
            <w:noProof/>
            <w:webHidden/>
          </w:rPr>
          <w:fldChar w:fldCharType="begin"/>
        </w:r>
        <w:r>
          <w:rPr>
            <w:noProof/>
            <w:webHidden/>
          </w:rPr>
          <w:instrText xml:space="preserve"> PAGEREF _Toc182386206 \h </w:instrText>
        </w:r>
        <w:r>
          <w:rPr>
            <w:noProof/>
            <w:webHidden/>
          </w:rPr>
        </w:r>
        <w:r>
          <w:rPr>
            <w:noProof/>
            <w:webHidden/>
          </w:rPr>
          <w:fldChar w:fldCharType="separate"/>
        </w:r>
        <w:r w:rsidR="00B34C8F">
          <w:rPr>
            <w:noProof/>
            <w:webHidden/>
          </w:rPr>
          <w:t>x</w:t>
        </w:r>
        <w:r>
          <w:rPr>
            <w:noProof/>
            <w:webHidden/>
          </w:rPr>
          <w:fldChar w:fldCharType="end"/>
        </w:r>
      </w:hyperlink>
    </w:p>
    <w:p w14:paraId="443D4AB7" w14:textId="562E5CA8" w:rsidR="00DD112B" w:rsidRDefault="00DD112B">
      <w:pPr>
        <w:pStyle w:val="TOC1"/>
        <w:rPr>
          <w:rFonts w:asciiTheme="minorHAnsi" w:eastAsiaTheme="minorEastAsia" w:hAnsiTheme="minorHAnsi"/>
          <w:b w:val="0"/>
          <w:noProof/>
          <w:sz w:val="22"/>
          <w:lang w:val="en-US"/>
        </w:rPr>
      </w:pPr>
      <w:hyperlink w:anchor="_Toc182386207" w:history="1">
        <w:r w:rsidRPr="00C6074C">
          <w:rPr>
            <w:rStyle w:val="Hyperlink"/>
            <w:noProof/>
          </w:rPr>
          <w:t>LIST OF ABBREVIATIONS/ACRONYMS</w:t>
        </w:r>
        <w:r>
          <w:rPr>
            <w:noProof/>
            <w:webHidden/>
          </w:rPr>
          <w:tab/>
        </w:r>
        <w:r>
          <w:rPr>
            <w:noProof/>
            <w:webHidden/>
          </w:rPr>
          <w:fldChar w:fldCharType="begin"/>
        </w:r>
        <w:r>
          <w:rPr>
            <w:noProof/>
            <w:webHidden/>
          </w:rPr>
          <w:instrText xml:space="preserve"> PAGEREF _Toc182386207 \h </w:instrText>
        </w:r>
        <w:r>
          <w:rPr>
            <w:noProof/>
            <w:webHidden/>
          </w:rPr>
        </w:r>
        <w:r>
          <w:rPr>
            <w:noProof/>
            <w:webHidden/>
          </w:rPr>
          <w:fldChar w:fldCharType="separate"/>
        </w:r>
        <w:r w:rsidR="00B34C8F">
          <w:rPr>
            <w:noProof/>
            <w:webHidden/>
          </w:rPr>
          <w:t>xi</w:t>
        </w:r>
        <w:r>
          <w:rPr>
            <w:noProof/>
            <w:webHidden/>
          </w:rPr>
          <w:fldChar w:fldCharType="end"/>
        </w:r>
      </w:hyperlink>
    </w:p>
    <w:p w14:paraId="7E6814D6" w14:textId="241DD33B" w:rsidR="00DD112B" w:rsidRDefault="00DD112B">
      <w:pPr>
        <w:pStyle w:val="TOC1"/>
        <w:rPr>
          <w:rFonts w:asciiTheme="minorHAnsi" w:eastAsiaTheme="minorEastAsia" w:hAnsiTheme="minorHAnsi"/>
          <w:b w:val="0"/>
          <w:noProof/>
          <w:sz w:val="22"/>
          <w:lang w:val="en-US"/>
        </w:rPr>
      </w:pPr>
      <w:hyperlink w:anchor="_Toc182386208" w:history="1">
        <w:r w:rsidRPr="00C6074C">
          <w:rPr>
            <w:rStyle w:val="Hyperlink"/>
            <w:noProof/>
          </w:rPr>
          <w:t>CHAPTER ONE</w:t>
        </w:r>
        <w:r>
          <w:rPr>
            <w:noProof/>
            <w:webHidden/>
          </w:rPr>
          <w:tab/>
        </w:r>
        <w:r>
          <w:rPr>
            <w:noProof/>
            <w:webHidden/>
          </w:rPr>
          <w:fldChar w:fldCharType="begin"/>
        </w:r>
        <w:r>
          <w:rPr>
            <w:noProof/>
            <w:webHidden/>
          </w:rPr>
          <w:instrText xml:space="preserve"> PAGEREF _Toc182386208 \h </w:instrText>
        </w:r>
        <w:r>
          <w:rPr>
            <w:noProof/>
            <w:webHidden/>
          </w:rPr>
        </w:r>
        <w:r>
          <w:rPr>
            <w:noProof/>
            <w:webHidden/>
          </w:rPr>
          <w:fldChar w:fldCharType="separate"/>
        </w:r>
        <w:r w:rsidR="00B34C8F">
          <w:rPr>
            <w:noProof/>
            <w:webHidden/>
          </w:rPr>
          <w:t>1</w:t>
        </w:r>
        <w:r>
          <w:rPr>
            <w:noProof/>
            <w:webHidden/>
          </w:rPr>
          <w:fldChar w:fldCharType="end"/>
        </w:r>
      </w:hyperlink>
    </w:p>
    <w:p w14:paraId="79F44515" w14:textId="74094E49" w:rsidR="00DD112B" w:rsidRDefault="00DD112B">
      <w:pPr>
        <w:pStyle w:val="TOC1"/>
        <w:rPr>
          <w:rFonts w:asciiTheme="minorHAnsi" w:eastAsiaTheme="minorEastAsia" w:hAnsiTheme="minorHAnsi"/>
          <w:b w:val="0"/>
          <w:noProof/>
          <w:sz w:val="22"/>
          <w:lang w:val="en-US"/>
        </w:rPr>
      </w:pPr>
      <w:hyperlink w:anchor="_Toc182386209" w:history="1">
        <w:r w:rsidRPr="00C6074C">
          <w:rPr>
            <w:rStyle w:val="Hyperlink"/>
            <w:noProof/>
          </w:rPr>
          <w:t>INTRODUCTION</w:t>
        </w:r>
        <w:r>
          <w:rPr>
            <w:noProof/>
            <w:webHidden/>
          </w:rPr>
          <w:tab/>
        </w:r>
        <w:r>
          <w:rPr>
            <w:noProof/>
            <w:webHidden/>
          </w:rPr>
          <w:fldChar w:fldCharType="begin"/>
        </w:r>
        <w:r>
          <w:rPr>
            <w:noProof/>
            <w:webHidden/>
          </w:rPr>
          <w:instrText xml:space="preserve"> PAGEREF _Toc182386209 \h </w:instrText>
        </w:r>
        <w:r>
          <w:rPr>
            <w:noProof/>
            <w:webHidden/>
          </w:rPr>
        </w:r>
        <w:r>
          <w:rPr>
            <w:noProof/>
            <w:webHidden/>
          </w:rPr>
          <w:fldChar w:fldCharType="separate"/>
        </w:r>
        <w:r w:rsidR="00B34C8F">
          <w:rPr>
            <w:noProof/>
            <w:webHidden/>
          </w:rPr>
          <w:t>1</w:t>
        </w:r>
        <w:r>
          <w:rPr>
            <w:noProof/>
            <w:webHidden/>
          </w:rPr>
          <w:fldChar w:fldCharType="end"/>
        </w:r>
      </w:hyperlink>
    </w:p>
    <w:p w14:paraId="2B0B33D6" w14:textId="29B5B7AE" w:rsidR="00DD112B" w:rsidRDefault="00DD112B">
      <w:pPr>
        <w:pStyle w:val="TOC2"/>
        <w:tabs>
          <w:tab w:val="right" w:leader="dot" w:pos="8296"/>
        </w:tabs>
        <w:rPr>
          <w:rFonts w:asciiTheme="minorHAnsi" w:eastAsiaTheme="minorEastAsia" w:hAnsiTheme="minorHAnsi"/>
          <w:noProof/>
          <w:sz w:val="22"/>
          <w:lang w:val="en-US"/>
        </w:rPr>
      </w:pPr>
      <w:hyperlink w:anchor="_Toc182386210" w:history="1">
        <w:r w:rsidRPr="00C6074C">
          <w:rPr>
            <w:rStyle w:val="Hyperlink"/>
            <w:noProof/>
          </w:rPr>
          <w:t>1.1 Background to the Study</w:t>
        </w:r>
        <w:r>
          <w:rPr>
            <w:noProof/>
            <w:webHidden/>
          </w:rPr>
          <w:tab/>
        </w:r>
        <w:r>
          <w:rPr>
            <w:noProof/>
            <w:webHidden/>
          </w:rPr>
          <w:fldChar w:fldCharType="begin"/>
        </w:r>
        <w:r>
          <w:rPr>
            <w:noProof/>
            <w:webHidden/>
          </w:rPr>
          <w:instrText xml:space="preserve"> PAGEREF _Toc182386210 \h </w:instrText>
        </w:r>
        <w:r>
          <w:rPr>
            <w:noProof/>
            <w:webHidden/>
          </w:rPr>
        </w:r>
        <w:r>
          <w:rPr>
            <w:noProof/>
            <w:webHidden/>
          </w:rPr>
          <w:fldChar w:fldCharType="separate"/>
        </w:r>
        <w:r w:rsidR="00B34C8F">
          <w:rPr>
            <w:noProof/>
            <w:webHidden/>
          </w:rPr>
          <w:t>1</w:t>
        </w:r>
        <w:r>
          <w:rPr>
            <w:noProof/>
            <w:webHidden/>
          </w:rPr>
          <w:fldChar w:fldCharType="end"/>
        </w:r>
      </w:hyperlink>
    </w:p>
    <w:p w14:paraId="67D0604C" w14:textId="2F11B8F1" w:rsidR="00DD112B" w:rsidRDefault="00DD112B">
      <w:pPr>
        <w:pStyle w:val="TOC2"/>
        <w:tabs>
          <w:tab w:val="right" w:leader="dot" w:pos="8296"/>
        </w:tabs>
        <w:rPr>
          <w:rFonts w:asciiTheme="minorHAnsi" w:eastAsiaTheme="minorEastAsia" w:hAnsiTheme="minorHAnsi"/>
          <w:noProof/>
          <w:sz w:val="22"/>
          <w:lang w:val="en-US"/>
        </w:rPr>
      </w:pPr>
      <w:hyperlink w:anchor="_Toc182386211" w:history="1">
        <w:r w:rsidRPr="00C6074C">
          <w:rPr>
            <w:rStyle w:val="Hyperlink"/>
            <w:noProof/>
          </w:rPr>
          <w:t>1.2 Problem Statement</w:t>
        </w:r>
        <w:r>
          <w:rPr>
            <w:noProof/>
            <w:webHidden/>
          </w:rPr>
          <w:tab/>
        </w:r>
        <w:r>
          <w:rPr>
            <w:noProof/>
            <w:webHidden/>
          </w:rPr>
          <w:fldChar w:fldCharType="begin"/>
        </w:r>
        <w:r>
          <w:rPr>
            <w:noProof/>
            <w:webHidden/>
          </w:rPr>
          <w:instrText xml:space="preserve"> PAGEREF _Toc182386211 \h </w:instrText>
        </w:r>
        <w:r>
          <w:rPr>
            <w:noProof/>
            <w:webHidden/>
          </w:rPr>
        </w:r>
        <w:r>
          <w:rPr>
            <w:noProof/>
            <w:webHidden/>
          </w:rPr>
          <w:fldChar w:fldCharType="separate"/>
        </w:r>
        <w:r w:rsidR="00B34C8F">
          <w:rPr>
            <w:noProof/>
            <w:webHidden/>
          </w:rPr>
          <w:t>4</w:t>
        </w:r>
        <w:r>
          <w:rPr>
            <w:noProof/>
            <w:webHidden/>
          </w:rPr>
          <w:fldChar w:fldCharType="end"/>
        </w:r>
      </w:hyperlink>
    </w:p>
    <w:p w14:paraId="400B2F5B" w14:textId="0EEA0830" w:rsidR="00DD112B" w:rsidRDefault="00DD112B">
      <w:pPr>
        <w:pStyle w:val="TOC2"/>
        <w:tabs>
          <w:tab w:val="right" w:leader="dot" w:pos="8296"/>
        </w:tabs>
        <w:rPr>
          <w:rFonts w:asciiTheme="minorHAnsi" w:eastAsiaTheme="minorEastAsia" w:hAnsiTheme="minorHAnsi"/>
          <w:noProof/>
          <w:sz w:val="22"/>
          <w:lang w:val="en-US"/>
        </w:rPr>
      </w:pPr>
      <w:hyperlink w:anchor="_Toc182386212" w:history="1">
        <w:r w:rsidRPr="00C6074C">
          <w:rPr>
            <w:rStyle w:val="Hyperlink"/>
            <w:noProof/>
          </w:rPr>
          <w:t>1.3 Research Objectives</w:t>
        </w:r>
        <w:r>
          <w:rPr>
            <w:noProof/>
            <w:webHidden/>
          </w:rPr>
          <w:tab/>
        </w:r>
        <w:r>
          <w:rPr>
            <w:noProof/>
            <w:webHidden/>
          </w:rPr>
          <w:fldChar w:fldCharType="begin"/>
        </w:r>
        <w:r>
          <w:rPr>
            <w:noProof/>
            <w:webHidden/>
          </w:rPr>
          <w:instrText xml:space="preserve"> PAGEREF _Toc182386212 \h </w:instrText>
        </w:r>
        <w:r>
          <w:rPr>
            <w:noProof/>
            <w:webHidden/>
          </w:rPr>
        </w:r>
        <w:r>
          <w:rPr>
            <w:noProof/>
            <w:webHidden/>
          </w:rPr>
          <w:fldChar w:fldCharType="separate"/>
        </w:r>
        <w:r w:rsidR="00B34C8F">
          <w:rPr>
            <w:noProof/>
            <w:webHidden/>
          </w:rPr>
          <w:t>6</w:t>
        </w:r>
        <w:r>
          <w:rPr>
            <w:noProof/>
            <w:webHidden/>
          </w:rPr>
          <w:fldChar w:fldCharType="end"/>
        </w:r>
      </w:hyperlink>
    </w:p>
    <w:p w14:paraId="0824978B" w14:textId="5E007B1D" w:rsidR="00DD112B" w:rsidRDefault="00DD112B">
      <w:pPr>
        <w:pStyle w:val="TOC3"/>
        <w:tabs>
          <w:tab w:val="right" w:leader="dot" w:pos="8296"/>
        </w:tabs>
        <w:rPr>
          <w:rFonts w:asciiTheme="minorHAnsi" w:eastAsiaTheme="minorEastAsia" w:hAnsiTheme="minorHAnsi"/>
          <w:noProof/>
          <w:sz w:val="22"/>
          <w:lang w:val="en-US"/>
        </w:rPr>
      </w:pPr>
      <w:hyperlink w:anchor="_Toc182386213" w:history="1">
        <w:r w:rsidRPr="00C6074C">
          <w:rPr>
            <w:rStyle w:val="Hyperlink"/>
            <w:noProof/>
          </w:rPr>
          <w:t>1.3.1 Main Research Objective</w:t>
        </w:r>
        <w:r>
          <w:rPr>
            <w:noProof/>
            <w:webHidden/>
          </w:rPr>
          <w:tab/>
        </w:r>
        <w:r>
          <w:rPr>
            <w:noProof/>
            <w:webHidden/>
          </w:rPr>
          <w:fldChar w:fldCharType="begin"/>
        </w:r>
        <w:r>
          <w:rPr>
            <w:noProof/>
            <w:webHidden/>
          </w:rPr>
          <w:instrText xml:space="preserve"> PAGEREF _Toc182386213 \h </w:instrText>
        </w:r>
        <w:r>
          <w:rPr>
            <w:noProof/>
            <w:webHidden/>
          </w:rPr>
        </w:r>
        <w:r>
          <w:rPr>
            <w:noProof/>
            <w:webHidden/>
          </w:rPr>
          <w:fldChar w:fldCharType="separate"/>
        </w:r>
        <w:r w:rsidR="00B34C8F">
          <w:rPr>
            <w:noProof/>
            <w:webHidden/>
          </w:rPr>
          <w:t>6</w:t>
        </w:r>
        <w:r>
          <w:rPr>
            <w:noProof/>
            <w:webHidden/>
          </w:rPr>
          <w:fldChar w:fldCharType="end"/>
        </w:r>
      </w:hyperlink>
    </w:p>
    <w:p w14:paraId="7ED66F08" w14:textId="6E8833EE" w:rsidR="00DD112B" w:rsidRDefault="00DD112B">
      <w:pPr>
        <w:pStyle w:val="TOC3"/>
        <w:tabs>
          <w:tab w:val="right" w:leader="dot" w:pos="8296"/>
        </w:tabs>
        <w:rPr>
          <w:rFonts w:asciiTheme="minorHAnsi" w:eastAsiaTheme="minorEastAsia" w:hAnsiTheme="minorHAnsi"/>
          <w:noProof/>
          <w:sz w:val="22"/>
          <w:lang w:val="en-US"/>
        </w:rPr>
      </w:pPr>
      <w:hyperlink w:anchor="_Toc182386214" w:history="1">
        <w:r w:rsidRPr="00C6074C">
          <w:rPr>
            <w:rStyle w:val="Hyperlink"/>
            <w:noProof/>
          </w:rPr>
          <w:t>1.3.2 Specific Research Objectives</w:t>
        </w:r>
        <w:r>
          <w:rPr>
            <w:noProof/>
            <w:webHidden/>
          </w:rPr>
          <w:tab/>
        </w:r>
        <w:r>
          <w:rPr>
            <w:noProof/>
            <w:webHidden/>
          </w:rPr>
          <w:fldChar w:fldCharType="begin"/>
        </w:r>
        <w:r>
          <w:rPr>
            <w:noProof/>
            <w:webHidden/>
          </w:rPr>
          <w:instrText xml:space="preserve"> PAGEREF _Toc182386214 \h </w:instrText>
        </w:r>
        <w:r>
          <w:rPr>
            <w:noProof/>
            <w:webHidden/>
          </w:rPr>
        </w:r>
        <w:r>
          <w:rPr>
            <w:noProof/>
            <w:webHidden/>
          </w:rPr>
          <w:fldChar w:fldCharType="separate"/>
        </w:r>
        <w:r w:rsidR="00B34C8F">
          <w:rPr>
            <w:noProof/>
            <w:webHidden/>
          </w:rPr>
          <w:t>6</w:t>
        </w:r>
        <w:r>
          <w:rPr>
            <w:noProof/>
            <w:webHidden/>
          </w:rPr>
          <w:fldChar w:fldCharType="end"/>
        </w:r>
      </w:hyperlink>
    </w:p>
    <w:p w14:paraId="036E8750" w14:textId="15236110" w:rsidR="00DD112B" w:rsidRDefault="00DD112B">
      <w:pPr>
        <w:pStyle w:val="TOC2"/>
        <w:tabs>
          <w:tab w:val="right" w:leader="dot" w:pos="8296"/>
        </w:tabs>
        <w:rPr>
          <w:rFonts w:asciiTheme="minorHAnsi" w:eastAsiaTheme="minorEastAsia" w:hAnsiTheme="minorHAnsi"/>
          <w:noProof/>
          <w:sz w:val="22"/>
          <w:lang w:val="en-US"/>
        </w:rPr>
      </w:pPr>
      <w:hyperlink w:anchor="_Toc182386215" w:history="1">
        <w:r w:rsidRPr="00C6074C">
          <w:rPr>
            <w:rStyle w:val="Hyperlink"/>
            <w:noProof/>
          </w:rPr>
          <w:t>1.4 Research Questions</w:t>
        </w:r>
        <w:r>
          <w:rPr>
            <w:noProof/>
            <w:webHidden/>
          </w:rPr>
          <w:tab/>
        </w:r>
        <w:r>
          <w:rPr>
            <w:noProof/>
            <w:webHidden/>
          </w:rPr>
          <w:fldChar w:fldCharType="begin"/>
        </w:r>
        <w:r>
          <w:rPr>
            <w:noProof/>
            <w:webHidden/>
          </w:rPr>
          <w:instrText xml:space="preserve"> PAGEREF _Toc182386215 \h </w:instrText>
        </w:r>
        <w:r>
          <w:rPr>
            <w:noProof/>
            <w:webHidden/>
          </w:rPr>
        </w:r>
        <w:r>
          <w:rPr>
            <w:noProof/>
            <w:webHidden/>
          </w:rPr>
          <w:fldChar w:fldCharType="separate"/>
        </w:r>
        <w:r w:rsidR="00B34C8F">
          <w:rPr>
            <w:noProof/>
            <w:webHidden/>
          </w:rPr>
          <w:t>6</w:t>
        </w:r>
        <w:r>
          <w:rPr>
            <w:noProof/>
            <w:webHidden/>
          </w:rPr>
          <w:fldChar w:fldCharType="end"/>
        </w:r>
      </w:hyperlink>
    </w:p>
    <w:p w14:paraId="4249AFDA" w14:textId="438BA81B" w:rsidR="00DD112B" w:rsidRDefault="00DD112B">
      <w:pPr>
        <w:pStyle w:val="TOC3"/>
        <w:tabs>
          <w:tab w:val="right" w:leader="dot" w:pos="8296"/>
        </w:tabs>
        <w:rPr>
          <w:rFonts w:asciiTheme="minorHAnsi" w:eastAsiaTheme="minorEastAsia" w:hAnsiTheme="minorHAnsi"/>
          <w:noProof/>
          <w:sz w:val="22"/>
          <w:lang w:val="en-US"/>
        </w:rPr>
      </w:pPr>
      <w:hyperlink w:anchor="_Toc182386216" w:history="1">
        <w:r w:rsidRPr="00C6074C">
          <w:rPr>
            <w:rStyle w:val="Hyperlink"/>
            <w:noProof/>
          </w:rPr>
          <w:t>1.4.1 Main Research Question</w:t>
        </w:r>
        <w:r>
          <w:rPr>
            <w:noProof/>
            <w:webHidden/>
          </w:rPr>
          <w:tab/>
        </w:r>
        <w:r>
          <w:rPr>
            <w:noProof/>
            <w:webHidden/>
          </w:rPr>
          <w:fldChar w:fldCharType="begin"/>
        </w:r>
        <w:r>
          <w:rPr>
            <w:noProof/>
            <w:webHidden/>
          </w:rPr>
          <w:instrText xml:space="preserve"> PAGEREF _Toc182386216 \h </w:instrText>
        </w:r>
        <w:r>
          <w:rPr>
            <w:noProof/>
            <w:webHidden/>
          </w:rPr>
        </w:r>
        <w:r>
          <w:rPr>
            <w:noProof/>
            <w:webHidden/>
          </w:rPr>
          <w:fldChar w:fldCharType="separate"/>
        </w:r>
        <w:r w:rsidR="00B34C8F">
          <w:rPr>
            <w:noProof/>
            <w:webHidden/>
          </w:rPr>
          <w:t>6</w:t>
        </w:r>
        <w:r>
          <w:rPr>
            <w:noProof/>
            <w:webHidden/>
          </w:rPr>
          <w:fldChar w:fldCharType="end"/>
        </w:r>
      </w:hyperlink>
    </w:p>
    <w:p w14:paraId="1FEC02FB" w14:textId="6F8DF89C" w:rsidR="00DD112B" w:rsidRDefault="00DD112B">
      <w:pPr>
        <w:pStyle w:val="TOC2"/>
        <w:tabs>
          <w:tab w:val="right" w:leader="dot" w:pos="8296"/>
        </w:tabs>
        <w:rPr>
          <w:rFonts w:asciiTheme="minorHAnsi" w:eastAsiaTheme="minorEastAsia" w:hAnsiTheme="minorHAnsi"/>
          <w:noProof/>
          <w:sz w:val="22"/>
          <w:lang w:val="en-US"/>
        </w:rPr>
      </w:pPr>
      <w:hyperlink w:anchor="_Toc182386217" w:history="1">
        <w:r w:rsidRPr="00C6074C">
          <w:rPr>
            <w:rStyle w:val="Hyperlink"/>
            <w:noProof/>
          </w:rPr>
          <w:t>1.5 Significance of the Study</w:t>
        </w:r>
        <w:r>
          <w:rPr>
            <w:noProof/>
            <w:webHidden/>
          </w:rPr>
          <w:tab/>
        </w:r>
        <w:r>
          <w:rPr>
            <w:noProof/>
            <w:webHidden/>
          </w:rPr>
          <w:fldChar w:fldCharType="begin"/>
        </w:r>
        <w:r>
          <w:rPr>
            <w:noProof/>
            <w:webHidden/>
          </w:rPr>
          <w:instrText xml:space="preserve"> PAGEREF _Toc182386217 \h </w:instrText>
        </w:r>
        <w:r>
          <w:rPr>
            <w:noProof/>
            <w:webHidden/>
          </w:rPr>
        </w:r>
        <w:r>
          <w:rPr>
            <w:noProof/>
            <w:webHidden/>
          </w:rPr>
          <w:fldChar w:fldCharType="separate"/>
        </w:r>
        <w:r w:rsidR="00B34C8F">
          <w:rPr>
            <w:noProof/>
            <w:webHidden/>
          </w:rPr>
          <w:t>7</w:t>
        </w:r>
        <w:r>
          <w:rPr>
            <w:noProof/>
            <w:webHidden/>
          </w:rPr>
          <w:fldChar w:fldCharType="end"/>
        </w:r>
      </w:hyperlink>
    </w:p>
    <w:p w14:paraId="3C3B2748" w14:textId="4AAE0CB6" w:rsidR="00DD112B" w:rsidRDefault="00DD112B">
      <w:pPr>
        <w:pStyle w:val="TOC2"/>
        <w:tabs>
          <w:tab w:val="right" w:leader="dot" w:pos="8296"/>
        </w:tabs>
        <w:rPr>
          <w:rFonts w:asciiTheme="minorHAnsi" w:eastAsiaTheme="minorEastAsia" w:hAnsiTheme="minorHAnsi"/>
          <w:noProof/>
          <w:sz w:val="22"/>
          <w:lang w:val="en-US"/>
        </w:rPr>
      </w:pPr>
      <w:hyperlink w:anchor="_Toc182386218" w:history="1">
        <w:r w:rsidRPr="00C6074C">
          <w:rPr>
            <w:rStyle w:val="Hyperlink"/>
            <w:noProof/>
          </w:rPr>
          <w:t>1.6 Scope of the Study</w:t>
        </w:r>
        <w:r>
          <w:rPr>
            <w:noProof/>
            <w:webHidden/>
          </w:rPr>
          <w:tab/>
        </w:r>
        <w:r>
          <w:rPr>
            <w:noProof/>
            <w:webHidden/>
          </w:rPr>
          <w:fldChar w:fldCharType="begin"/>
        </w:r>
        <w:r>
          <w:rPr>
            <w:noProof/>
            <w:webHidden/>
          </w:rPr>
          <w:instrText xml:space="preserve"> PAGEREF _Toc182386218 \h </w:instrText>
        </w:r>
        <w:r>
          <w:rPr>
            <w:noProof/>
            <w:webHidden/>
          </w:rPr>
        </w:r>
        <w:r>
          <w:rPr>
            <w:noProof/>
            <w:webHidden/>
          </w:rPr>
          <w:fldChar w:fldCharType="separate"/>
        </w:r>
        <w:r w:rsidR="00B34C8F">
          <w:rPr>
            <w:noProof/>
            <w:webHidden/>
          </w:rPr>
          <w:t>8</w:t>
        </w:r>
        <w:r>
          <w:rPr>
            <w:noProof/>
            <w:webHidden/>
          </w:rPr>
          <w:fldChar w:fldCharType="end"/>
        </w:r>
      </w:hyperlink>
    </w:p>
    <w:p w14:paraId="445ED5AA" w14:textId="019D664B" w:rsidR="00DD112B" w:rsidRDefault="00DD112B">
      <w:pPr>
        <w:pStyle w:val="TOC2"/>
        <w:tabs>
          <w:tab w:val="right" w:leader="dot" w:pos="8296"/>
        </w:tabs>
        <w:rPr>
          <w:rFonts w:asciiTheme="minorHAnsi" w:eastAsiaTheme="minorEastAsia" w:hAnsiTheme="minorHAnsi"/>
          <w:noProof/>
          <w:sz w:val="22"/>
          <w:lang w:val="en-US"/>
        </w:rPr>
      </w:pPr>
      <w:hyperlink w:anchor="_Toc182386219" w:history="1">
        <w:r w:rsidRPr="00C6074C">
          <w:rPr>
            <w:rStyle w:val="Hyperlink"/>
            <w:noProof/>
          </w:rPr>
          <w:t>1.7 Organization of the Thesis</w:t>
        </w:r>
        <w:r>
          <w:rPr>
            <w:noProof/>
            <w:webHidden/>
          </w:rPr>
          <w:tab/>
        </w:r>
        <w:r>
          <w:rPr>
            <w:noProof/>
            <w:webHidden/>
          </w:rPr>
          <w:fldChar w:fldCharType="begin"/>
        </w:r>
        <w:r>
          <w:rPr>
            <w:noProof/>
            <w:webHidden/>
          </w:rPr>
          <w:instrText xml:space="preserve"> PAGEREF _Toc182386219 \h </w:instrText>
        </w:r>
        <w:r>
          <w:rPr>
            <w:noProof/>
            <w:webHidden/>
          </w:rPr>
        </w:r>
        <w:r>
          <w:rPr>
            <w:noProof/>
            <w:webHidden/>
          </w:rPr>
          <w:fldChar w:fldCharType="separate"/>
        </w:r>
        <w:r w:rsidR="00B34C8F">
          <w:rPr>
            <w:noProof/>
            <w:webHidden/>
          </w:rPr>
          <w:t>8</w:t>
        </w:r>
        <w:r>
          <w:rPr>
            <w:noProof/>
            <w:webHidden/>
          </w:rPr>
          <w:fldChar w:fldCharType="end"/>
        </w:r>
      </w:hyperlink>
    </w:p>
    <w:p w14:paraId="0537B2CD" w14:textId="1418A87A" w:rsidR="00DD112B" w:rsidRDefault="00DD112B">
      <w:pPr>
        <w:pStyle w:val="TOC1"/>
        <w:rPr>
          <w:rFonts w:asciiTheme="minorHAnsi" w:eastAsiaTheme="minorEastAsia" w:hAnsiTheme="minorHAnsi"/>
          <w:b w:val="0"/>
          <w:noProof/>
          <w:sz w:val="22"/>
          <w:lang w:val="en-US"/>
        </w:rPr>
      </w:pPr>
      <w:hyperlink w:anchor="_Toc182386220" w:history="1">
        <w:r w:rsidRPr="00C6074C">
          <w:rPr>
            <w:rStyle w:val="Hyperlink"/>
            <w:noProof/>
          </w:rPr>
          <w:t>CHAPTER TWO</w:t>
        </w:r>
        <w:r>
          <w:rPr>
            <w:noProof/>
            <w:webHidden/>
          </w:rPr>
          <w:tab/>
        </w:r>
        <w:r>
          <w:rPr>
            <w:noProof/>
            <w:webHidden/>
          </w:rPr>
          <w:fldChar w:fldCharType="begin"/>
        </w:r>
        <w:r>
          <w:rPr>
            <w:noProof/>
            <w:webHidden/>
          </w:rPr>
          <w:instrText xml:space="preserve"> PAGEREF _Toc182386220 \h </w:instrText>
        </w:r>
        <w:r>
          <w:rPr>
            <w:noProof/>
            <w:webHidden/>
          </w:rPr>
        </w:r>
        <w:r>
          <w:rPr>
            <w:noProof/>
            <w:webHidden/>
          </w:rPr>
          <w:fldChar w:fldCharType="separate"/>
        </w:r>
        <w:r w:rsidR="00B34C8F">
          <w:rPr>
            <w:noProof/>
            <w:webHidden/>
          </w:rPr>
          <w:t>10</w:t>
        </w:r>
        <w:r>
          <w:rPr>
            <w:noProof/>
            <w:webHidden/>
          </w:rPr>
          <w:fldChar w:fldCharType="end"/>
        </w:r>
      </w:hyperlink>
    </w:p>
    <w:p w14:paraId="44D3265C" w14:textId="63D4568A" w:rsidR="00DD112B" w:rsidRDefault="00DD112B">
      <w:pPr>
        <w:pStyle w:val="TOC1"/>
        <w:rPr>
          <w:rFonts w:asciiTheme="minorHAnsi" w:eastAsiaTheme="minorEastAsia" w:hAnsiTheme="minorHAnsi"/>
          <w:b w:val="0"/>
          <w:noProof/>
          <w:sz w:val="22"/>
          <w:lang w:val="en-US"/>
        </w:rPr>
      </w:pPr>
      <w:hyperlink w:anchor="_Toc182386221" w:history="1">
        <w:r w:rsidRPr="00C6074C">
          <w:rPr>
            <w:rStyle w:val="Hyperlink"/>
            <w:noProof/>
          </w:rPr>
          <w:t>LITERATURE REVIEW</w:t>
        </w:r>
        <w:r>
          <w:rPr>
            <w:noProof/>
            <w:webHidden/>
          </w:rPr>
          <w:tab/>
        </w:r>
        <w:r>
          <w:rPr>
            <w:noProof/>
            <w:webHidden/>
          </w:rPr>
          <w:fldChar w:fldCharType="begin"/>
        </w:r>
        <w:r>
          <w:rPr>
            <w:noProof/>
            <w:webHidden/>
          </w:rPr>
          <w:instrText xml:space="preserve"> PAGEREF _Toc182386221 \h </w:instrText>
        </w:r>
        <w:r>
          <w:rPr>
            <w:noProof/>
            <w:webHidden/>
          </w:rPr>
        </w:r>
        <w:r>
          <w:rPr>
            <w:noProof/>
            <w:webHidden/>
          </w:rPr>
          <w:fldChar w:fldCharType="separate"/>
        </w:r>
        <w:r w:rsidR="00B34C8F">
          <w:rPr>
            <w:noProof/>
            <w:webHidden/>
          </w:rPr>
          <w:t>10</w:t>
        </w:r>
        <w:r>
          <w:rPr>
            <w:noProof/>
            <w:webHidden/>
          </w:rPr>
          <w:fldChar w:fldCharType="end"/>
        </w:r>
      </w:hyperlink>
    </w:p>
    <w:p w14:paraId="737360A0" w14:textId="4383B648" w:rsidR="00DD112B" w:rsidRDefault="00DD112B">
      <w:pPr>
        <w:pStyle w:val="TOC2"/>
        <w:tabs>
          <w:tab w:val="right" w:leader="dot" w:pos="8296"/>
        </w:tabs>
        <w:rPr>
          <w:rFonts w:asciiTheme="minorHAnsi" w:eastAsiaTheme="minorEastAsia" w:hAnsiTheme="minorHAnsi"/>
          <w:noProof/>
          <w:sz w:val="22"/>
          <w:lang w:val="en-US"/>
        </w:rPr>
      </w:pPr>
      <w:hyperlink w:anchor="_Toc182386222" w:history="1">
        <w:r w:rsidRPr="00C6074C">
          <w:rPr>
            <w:rStyle w:val="Hyperlink"/>
            <w:noProof/>
          </w:rPr>
          <w:t>2.1 Introduction</w:t>
        </w:r>
        <w:r>
          <w:rPr>
            <w:noProof/>
            <w:webHidden/>
          </w:rPr>
          <w:tab/>
        </w:r>
        <w:r>
          <w:rPr>
            <w:noProof/>
            <w:webHidden/>
          </w:rPr>
          <w:fldChar w:fldCharType="begin"/>
        </w:r>
        <w:r>
          <w:rPr>
            <w:noProof/>
            <w:webHidden/>
          </w:rPr>
          <w:instrText xml:space="preserve"> PAGEREF _Toc182386222 \h </w:instrText>
        </w:r>
        <w:r>
          <w:rPr>
            <w:noProof/>
            <w:webHidden/>
          </w:rPr>
        </w:r>
        <w:r>
          <w:rPr>
            <w:noProof/>
            <w:webHidden/>
          </w:rPr>
          <w:fldChar w:fldCharType="separate"/>
        </w:r>
        <w:r w:rsidR="00B34C8F">
          <w:rPr>
            <w:noProof/>
            <w:webHidden/>
          </w:rPr>
          <w:t>10</w:t>
        </w:r>
        <w:r>
          <w:rPr>
            <w:noProof/>
            <w:webHidden/>
          </w:rPr>
          <w:fldChar w:fldCharType="end"/>
        </w:r>
      </w:hyperlink>
    </w:p>
    <w:p w14:paraId="2C4EC5B9" w14:textId="7CE5FAC6" w:rsidR="00DD112B" w:rsidRDefault="00DD112B">
      <w:pPr>
        <w:pStyle w:val="TOC2"/>
        <w:tabs>
          <w:tab w:val="right" w:leader="dot" w:pos="8296"/>
        </w:tabs>
        <w:rPr>
          <w:rFonts w:asciiTheme="minorHAnsi" w:eastAsiaTheme="minorEastAsia" w:hAnsiTheme="minorHAnsi"/>
          <w:noProof/>
          <w:sz w:val="22"/>
          <w:lang w:val="en-US"/>
        </w:rPr>
      </w:pPr>
      <w:hyperlink w:anchor="_Toc182386223" w:history="1">
        <w:r w:rsidRPr="00C6074C">
          <w:rPr>
            <w:rStyle w:val="Hyperlink"/>
            <w:noProof/>
          </w:rPr>
          <w:t>2.2 Chief</w:t>
        </w:r>
        <w:r>
          <w:rPr>
            <w:noProof/>
            <w:webHidden/>
          </w:rPr>
          <w:tab/>
        </w:r>
        <w:r>
          <w:rPr>
            <w:noProof/>
            <w:webHidden/>
          </w:rPr>
          <w:fldChar w:fldCharType="begin"/>
        </w:r>
        <w:r>
          <w:rPr>
            <w:noProof/>
            <w:webHidden/>
          </w:rPr>
          <w:instrText xml:space="preserve"> PAGEREF _Toc182386223 \h </w:instrText>
        </w:r>
        <w:r>
          <w:rPr>
            <w:noProof/>
            <w:webHidden/>
          </w:rPr>
        </w:r>
        <w:r>
          <w:rPr>
            <w:noProof/>
            <w:webHidden/>
          </w:rPr>
          <w:fldChar w:fldCharType="separate"/>
        </w:r>
        <w:r w:rsidR="00B34C8F">
          <w:rPr>
            <w:noProof/>
            <w:webHidden/>
          </w:rPr>
          <w:t>10</w:t>
        </w:r>
        <w:r>
          <w:rPr>
            <w:noProof/>
            <w:webHidden/>
          </w:rPr>
          <w:fldChar w:fldCharType="end"/>
        </w:r>
      </w:hyperlink>
    </w:p>
    <w:p w14:paraId="65041DC0" w14:textId="2E353BFF" w:rsidR="00DD112B" w:rsidRDefault="00DD112B">
      <w:pPr>
        <w:pStyle w:val="TOC2"/>
        <w:tabs>
          <w:tab w:val="right" w:leader="dot" w:pos="8296"/>
        </w:tabs>
        <w:rPr>
          <w:rFonts w:asciiTheme="minorHAnsi" w:eastAsiaTheme="minorEastAsia" w:hAnsiTheme="minorHAnsi"/>
          <w:noProof/>
          <w:sz w:val="22"/>
          <w:lang w:val="en-US"/>
        </w:rPr>
      </w:pPr>
      <w:hyperlink w:anchor="_Toc182386224" w:history="1">
        <w:r w:rsidRPr="00C6074C">
          <w:rPr>
            <w:rStyle w:val="Hyperlink"/>
            <w:noProof/>
          </w:rPr>
          <w:t>2.3 The History and Position of Chiefs</w:t>
        </w:r>
        <w:r>
          <w:rPr>
            <w:noProof/>
            <w:webHidden/>
          </w:rPr>
          <w:tab/>
        </w:r>
        <w:r>
          <w:rPr>
            <w:noProof/>
            <w:webHidden/>
          </w:rPr>
          <w:fldChar w:fldCharType="begin"/>
        </w:r>
        <w:r>
          <w:rPr>
            <w:noProof/>
            <w:webHidden/>
          </w:rPr>
          <w:instrText xml:space="preserve"> PAGEREF _Toc182386224 \h </w:instrText>
        </w:r>
        <w:r>
          <w:rPr>
            <w:noProof/>
            <w:webHidden/>
          </w:rPr>
        </w:r>
        <w:r>
          <w:rPr>
            <w:noProof/>
            <w:webHidden/>
          </w:rPr>
          <w:fldChar w:fldCharType="separate"/>
        </w:r>
        <w:r w:rsidR="00B34C8F">
          <w:rPr>
            <w:noProof/>
            <w:webHidden/>
          </w:rPr>
          <w:t>13</w:t>
        </w:r>
        <w:r>
          <w:rPr>
            <w:noProof/>
            <w:webHidden/>
          </w:rPr>
          <w:fldChar w:fldCharType="end"/>
        </w:r>
      </w:hyperlink>
    </w:p>
    <w:p w14:paraId="69F63CE4" w14:textId="2AB3D981" w:rsidR="00DD112B" w:rsidRDefault="00DD112B">
      <w:pPr>
        <w:pStyle w:val="TOC3"/>
        <w:tabs>
          <w:tab w:val="right" w:leader="dot" w:pos="8296"/>
        </w:tabs>
        <w:rPr>
          <w:rFonts w:asciiTheme="minorHAnsi" w:eastAsiaTheme="minorEastAsia" w:hAnsiTheme="minorHAnsi"/>
          <w:noProof/>
          <w:sz w:val="22"/>
          <w:lang w:val="en-US"/>
        </w:rPr>
      </w:pPr>
      <w:hyperlink w:anchor="_Toc182386225" w:history="1">
        <w:r w:rsidRPr="00C6074C">
          <w:rPr>
            <w:rStyle w:val="Hyperlink"/>
            <w:noProof/>
          </w:rPr>
          <w:t>2.3.1 Chiefs in the Pre-Colonial Period</w:t>
        </w:r>
        <w:r>
          <w:rPr>
            <w:noProof/>
            <w:webHidden/>
          </w:rPr>
          <w:tab/>
        </w:r>
        <w:r>
          <w:rPr>
            <w:noProof/>
            <w:webHidden/>
          </w:rPr>
          <w:fldChar w:fldCharType="begin"/>
        </w:r>
        <w:r>
          <w:rPr>
            <w:noProof/>
            <w:webHidden/>
          </w:rPr>
          <w:instrText xml:space="preserve"> PAGEREF _Toc182386225 \h </w:instrText>
        </w:r>
        <w:r>
          <w:rPr>
            <w:noProof/>
            <w:webHidden/>
          </w:rPr>
        </w:r>
        <w:r>
          <w:rPr>
            <w:noProof/>
            <w:webHidden/>
          </w:rPr>
          <w:fldChar w:fldCharType="separate"/>
        </w:r>
        <w:r w:rsidR="00B34C8F">
          <w:rPr>
            <w:noProof/>
            <w:webHidden/>
          </w:rPr>
          <w:t>13</w:t>
        </w:r>
        <w:r>
          <w:rPr>
            <w:noProof/>
            <w:webHidden/>
          </w:rPr>
          <w:fldChar w:fldCharType="end"/>
        </w:r>
      </w:hyperlink>
    </w:p>
    <w:p w14:paraId="268AF77B" w14:textId="6CD87E75" w:rsidR="00DD112B" w:rsidRDefault="00DD112B">
      <w:pPr>
        <w:pStyle w:val="TOC3"/>
        <w:tabs>
          <w:tab w:val="right" w:leader="dot" w:pos="8296"/>
        </w:tabs>
        <w:rPr>
          <w:rFonts w:asciiTheme="minorHAnsi" w:eastAsiaTheme="minorEastAsia" w:hAnsiTheme="minorHAnsi"/>
          <w:noProof/>
          <w:sz w:val="22"/>
          <w:lang w:val="en-US"/>
        </w:rPr>
      </w:pPr>
      <w:hyperlink w:anchor="_Toc182386226" w:history="1">
        <w:r w:rsidRPr="00C6074C">
          <w:rPr>
            <w:rStyle w:val="Hyperlink"/>
            <w:noProof/>
          </w:rPr>
          <w:t>2.3.2 Chiefs under Colonialism</w:t>
        </w:r>
        <w:r>
          <w:rPr>
            <w:noProof/>
            <w:webHidden/>
          </w:rPr>
          <w:tab/>
        </w:r>
        <w:r>
          <w:rPr>
            <w:noProof/>
            <w:webHidden/>
          </w:rPr>
          <w:fldChar w:fldCharType="begin"/>
        </w:r>
        <w:r>
          <w:rPr>
            <w:noProof/>
            <w:webHidden/>
          </w:rPr>
          <w:instrText xml:space="preserve"> PAGEREF _Toc182386226 \h </w:instrText>
        </w:r>
        <w:r>
          <w:rPr>
            <w:noProof/>
            <w:webHidden/>
          </w:rPr>
        </w:r>
        <w:r>
          <w:rPr>
            <w:noProof/>
            <w:webHidden/>
          </w:rPr>
          <w:fldChar w:fldCharType="separate"/>
        </w:r>
        <w:r w:rsidR="00B34C8F">
          <w:rPr>
            <w:noProof/>
            <w:webHidden/>
          </w:rPr>
          <w:t>14</w:t>
        </w:r>
        <w:r>
          <w:rPr>
            <w:noProof/>
            <w:webHidden/>
          </w:rPr>
          <w:fldChar w:fldCharType="end"/>
        </w:r>
      </w:hyperlink>
    </w:p>
    <w:p w14:paraId="3C44FECD" w14:textId="45939F93" w:rsidR="00DD112B" w:rsidRDefault="00DD112B">
      <w:pPr>
        <w:pStyle w:val="TOC3"/>
        <w:tabs>
          <w:tab w:val="right" w:leader="dot" w:pos="8296"/>
        </w:tabs>
        <w:rPr>
          <w:rFonts w:asciiTheme="minorHAnsi" w:eastAsiaTheme="minorEastAsia" w:hAnsiTheme="minorHAnsi"/>
          <w:noProof/>
          <w:sz w:val="22"/>
          <w:lang w:val="en-US"/>
        </w:rPr>
      </w:pPr>
      <w:hyperlink w:anchor="_Toc182386227" w:history="1">
        <w:r w:rsidRPr="00C6074C">
          <w:rPr>
            <w:rStyle w:val="Hyperlink"/>
            <w:noProof/>
          </w:rPr>
          <w:t>2.3.3 Post-Colonial Chiefs</w:t>
        </w:r>
        <w:r>
          <w:rPr>
            <w:noProof/>
            <w:webHidden/>
          </w:rPr>
          <w:tab/>
        </w:r>
        <w:r>
          <w:rPr>
            <w:noProof/>
            <w:webHidden/>
          </w:rPr>
          <w:fldChar w:fldCharType="begin"/>
        </w:r>
        <w:r>
          <w:rPr>
            <w:noProof/>
            <w:webHidden/>
          </w:rPr>
          <w:instrText xml:space="preserve"> PAGEREF _Toc182386227 \h </w:instrText>
        </w:r>
        <w:r>
          <w:rPr>
            <w:noProof/>
            <w:webHidden/>
          </w:rPr>
        </w:r>
        <w:r>
          <w:rPr>
            <w:noProof/>
            <w:webHidden/>
          </w:rPr>
          <w:fldChar w:fldCharType="separate"/>
        </w:r>
        <w:r w:rsidR="00B34C8F">
          <w:rPr>
            <w:noProof/>
            <w:webHidden/>
          </w:rPr>
          <w:t>18</w:t>
        </w:r>
        <w:r>
          <w:rPr>
            <w:noProof/>
            <w:webHidden/>
          </w:rPr>
          <w:fldChar w:fldCharType="end"/>
        </w:r>
      </w:hyperlink>
    </w:p>
    <w:p w14:paraId="3DEFE580" w14:textId="61AC591E" w:rsidR="00DD112B" w:rsidRDefault="00DD112B">
      <w:pPr>
        <w:pStyle w:val="TOC2"/>
        <w:tabs>
          <w:tab w:val="right" w:leader="dot" w:pos="8296"/>
        </w:tabs>
        <w:rPr>
          <w:rFonts w:asciiTheme="minorHAnsi" w:eastAsiaTheme="minorEastAsia" w:hAnsiTheme="minorHAnsi"/>
          <w:noProof/>
          <w:sz w:val="22"/>
          <w:lang w:val="en-US"/>
        </w:rPr>
      </w:pPr>
      <w:hyperlink w:anchor="_Toc182386228" w:history="1">
        <w:r w:rsidRPr="00C6074C">
          <w:rPr>
            <w:rStyle w:val="Hyperlink"/>
            <w:noProof/>
          </w:rPr>
          <w:t>2.4 Chieftaincy</w:t>
        </w:r>
        <w:r>
          <w:rPr>
            <w:noProof/>
            <w:webHidden/>
          </w:rPr>
          <w:tab/>
        </w:r>
        <w:r>
          <w:rPr>
            <w:noProof/>
            <w:webHidden/>
          </w:rPr>
          <w:fldChar w:fldCharType="begin"/>
        </w:r>
        <w:r>
          <w:rPr>
            <w:noProof/>
            <w:webHidden/>
          </w:rPr>
          <w:instrText xml:space="preserve"> PAGEREF _Toc182386228 \h </w:instrText>
        </w:r>
        <w:r>
          <w:rPr>
            <w:noProof/>
            <w:webHidden/>
          </w:rPr>
        </w:r>
        <w:r>
          <w:rPr>
            <w:noProof/>
            <w:webHidden/>
          </w:rPr>
          <w:fldChar w:fldCharType="separate"/>
        </w:r>
        <w:r w:rsidR="00B34C8F">
          <w:rPr>
            <w:noProof/>
            <w:webHidden/>
          </w:rPr>
          <w:t>22</w:t>
        </w:r>
        <w:r>
          <w:rPr>
            <w:noProof/>
            <w:webHidden/>
          </w:rPr>
          <w:fldChar w:fldCharType="end"/>
        </w:r>
      </w:hyperlink>
    </w:p>
    <w:p w14:paraId="37442FF9" w14:textId="5ADA42D2" w:rsidR="00DD112B" w:rsidRDefault="00DD112B">
      <w:pPr>
        <w:pStyle w:val="TOC2"/>
        <w:tabs>
          <w:tab w:val="right" w:leader="dot" w:pos="8296"/>
        </w:tabs>
        <w:rPr>
          <w:rFonts w:asciiTheme="minorHAnsi" w:eastAsiaTheme="minorEastAsia" w:hAnsiTheme="minorHAnsi"/>
          <w:noProof/>
          <w:sz w:val="22"/>
          <w:lang w:val="en-US"/>
        </w:rPr>
      </w:pPr>
      <w:hyperlink w:anchor="_Toc182386229" w:history="1">
        <w:r w:rsidRPr="00C6074C">
          <w:rPr>
            <w:rStyle w:val="Hyperlink"/>
            <w:noProof/>
          </w:rPr>
          <w:t>2.5 The Ghanaian Chieftaincy</w:t>
        </w:r>
        <w:r>
          <w:rPr>
            <w:noProof/>
            <w:webHidden/>
          </w:rPr>
          <w:tab/>
        </w:r>
        <w:r>
          <w:rPr>
            <w:noProof/>
            <w:webHidden/>
          </w:rPr>
          <w:fldChar w:fldCharType="begin"/>
        </w:r>
        <w:r>
          <w:rPr>
            <w:noProof/>
            <w:webHidden/>
          </w:rPr>
          <w:instrText xml:space="preserve"> PAGEREF _Toc182386229 \h </w:instrText>
        </w:r>
        <w:r>
          <w:rPr>
            <w:noProof/>
            <w:webHidden/>
          </w:rPr>
        </w:r>
        <w:r>
          <w:rPr>
            <w:noProof/>
            <w:webHidden/>
          </w:rPr>
          <w:fldChar w:fldCharType="separate"/>
        </w:r>
        <w:r w:rsidR="00B34C8F">
          <w:rPr>
            <w:noProof/>
            <w:webHidden/>
          </w:rPr>
          <w:t>27</w:t>
        </w:r>
        <w:r>
          <w:rPr>
            <w:noProof/>
            <w:webHidden/>
          </w:rPr>
          <w:fldChar w:fldCharType="end"/>
        </w:r>
      </w:hyperlink>
    </w:p>
    <w:p w14:paraId="4DF14071" w14:textId="443E81DC" w:rsidR="00DD112B" w:rsidRDefault="00DD112B">
      <w:pPr>
        <w:pStyle w:val="TOC2"/>
        <w:tabs>
          <w:tab w:val="right" w:leader="dot" w:pos="8296"/>
        </w:tabs>
        <w:rPr>
          <w:rFonts w:asciiTheme="minorHAnsi" w:eastAsiaTheme="minorEastAsia" w:hAnsiTheme="minorHAnsi"/>
          <w:noProof/>
          <w:sz w:val="22"/>
          <w:lang w:val="en-US"/>
        </w:rPr>
      </w:pPr>
      <w:hyperlink w:anchor="_Toc182386230" w:history="1">
        <w:r w:rsidRPr="00C6074C">
          <w:rPr>
            <w:rStyle w:val="Hyperlink"/>
            <w:noProof/>
          </w:rPr>
          <w:t>2.6 Structure and Legal Mandate of Chieftaincy Institution in Ghana</w:t>
        </w:r>
        <w:r>
          <w:rPr>
            <w:noProof/>
            <w:webHidden/>
          </w:rPr>
          <w:tab/>
        </w:r>
        <w:r>
          <w:rPr>
            <w:noProof/>
            <w:webHidden/>
          </w:rPr>
          <w:fldChar w:fldCharType="begin"/>
        </w:r>
        <w:r>
          <w:rPr>
            <w:noProof/>
            <w:webHidden/>
          </w:rPr>
          <w:instrText xml:space="preserve"> PAGEREF _Toc182386230 \h </w:instrText>
        </w:r>
        <w:r>
          <w:rPr>
            <w:noProof/>
            <w:webHidden/>
          </w:rPr>
        </w:r>
        <w:r>
          <w:rPr>
            <w:noProof/>
            <w:webHidden/>
          </w:rPr>
          <w:fldChar w:fldCharType="separate"/>
        </w:r>
        <w:r w:rsidR="00B34C8F">
          <w:rPr>
            <w:noProof/>
            <w:webHidden/>
          </w:rPr>
          <w:t>29</w:t>
        </w:r>
        <w:r>
          <w:rPr>
            <w:noProof/>
            <w:webHidden/>
          </w:rPr>
          <w:fldChar w:fldCharType="end"/>
        </w:r>
      </w:hyperlink>
    </w:p>
    <w:p w14:paraId="3B4218DA" w14:textId="401443CD" w:rsidR="00DD112B" w:rsidRDefault="00DD112B">
      <w:pPr>
        <w:pStyle w:val="TOC2"/>
        <w:tabs>
          <w:tab w:val="right" w:leader="dot" w:pos="8296"/>
        </w:tabs>
        <w:rPr>
          <w:rFonts w:asciiTheme="minorHAnsi" w:eastAsiaTheme="minorEastAsia" w:hAnsiTheme="minorHAnsi"/>
          <w:noProof/>
          <w:sz w:val="22"/>
          <w:lang w:val="en-US"/>
        </w:rPr>
      </w:pPr>
      <w:hyperlink w:anchor="_Toc182386231" w:history="1">
        <w:r w:rsidRPr="00C6074C">
          <w:rPr>
            <w:rStyle w:val="Hyperlink"/>
            <w:noProof/>
          </w:rPr>
          <w:t>2.7 The changing roles of the Chieftaincy Institution in National Development</w:t>
        </w:r>
        <w:r>
          <w:rPr>
            <w:noProof/>
            <w:webHidden/>
          </w:rPr>
          <w:tab/>
        </w:r>
        <w:r>
          <w:rPr>
            <w:noProof/>
            <w:webHidden/>
          </w:rPr>
          <w:fldChar w:fldCharType="begin"/>
        </w:r>
        <w:r>
          <w:rPr>
            <w:noProof/>
            <w:webHidden/>
          </w:rPr>
          <w:instrText xml:space="preserve"> PAGEREF _Toc182386231 \h </w:instrText>
        </w:r>
        <w:r>
          <w:rPr>
            <w:noProof/>
            <w:webHidden/>
          </w:rPr>
        </w:r>
        <w:r>
          <w:rPr>
            <w:noProof/>
            <w:webHidden/>
          </w:rPr>
          <w:fldChar w:fldCharType="separate"/>
        </w:r>
        <w:r w:rsidR="00B34C8F">
          <w:rPr>
            <w:noProof/>
            <w:webHidden/>
          </w:rPr>
          <w:t>34</w:t>
        </w:r>
        <w:r>
          <w:rPr>
            <w:noProof/>
            <w:webHidden/>
          </w:rPr>
          <w:fldChar w:fldCharType="end"/>
        </w:r>
      </w:hyperlink>
    </w:p>
    <w:p w14:paraId="71C028F3" w14:textId="33B93695" w:rsidR="00DD112B" w:rsidRDefault="00DD112B">
      <w:pPr>
        <w:pStyle w:val="TOC2"/>
        <w:tabs>
          <w:tab w:val="right" w:leader="dot" w:pos="8296"/>
        </w:tabs>
        <w:rPr>
          <w:rFonts w:asciiTheme="minorHAnsi" w:eastAsiaTheme="minorEastAsia" w:hAnsiTheme="minorHAnsi"/>
          <w:noProof/>
          <w:sz w:val="22"/>
          <w:lang w:val="en-US"/>
        </w:rPr>
      </w:pPr>
      <w:hyperlink w:anchor="_Toc182386232" w:history="1">
        <w:r w:rsidRPr="00C6074C">
          <w:rPr>
            <w:rStyle w:val="Hyperlink"/>
            <w:noProof/>
          </w:rPr>
          <w:t>2.8 The challenges of chieftaincy institutions in Ghana</w:t>
        </w:r>
        <w:r>
          <w:rPr>
            <w:noProof/>
            <w:webHidden/>
          </w:rPr>
          <w:tab/>
        </w:r>
        <w:r>
          <w:rPr>
            <w:noProof/>
            <w:webHidden/>
          </w:rPr>
          <w:fldChar w:fldCharType="begin"/>
        </w:r>
        <w:r>
          <w:rPr>
            <w:noProof/>
            <w:webHidden/>
          </w:rPr>
          <w:instrText xml:space="preserve"> PAGEREF _Toc182386232 \h </w:instrText>
        </w:r>
        <w:r>
          <w:rPr>
            <w:noProof/>
            <w:webHidden/>
          </w:rPr>
        </w:r>
        <w:r>
          <w:rPr>
            <w:noProof/>
            <w:webHidden/>
          </w:rPr>
          <w:fldChar w:fldCharType="separate"/>
        </w:r>
        <w:r w:rsidR="00B34C8F">
          <w:rPr>
            <w:noProof/>
            <w:webHidden/>
          </w:rPr>
          <w:t>42</w:t>
        </w:r>
        <w:r>
          <w:rPr>
            <w:noProof/>
            <w:webHidden/>
          </w:rPr>
          <w:fldChar w:fldCharType="end"/>
        </w:r>
      </w:hyperlink>
    </w:p>
    <w:p w14:paraId="73EFF699" w14:textId="4F3665B4" w:rsidR="00DD112B" w:rsidRDefault="00DD112B">
      <w:pPr>
        <w:pStyle w:val="TOC2"/>
        <w:tabs>
          <w:tab w:val="right" w:leader="dot" w:pos="8296"/>
        </w:tabs>
        <w:rPr>
          <w:rFonts w:asciiTheme="minorHAnsi" w:eastAsiaTheme="minorEastAsia" w:hAnsiTheme="minorHAnsi"/>
          <w:noProof/>
          <w:sz w:val="22"/>
          <w:lang w:val="en-US"/>
        </w:rPr>
      </w:pPr>
      <w:hyperlink w:anchor="_Toc182386233" w:history="1">
        <w:r w:rsidRPr="00C6074C">
          <w:rPr>
            <w:rStyle w:val="Hyperlink"/>
            <w:noProof/>
          </w:rPr>
          <w:t>2.9 Conflict</w:t>
        </w:r>
        <w:r>
          <w:rPr>
            <w:noProof/>
            <w:webHidden/>
          </w:rPr>
          <w:tab/>
        </w:r>
        <w:r>
          <w:rPr>
            <w:noProof/>
            <w:webHidden/>
          </w:rPr>
          <w:fldChar w:fldCharType="begin"/>
        </w:r>
        <w:r>
          <w:rPr>
            <w:noProof/>
            <w:webHidden/>
          </w:rPr>
          <w:instrText xml:space="preserve"> PAGEREF _Toc182386233 \h </w:instrText>
        </w:r>
        <w:r>
          <w:rPr>
            <w:noProof/>
            <w:webHidden/>
          </w:rPr>
        </w:r>
        <w:r>
          <w:rPr>
            <w:noProof/>
            <w:webHidden/>
          </w:rPr>
          <w:fldChar w:fldCharType="separate"/>
        </w:r>
        <w:r w:rsidR="00B34C8F">
          <w:rPr>
            <w:noProof/>
            <w:webHidden/>
          </w:rPr>
          <w:t>46</w:t>
        </w:r>
        <w:r>
          <w:rPr>
            <w:noProof/>
            <w:webHidden/>
          </w:rPr>
          <w:fldChar w:fldCharType="end"/>
        </w:r>
      </w:hyperlink>
    </w:p>
    <w:p w14:paraId="57D44364" w14:textId="1525F421" w:rsidR="00DD112B" w:rsidRDefault="00DD112B">
      <w:pPr>
        <w:pStyle w:val="TOC2"/>
        <w:tabs>
          <w:tab w:val="right" w:leader="dot" w:pos="8296"/>
        </w:tabs>
        <w:rPr>
          <w:rFonts w:asciiTheme="minorHAnsi" w:eastAsiaTheme="minorEastAsia" w:hAnsiTheme="minorHAnsi"/>
          <w:noProof/>
          <w:sz w:val="22"/>
          <w:lang w:val="en-US"/>
        </w:rPr>
      </w:pPr>
      <w:hyperlink w:anchor="_Toc182386234" w:history="1">
        <w:r w:rsidRPr="00C6074C">
          <w:rPr>
            <w:rStyle w:val="Hyperlink"/>
            <w:noProof/>
          </w:rPr>
          <w:t>2.10 chieftaincy and Ethnic conflicts in Ghana</w:t>
        </w:r>
        <w:r>
          <w:rPr>
            <w:noProof/>
            <w:webHidden/>
          </w:rPr>
          <w:tab/>
        </w:r>
        <w:r>
          <w:rPr>
            <w:noProof/>
            <w:webHidden/>
          </w:rPr>
          <w:fldChar w:fldCharType="begin"/>
        </w:r>
        <w:r>
          <w:rPr>
            <w:noProof/>
            <w:webHidden/>
          </w:rPr>
          <w:instrText xml:space="preserve"> PAGEREF _Toc182386234 \h </w:instrText>
        </w:r>
        <w:r>
          <w:rPr>
            <w:noProof/>
            <w:webHidden/>
          </w:rPr>
        </w:r>
        <w:r>
          <w:rPr>
            <w:noProof/>
            <w:webHidden/>
          </w:rPr>
          <w:fldChar w:fldCharType="separate"/>
        </w:r>
        <w:r w:rsidR="00B34C8F">
          <w:rPr>
            <w:noProof/>
            <w:webHidden/>
          </w:rPr>
          <w:t>53</w:t>
        </w:r>
        <w:r>
          <w:rPr>
            <w:noProof/>
            <w:webHidden/>
          </w:rPr>
          <w:fldChar w:fldCharType="end"/>
        </w:r>
      </w:hyperlink>
    </w:p>
    <w:p w14:paraId="052A3E41" w14:textId="3B9724A9" w:rsidR="00DD112B" w:rsidRDefault="00DD112B">
      <w:pPr>
        <w:pStyle w:val="TOC2"/>
        <w:tabs>
          <w:tab w:val="right" w:leader="dot" w:pos="8296"/>
        </w:tabs>
        <w:rPr>
          <w:rFonts w:asciiTheme="minorHAnsi" w:eastAsiaTheme="minorEastAsia" w:hAnsiTheme="minorHAnsi"/>
          <w:noProof/>
          <w:sz w:val="22"/>
          <w:lang w:val="en-US"/>
        </w:rPr>
      </w:pPr>
      <w:hyperlink w:anchor="_Toc182386235" w:history="1">
        <w:r w:rsidRPr="00C6074C">
          <w:rPr>
            <w:rStyle w:val="Hyperlink"/>
            <w:noProof/>
          </w:rPr>
          <w:t>2.11 Chieftaincy conflicts in Ghana</w:t>
        </w:r>
        <w:r>
          <w:rPr>
            <w:noProof/>
            <w:webHidden/>
          </w:rPr>
          <w:tab/>
        </w:r>
        <w:r>
          <w:rPr>
            <w:noProof/>
            <w:webHidden/>
          </w:rPr>
          <w:fldChar w:fldCharType="begin"/>
        </w:r>
        <w:r>
          <w:rPr>
            <w:noProof/>
            <w:webHidden/>
          </w:rPr>
          <w:instrText xml:space="preserve"> PAGEREF _Toc182386235 \h </w:instrText>
        </w:r>
        <w:r>
          <w:rPr>
            <w:noProof/>
            <w:webHidden/>
          </w:rPr>
        </w:r>
        <w:r>
          <w:rPr>
            <w:noProof/>
            <w:webHidden/>
          </w:rPr>
          <w:fldChar w:fldCharType="separate"/>
        </w:r>
        <w:r w:rsidR="00B34C8F">
          <w:rPr>
            <w:noProof/>
            <w:webHidden/>
          </w:rPr>
          <w:t>58</w:t>
        </w:r>
        <w:r>
          <w:rPr>
            <w:noProof/>
            <w:webHidden/>
          </w:rPr>
          <w:fldChar w:fldCharType="end"/>
        </w:r>
      </w:hyperlink>
    </w:p>
    <w:p w14:paraId="40A2FECF" w14:textId="5DBEEE05" w:rsidR="00DD112B" w:rsidRDefault="00DD112B">
      <w:pPr>
        <w:pStyle w:val="TOC2"/>
        <w:tabs>
          <w:tab w:val="right" w:leader="dot" w:pos="8296"/>
        </w:tabs>
        <w:rPr>
          <w:rFonts w:asciiTheme="minorHAnsi" w:eastAsiaTheme="minorEastAsia" w:hAnsiTheme="minorHAnsi"/>
          <w:noProof/>
          <w:sz w:val="22"/>
          <w:lang w:val="en-US"/>
        </w:rPr>
      </w:pPr>
      <w:hyperlink w:anchor="_Toc182386236" w:history="1">
        <w:r w:rsidRPr="00C6074C">
          <w:rPr>
            <w:rStyle w:val="Hyperlink"/>
            <w:noProof/>
          </w:rPr>
          <w:t>2.12 The Background of the Bimbilla Chieftaincy Conflicts</w:t>
        </w:r>
        <w:r>
          <w:rPr>
            <w:noProof/>
            <w:webHidden/>
          </w:rPr>
          <w:tab/>
        </w:r>
        <w:r>
          <w:rPr>
            <w:noProof/>
            <w:webHidden/>
          </w:rPr>
          <w:fldChar w:fldCharType="begin"/>
        </w:r>
        <w:r>
          <w:rPr>
            <w:noProof/>
            <w:webHidden/>
          </w:rPr>
          <w:instrText xml:space="preserve"> PAGEREF _Toc182386236 \h </w:instrText>
        </w:r>
        <w:r>
          <w:rPr>
            <w:noProof/>
            <w:webHidden/>
          </w:rPr>
        </w:r>
        <w:r>
          <w:rPr>
            <w:noProof/>
            <w:webHidden/>
          </w:rPr>
          <w:fldChar w:fldCharType="separate"/>
        </w:r>
        <w:r w:rsidR="00B34C8F">
          <w:rPr>
            <w:noProof/>
            <w:webHidden/>
          </w:rPr>
          <w:t>64</w:t>
        </w:r>
        <w:r>
          <w:rPr>
            <w:noProof/>
            <w:webHidden/>
          </w:rPr>
          <w:fldChar w:fldCharType="end"/>
        </w:r>
      </w:hyperlink>
    </w:p>
    <w:p w14:paraId="481611B5" w14:textId="18039F57" w:rsidR="00DD112B" w:rsidRDefault="00DD112B">
      <w:pPr>
        <w:pStyle w:val="TOC2"/>
        <w:tabs>
          <w:tab w:val="right" w:leader="dot" w:pos="8296"/>
        </w:tabs>
        <w:rPr>
          <w:rFonts w:asciiTheme="minorHAnsi" w:eastAsiaTheme="minorEastAsia" w:hAnsiTheme="minorHAnsi"/>
          <w:noProof/>
          <w:sz w:val="22"/>
          <w:lang w:val="en-US"/>
        </w:rPr>
      </w:pPr>
      <w:hyperlink w:anchor="_Toc182386237" w:history="1">
        <w:r w:rsidRPr="00C6074C">
          <w:rPr>
            <w:rStyle w:val="Hyperlink"/>
            <w:noProof/>
          </w:rPr>
          <w:t>2.13 Chieftaincy succession in Nanun (Bimbilla)</w:t>
        </w:r>
        <w:r>
          <w:rPr>
            <w:noProof/>
            <w:webHidden/>
          </w:rPr>
          <w:tab/>
        </w:r>
        <w:r>
          <w:rPr>
            <w:noProof/>
            <w:webHidden/>
          </w:rPr>
          <w:fldChar w:fldCharType="begin"/>
        </w:r>
        <w:r>
          <w:rPr>
            <w:noProof/>
            <w:webHidden/>
          </w:rPr>
          <w:instrText xml:space="preserve"> PAGEREF _Toc182386237 \h </w:instrText>
        </w:r>
        <w:r>
          <w:rPr>
            <w:noProof/>
            <w:webHidden/>
          </w:rPr>
        </w:r>
        <w:r>
          <w:rPr>
            <w:noProof/>
            <w:webHidden/>
          </w:rPr>
          <w:fldChar w:fldCharType="separate"/>
        </w:r>
        <w:r w:rsidR="00B34C8F">
          <w:rPr>
            <w:noProof/>
            <w:webHidden/>
          </w:rPr>
          <w:t>69</w:t>
        </w:r>
        <w:r>
          <w:rPr>
            <w:noProof/>
            <w:webHidden/>
          </w:rPr>
          <w:fldChar w:fldCharType="end"/>
        </w:r>
      </w:hyperlink>
    </w:p>
    <w:p w14:paraId="11B223AD" w14:textId="71EB522C" w:rsidR="00DD112B" w:rsidRDefault="00DD112B">
      <w:pPr>
        <w:pStyle w:val="TOC2"/>
        <w:tabs>
          <w:tab w:val="right" w:leader="dot" w:pos="8296"/>
        </w:tabs>
        <w:rPr>
          <w:rFonts w:asciiTheme="minorHAnsi" w:eastAsiaTheme="minorEastAsia" w:hAnsiTheme="minorHAnsi"/>
          <w:noProof/>
          <w:sz w:val="22"/>
          <w:lang w:val="en-US"/>
        </w:rPr>
      </w:pPr>
      <w:hyperlink w:anchor="_Toc182386238" w:history="1">
        <w:r w:rsidRPr="00C6074C">
          <w:rPr>
            <w:rStyle w:val="Hyperlink"/>
            <w:noProof/>
          </w:rPr>
          <w:t>2.14 Human Security</w:t>
        </w:r>
        <w:r>
          <w:rPr>
            <w:noProof/>
            <w:webHidden/>
          </w:rPr>
          <w:tab/>
        </w:r>
        <w:r>
          <w:rPr>
            <w:noProof/>
            <w:webHidden/>
          </w:rPr>
          <w:fldChar w:fldCharType="begin"/>
        </w:r>
        <w:r>
          <w:rPr>
            <w:noProof/>
            <w:webHidden/>
          </w:rPr>
          <w:instrText xml:space="preserve"> PAGEREF _Toc182386238 \h </w:instrText>
        </w:r>
        <w:r>
          <w:rPr>
            <w:noProof/>
            <w:webHidden/>
          </w:rPr>
        </w:r>
        <w:r>
          <w:rPr>
            <w:noProof/>
            <w:webHidden/>
          </w:rPr>
          <w:fldChar w:fldCharType="separate"/>
        </w:r>
        <w:r w:rsidR="00B34C8F">
          <w:rPr>
            <w:noProof/>
            <w:webHidden/>
          </w:rPr>
          <w:t>72</w:t>
        </w:r>
        <w:r>
          <w:rPr>
            <w:noProof/>
            <w:webHidden/>
          </w:rPr>
          <w:fldChar w:fldCharType="end"/>
        </w:r>
      </w:hyperlink>
    </w:p>
    <w:p w14:paraId="7A0F4BEE" w14:textId="34EFFE88" w:rsidR="00DD112B" w:rsidRDefault="00DD112B">
      <w:pPr>
        <w:pStyle w:val="TOC2"/>
        <w:tabs>
          <w:tab w:val="right" w:leader="dot" w:pos="8296"/>
        </w:tabs>
        <w:rPr>
          <w:rFonts w:asciiTheme="minorHAnsi" w:eastAsiaTheme="minorEastAsia" w:hAnsiTheme="minorHAnsi"/>
          <w:noProof/>
          <w:sz w:val="22"/>
          <w:lang w:val="en-US"/>
        </w:rPr>
      </w:pPr>
      <w:hyperlink w:anchor="_Toc182386239" w:history="1">
        <w:r w:rsidRPr="00C6074C">
          <w:rPr>
            <w:rStyle w:val="Hyperlink"/>
            <w:noProof/>
          </w:rPr>
          <w:t>2.15 Human Security and National Security</w:t>
        </w:r>
        <w:r>
          <w:rPr>
            <w:noProof/>
            <w:webHidden/>
          </w:rPr>
          <w:tab/>
        </w:r>
        <w:r>
          <w:rPr>
            <w:noProof/>
            <w:webHidden/>
          </w:rPr>
          <w:fldChar w:fldCharType="begin"/>
        </w:r>
        <w:r>
          <w:rPr>
            <w:noProof/>
            <w:webHidden/>
          </w:rPr>
          <w:instrText xml:space="preserve"> PAGEREF _Toc182386239 \h </w:instrText>
        </w:r>
        <w:r>
          <w:rPr>
            <w:noProof/>
            <w:webHidden/>
          </w:rPr>
        </w:r>
        <w:r>
          <w:rPr>
            <w:noProof/>
            <w:webHidden/>
          </w:rPr>
          <w:fldChar w:fldCharType="separate"/>
        </w:r>
        <w:r w:rsidR="00B34C8F">
          <w:rPr>
            <w:noProof/>
            <w:webHidden/>
          </w:rPr>
          <w:t>73</w:t>
        </w:r>
        <w:r>
          <w:rPr>
            <w:noProof/>
            <w:webHidden/>
          </w:rPr>
          <w:fldChar w:fldCharType="end"/>
        </w:r>
      </w:hyperlink>
    </w:p>
    <w:p w14:paraId="37E0F07C" w14:textId="26DC142E" w:rsidR="00DD112B" w:rsidRDefault="00DD112B">
      <w:pPr>
        <w:pStyle w:val="TOC2"/>
        <w:tabs>
          <w:tab w:val="right" w:leader="dot" w:pos="8296"/>
        </w:tabs>
        <w:rPr>
          <w:rFonts w:asciiTheme="minorHAnsi" w:eastAsiaTheme="minorEastAsia" w:hAnsiTheme="minorHAnsi"/>
          <w:noProof/>
          <w:sz w:val="22"/>
          <w:lang w:val="en-US"/>
        </w:rPr>
      </w:pPr>
      <w:hyperlink w:anchor="_Toc182386240" w:history="1">
        <w:r w:rsidRPr="00C6074C">
          <w:rPr>
            <w:rStyle w:val="Hyperlink"/>
            <w:noProof/>
          </w:rPr>
          <w:t>2.16 Human Security and Human Development</w:t>
        </w:r>
        <w:r>
          <w:rPr>
            <w:noProof/>
            <w:webHidden/>
          </w:rPr>
          <w:tab/>
        </w:r>
        <w:r>
          <w:rPr>
            <w:noProof/>
            <w:webHidden/>
          </w:rPr>
          <w:fldChar w:fldCharType="begin"/>
        </w:r>
        <w:r>
          <w:rPr>
            <w:noProof/>
            <w:webHidden/>
          </w:rPr>
          <w:instrText xml:space="preserve"> PAGEREF _Toc182386240 \h </w:instrText>
        </w:r>
        <w:r>
          <w:rPr>
            <w:noProof/>
            <w:webHidden/>
          </w:rPr>
        </w:r>
        <w:r>
          <w:rPr>
            <w:noProof/>
            <w:webHidden/>
          </w:rPr>
          <w:fldChar w:fldCharType="separate"/>
        </w:r>
        <w:r w:rsidR="00B34C8F">
          <w:rPr>
            <w:noProof/>
            <w:webHidden/>
          </w:rPr>
          <w:t>76</w:t>
        </w:r>
        <w:r>
          <w:rPr>
            <w:noProof/>
            <w:webHidden/>
          </w:rPr>
          <w:fldChar w:fldCharType="end"/>
        </w:r>
      </w:hyperlink>
    </w:p>
    <w:p w14:paraId="4B7684CF" w14:textId="466B4B6A" w:rsidR="00DD112B" w:rsidRDefault="00DD112B">
      <w:pPr>
        <w:pStyle w:val="TOC2"/>
        <w:tabs>
          <w:tab w:val="right" w:leader="dot" w:pos="8296"/>
        </w:tabs>
        <w:rPr>
          <w:rFonts w:asciiTheme="minorHAnsi" w:eastAsiaTheme="minorEastAsia" w:hAnsiTheme="minorHAnsi"/>
          <w:noProof/>
          <w:sz w:val="22"/>
          <w:lang w:val="en-US"/>
        </w:rPr>
      </w:pPr>
      <w:hyperlink w:anchor="_Toc182386241" w:history="1">
        <w:r w:rsidRPr="00C6074C">
          <w:rPr>
            <w:rStyle w:val="Hyperlink"/>
            <w:noProof/>
          </w:rPr>
          <w:t>2.17 Human Security and Human Rights</w:t>
        </w:r>
        <w:r>
          <w:rPr>
            <w:noProof/>
            <w:webHidden/>
          </w:rPr>
          <w:tab/>
        </w:r>
        <w:r>
          <w:rPr>
            <w:noProof/>
            <w:webHidden/>
          </w:rPr>
          <w:fldChar w:fldCharType="begin"/>
        </w:r>
        <w:r>
          <w:rPr>
            <w:noProof/>
            <w:webHidden/>
          </w:rPr>
          <w:instrText xml:space="preserve"> PAGEREF _Toc182386241 \h </w:instrText>
        </w:r>
        <w:r>
          <w:rPr>
            <w:noProof/>
            <w:webHidden/>
          </w:rPr>
        </w:r>
        <w:r>
          <w:rPr>
            <w:noProof/>
            <w:webHidden/>
          </w:rPr>
          <w:fldChar w:fldCharType="separate"/>
        </w:r>
        <w:r w:rsidR="00B34C8F">
          <w:rPr>
            <w:noProof/>
            <w:webHidden/>
          </w:rPr>
          <w:t>81</w:t>
        </w:r>
        <w:r>
          <w:rPr>
            <w:noProof/>
            <w:webHidden/>
          </w:rPr>
          <w:fldChar w:fldCharType="end"/>
        </w:r>
      </w:hyperlink>
    </w:p>
    <w:p w14:paraId="1CD1E925" w14:textId="30038081" w:rsidR="00DD112B" w:rsidRDefault="00DD112B">
      <w:pPr>
        <w:pStyle w:val="TOC2"/>
        <w:tabs>
          <w:tab w:val="right" w:leader="dot" w:pos="8296"/>
        </w:tabs>
        <w:rPr>
          <w:rFonts w:asciiTheme="minorHAnsi" w:eastAsiaTheme="minorEastAsia" w:hAnsiTheme="minorHAnsi"/>
          <w:noProof/>
          <w:sz w:val="22"/>
          <w:lang w:val="en-US"/>
        </w:rPr>
      </w:pPr>
      <w:hyperlink w:anchor="_Toc182386242" w:history="1">
        <w:r w:rsidRPr="00C6074C">
          <w:rPr>
            <w:rStyle w:val="Hyperlink"/>
            <w:noProof/>
          </w:rPr>
          <w:t>2.18 Conflicts and human security challenges</w:t>
        </w:r>
        <w:r>
          <w:rPr>
            <w:noProof/>
            <w:webHidden/>
          </w:rPr>
          <w:tab/>
        </w:r>
        <w:r>
          <w:rPr>
            <w:noProof/>
            <w:webHidden/>
          </w:rPr>
          <w:fldChar w:fldCharType="begin"/>
        </w:r>
        <w:r>
          <w:rPr>
            <w:noProof/>
            <w:webHidden/>
          </w:rPr>
          <w:instrText xml:space="preserve"> PAGEREF _Toc182386242 \h </w:instrText>
        </w:r>
        <w:r>
          <w:rPr>
            <w:noProof/>
            <w:webHidden/>
          </w:rPr>
        </w:r>
        <w:r>
          <w:rPr>
            <w:noProof/>
            <w:webHidden/>
          </w:rPr>
          <w:fldChar w:fldCharType="separate"/>
        </w:r>
        <w:r w:rsidR="00B34C8F">
          <w:rPr>
            <w:noProof/>
            <w:webHidden/>
          </w:rPr>
          <w:t>84</w:t>
        </w:r>
        <w:r>
          <w:rPr>
            <w:noProof/>
            <w:webHidden/>
          </w:rPr>
          <w:fldChar w:fldCharType="end"/>
        </w:r>
      </w:hyperlink>
    </w:p>
    <w:p w14:paraId="3BE9F227" w14:textId="00E12FA0" w:rsidR="00DD112B" w:rsidRDefault="00DD112B">
      <w:pPr>
        <w:pStyle w:val="TOC3"/>
        <w:tabs>
          <w:tab w:val="right" w:leader="dot" w:pos="8296"/>
        </w:tabs>
        <w:rPr>
          <w:rFonts w:asciiTheme="minorHAnsi" w:eastAsiaTheme="minorEastAsia" w:hAnsiTheme="minorHAnsi"/>
          <w:noProof/>
          <w:sz w:val="22"/>
          <w:lang w:val="en-US"/>
        </w:rPr>
      </w:pPr>
      <w:hyperlink w:anchor="_Toc182386243" w:history="1">
        <w:r w:rsidRPr="00C6074C">
          <w:rPr>
            <w:rStyle w:val="Hyperlink"/>
            <w:noProof/>
          </w:rPr>
          <w:t>2.18.1 Humanitarian Impact</w:t>
        </w:r>
        <w:r>
          <w:rPr>
            <w:noProof/>
            <w:webHidden/>
          </w:rPr>
          <w:tab/>
        </w:r>
        <w:r>
          <w:rPr>
            <w:noProof/>
            <w:webHidden/>
          </w:rPr>
          <w:fldChar w:fldCharType="begin"/>
        </w:r>
        <w:r>
          <w:rPr>
            <w:noProof/>
            <w:webHidden/>
          </w:rPr>
          <w:instrText xml:space="preserve"> PAGEREF _Toc182386243 \h </w:instrText>
        </w:r>
        <w:r>
          <w:rPr>
            <w:noProof/>
            <w:webHidden/>
          </w:rPr>
        </w:r>
        <w:r>
          <w:rPr>
            <w:noProof/>
            <w:webHidden/>
          </w:rPr>
          <w:fldChar w:fldCharType="separate"/>
        </w:r>
        <w:r w:rsidR="00B34C8F">
          <w:rPr>
            <w:noProof/>
            <w:webHidden/>
          </w:rPr>
          <w:t>86</w:t>
        </w:r>
        <w:r>
          <w:rPr>
            <w:noProof/>
            <w:webHidden/>
          </w:rPr>
          <w:fldChar w:fldCharType="end"/>
        </w:r>
      </w:hyperlink>
    </w:p>
    <w:p w14:paraId="18FBA779" w14:textId="68B17C1E" w:rsidR="00DD112B" w:rsidRDefault="00DD112B">
      <w:pPr>
        <w:pStyle w:val="TOC3"/>
        <w:tabs>
          <w:tab w:val="right" w:leader="dot" w:pos="8296"/>
        </w:tabs>
        <w:rPr>
          <w:rFonts w:asciiTheme="minorHAnsi" w:eastAsiaTheme="minorEastAsia" w:hAnsiTheme="minorHAnsi"/>
          <w:noProof/>
          <w:sz w:val="22"/>
          <w:lang w:val="en-US"/>
        </w:rPr>
      </w:pPr>
      <w:hyperlink w:anchor="_Toc182386244" w:history="1">
        <w:r w:rsidRPr="00C6074C">
          <w:rPr>
            <w:rStyle w:val="Hyperlink"/>
            <w:noProof/>
          </w:rPr>
          <w:t>2.18.2 Economic Impact</w:t>
        </w:r>
        <w:r>
          <w:rPr>
            <w:noProof/>
            <w:webHidden/>
          </w:rPr>
          <w:tab/>
        </w:r>
        <w:r>
          <w:rPr>
            <w:noProof/>
            <w:webHidden/>
          </w:rPr>
          <w:fldChar w:fldCharType="begin"/>
        </w:r>
        <w:r>
          <w:rPr>
            <w:noProof/>
            <w:webHidden/>
          </w:rPr>
          <w:instrText xml:space="preserve"> PAGEREF _Toc182386244 \h </w:instrText>
        </w:r>
        <w:r>
          <w:rPr>
            <w:noProof/>
            <w:webHidden/>
          </w:rPr>
        </w:r>
        <w:r>
          <w:rPr>
            <w:noProof/>
            <w:webHidden/>
          </w:rPr>
          <w:fldChar w:fldCharType="separate"/>
        </w:r>
        <w:r w:rsidR="00B34C8F">
          <w:rPr>
            <w:noProof/>
            <w:webHidden/>
          </w:rPr>
          <w:t>95</w:t>
        </w:r>
        <w:r>
          <w:rPr>
            <w:noProof/>
            <w:webHidden/>
          </w:rPr>
          <w:fldChar w:fldCharType="end"/>
        </w:r>
      </w:hyperlink>
    </w:p>
    <w:p w14:paraId="0954969D" w14:textId="490C978A" w:rsidR="00DD112B" w:rsidRDefault="00DD112B">
      <w:pPr>
        <w:pStyle w:val="TOC2"/>
        <w:tabs>
          <w:tab w:val="right" w:leader="dot" w:pos="8296"/>
        </w:tabs>
        <w:rPr>
          <w:rFonts w:asciiTheme="minorHAnsi" w:eastAsiaTheme="minorEastAsia" w:hAnsiTheme="minorHAnsi"/>
          <w:noProof/>
          <w:sz w:val="22"/>
          <w:lang w:val="en-US"/>
        </w:rPr>
      </w:pPr>
      <w:hyperlink w:anchor="_Toc182386245" w:history="1">
        <w:r w:rsidRPr="00C6074C">
          <w:rPr>
            <w:rStyle w:val="Hyperlink"/>
            <w:rFonts w:eastAsia="Times New Roman"/>
            <w:noProof/>
            <w:lang w:eastAsia="en-GB"/>
          </w:rPr>
          <w:t>2.19 History of Past Violent Conflicts</w:t>
        </w:r>
        <w:r>
          <w:rPr>
            <w:noProof/>
            <w:webHidden/>
          </w:rPr>
          <w:tab/>
        </w:r>
        <w:r>
          <w:rPr>
            <w:noProof/>
            <w:webHidden/>
          </w:rPr>
          <w:fldChar w:fldCharType="begin"/>
        </w:r>
        <w:r>
          <w:rPr>
            <w:noProof/>
            <w:webHidden/>
          </w:rPr>
          <w:instrText xml:space="preserve"> PAGEREF _Toc182386245 \h </w:instrText>
        </w:r>
        <w:r>
          <w:rPr>
            <w:noProof/>
            <w:webHidden/>
          </w:rPr>
        </w:r>
        <w:r>
          <w:rPr>
            <w:noProof/>
            <w:webHidden/>
          </w:rPr>
          <w:fldChar w:fldCharType="separate"/>
        </w:r>
        <w:r w:rsidR="00B34C8F">
          <w:rPr>
            <w:noProof/>
            <w:webHidden/>
          </w:rPr>
          <w:t>99</w:t>
        </w:r>
        <w:r>
          <w:rPr>
            <w:noProof/>
            <w:webHidden/>
          </w:rPr>
          <w:fldChar w:fldCharType="end"/>
        </w:r>
      </w:hyperlink>
    </w:p>
    <w:p w14:paraId="0D22CDB8" w14:textId="40C4B0C0" w:rsidR="00DD112B" w:rsidRDefault="00DD112B">
      <w:pPr>
        <w:pStyle w:val="TOC3"/>
        <w:tabs>
          <w:tab w:val="right" w:leader="dot" w:pos="8296"/>
        </w:tabs>
        <w:rPr>
          <w:rFonts w:asciiTheme="minorHAnsi" w:eastAsiaTheme="minorEastAsia" w:hAnsiTheme="minorHAnsi"/>
          <w:noProof/>
          <w:sz w:val="22"/>
          <w:lang w:val="en-US"/>
        </w:rPr>
      </w:pPr>
      <w:hyperlink w:anchor="_Toc182386246" w:history="1">
        <w:r w:rsidRPr="00C6074C">
          <w:rPr>
            <w:rStyle w:val="Hyperlink"/>
            <w:noProof/>
          </w:rPr>
          <w:t>2.19.1 Autocracy and conflicts</w:t>
        </w:r>
        <w:r>
          <w:rPr>
            <w:noProof/>
            <w:webHidden/>
          </w:rPr>
          <w:tab/>
        </w:r>
        <w:r>
          <w:rPr>
            <w:noProof/>
            <w:webHidden/>
          </w:rPr>
          <w:fldChar w:fldCharType="begin"/>
        </w:r>
        <w:r>
          <w:rPr>
            <w:noProof/>
            <w:webHidden/>
          </w:rPr>
          <w:instrText xml:space="preserve"> PAGEREF _Toc182386246 \h </w:instrText>
        </w:r>
        <w:r>
          <w:rPr>
            <w:noProof/>
            <w:webHidden/>
          </w:rPr>
        </w:r>
        <w:r>
          <w:rPr>
            <w:noProof/>
            <w:webHidden/>
          </w:rPr>
          <w:fldChar w:fldCharType="separate"/>
        </w:r>
        <w:r w:rsidR="00B34C8F">
          <w:rPr>
            <w:noProof/>
            <w:webHidden/>
          </w:rPr>
          <w:t>99</w:t>
        </w:r>
        <w:r>
          <w:rPr>
            <w:noProof/>
            <w:webHidden/>
          </w:rPr>
          <w:fldChar w:fldCharType="end"/>
        </w:r>
      </w:hyperlink>
    </w:p>
    <w:p w14:paraId="0B3AC6AA" w14:textId="048E5B50" w:rsidR="00DD112B" w:rsidRDefault="00DD112B">
      <w:pPr>
        <w:pStyle w:val="TOC3"/>
        <w:tabs>
          <w:tab w:val="right" w:leader="dot" w:pos="8296"/>
        </w:tabs>
        <w:rPr>
          <w:rFonts w:asciiTheme="minorHAnsi" w:eastAsiaTheme="minorEastAsia" w:hAnsiTheme="minorHAnsi"/>
          <w:noProof/>
          <w:sz w:val="22"/>
          <w:lang w:val="en-US"/>
        </w:rPr>
      </w:pPr>
      <w:hyperlink w:anchor="_Toc182386247" w:history="1">
        <w:r w:rsidRPr="00C6074C">
          <w:rPr>
            <w:rStyle w:val="Hyperlink"/>
            <w:noProof/>
          </w:rPr>
          <w:t>2.19.2 External Actors</w:t>
        </w:r>
        <w:r>
          <w:rPr>
            <w:noProof/>
            <w:webHidden/>
          </w:rPr>
          <w:tab/>
        </w:r>
        <w:r>
          <w:rPr>
            <w:noProof/>
            <w:webHidden/>
          </w:rPr>
          <w:fldChar w:fldCharType="begin"/>
        </w:r>
        <w:r>
          <w:rPr>
            <w:noProof/>
            <w:webHidden/>
          </w:rPr>
          <w:instrText xml:space="preserve"> PAGEREF _Toc182386247 \h </w:instrText>
        </w:r>
        <w:r>
          <w:rPr>
            <w:noProof/>
            <w:webHidden/>
          </w:rPr>
        </w:r>
        <w:r>
          <w:rPr>
            <w:noProof/>
            <w:webHidden/>
          </w:rPr>
          <w:fldChar w:fldCharType="separate"/>
        </w:r>
        <w:r w:rsidR="00B34C8F">
          <w:rPr>
            <w:noProof/>
            <w:webHidden/>
          </w:rPr>
          <w:t>101</w:t>
        </w:r>
        <w:r>
          <w:rPr>
            <w:noProof/>
            <w:webHidden/>
          </w:rPr>
          <w:fldChar w:fldCharType="end"/>
        </w:r>
      </w:hyperlink>
    </w:p>
    <w:p w14:paraId="68E431C9" w14:textId="31026DBA" w:rsidR="00DD112B" w:rsidRDefault="00DD112B">
      <w:pPr>
        <w:pStyle w:val="TOC2"/>
        <w:tabs>
          <w:tab w:val="right" w:leader="dot" w:pos="8296"/>
        </w:tabs>
        <w:rPr>
          <w:rFonts w:asciiTheme="minorHAnsi" w:eastAsiaTheme="minorEastAsia" w:hAnsiTheme="minorHAnsi"/>
          <w:noProof/>
          <w:sz w:val="22"/>
          <w:lang w:val="en-US"/>
        </w:rPr>
      </w:pPr>
      <w:hyperlink w:anchor="_Toc182386248" w:history="1">
        <w:r w:rsidRPr="00C6074C">
          <w:rPr>
            <w:rStyle w:val="Hyperlink"/>
            <w:noProof/>
          </w:rPr>
          <w:t>2.20 Chieftaincy Conflicts and human security, the Ghanaian situation</w:t>
        </w:r>
        <w:r>
          <w:rPr>
            <w:noProof/>
            <w:webHidden/>
          </w:rPr>
          <w:tab/>
        </w:r>
        <w:r>
          <w:rPr>
            <w:noProof/>
            <w:webHidden/>
          </w:rPr>
          <w:fldChar w:fldCharType="begin"/>
        </w:r>
        <w:r>
          <w:rPr>
            <w:noProof/>
            <w:webHidden/>
          </w:rPr>
          <w:instrText xml:space="preserve"> PAGEREF _Toc182386248 \h </w:instrText>
        </w:r>
        <w:r>
          <w:rPr>
            <w:noProof/>
            <w:webHidden/>
          </w:rPr>
        </w:r>
        <w:r>
          <w:rPr>
            <w:noProof/>
            <w:webHidden/>
          </w:rPr>
          <w:fldChar w:fldCharType="separate"/>
        </w:r>
        <w:r w:rsidR="00B34C8F">
          <w:rPr>
            <w:noProof/>
            <w:webHidden/>
          </w:rPr>
          <w:t>101</w:t>
        </w:r>
        <w:r>
          <w:rPr>
            <w:noProof/>
            <w:webHidden/>
          </w:rPr>
          <w:fldChar w:fldCharType="end"/>
        </w:r>
      </w:hyperlink>
    </w:p>
    <w:p w14:paraId="1556D78B" w14:textId="19BEDA59" w:rsidR="00DD112B" w:rsidRDefault="00DD112B">
      <w:pPr>
        <w:pStyle w:val="TOC3"/>
        <w:tabs>
          <w:tab w:val="right" w:leader="dot" w:pos="8296"/>
        </w:tabs>
        <w:rPr>
          <w:rFonts w:asciiTheme="minorHAnsi" w:eastAsiaTheme="minorEastAsia" w:hAnsiTheme="minorHAnsi"/>
          <w:noProof/>
          <w:sz w:val="22"/>
          <w:lang w:val="en-US"/>
        </w:rPr>
      </w:pPr>
      <w:hyperlink w:anchor="_Toc182386249" w:history="1">
        <w:r w:rsidRPr="00C6074C">
          <w:rPr>
            <w:rStyle w:val="Hyperlink"/>
            <w:noProof/>
          </w:rPr>
          <w:t>2.20.1 Economic implication of chieftaincy conflicts</w:t>
        </w:r>
        <w:r>
          <w:rPr>
            <w:noProof/>
            <w:webHidden/>
          </w:rPr>
          <w:tab/>
        </w:r>
        <w:r>
          <w:rPr>
            <w:noProof/>
            <w:webHidden/>
          </w:rPr>
          <w:fldChar w:fldCharType="begin"/>
        </w:r>
        <w:r>
          <w:rPr>
            <w:noProof/>
            <w:webHidden/>
          </w:rPr>
          <w:instrText xml:space="preserve"> PAGEREF _Toc182386249 \h </w:instrText>
        </w:r>
        <w:r>
          <w:rPr>
            <w:noProof/>
            <w:webHidden/>
          </w:rPr>
        </w:r>
        <w:r>
          <w:rPr>
            <w:noProof/>
            <w:webHidden/>
          </w:rPr>
          <w:fldChar w:fldCharType="separate"/>
        </w:r>
        <w:r w:rsidR="00B34C8F">
          <w:rPr>
            <w:noProof/>
            <w:webHidden/>
          </w:rPr>
          <w:t>106</w:t>
        </w:r>
        <w:r>
          <w:rPr>
            <w:noProof/>
            <w:webHidden/>
          </w:rPr>
          <w:fldChar w:fldCharType="end"/>
        </w:r>
      </w:hyperlink>
    </w:p>
    <w:p w14:paraId="3F97BC13" w14:textId="189C3984" w:rsidR="00DD112B" w:rsidRDefault="00DD112B">
      <w:pPr>
        <w:pStyle w:val="TOC3"/>
        <w:tabs>
          <w:tab w:val="right" w:leader="dot" w:pos="8296"/>
        </w:tabs>
        <w:rPr>
          <w:rFonts w:asciiTheme="minorHAnsi" w:eastAsiaTheme="minorEastAsia" w:hAnsiTheme="minorHAnsi"/>
          <w:noProof/>
          <w:sz w:val="22"/>
          <w:lang w:val="en-US"/>
        </w:rPr>
      </w:pPr>
      <w:hyperlink w:anchor="_Toc182386250" w:history="1">
        <w:r w:rsidRPr="00C6074C">
          <w:rPr>
            <w:rStyle w:val="Hyperlink"/>
            <w:noProof/>
          </w:rPr>
          <w:t>2.20.2 Chieftaincy conflicts and Food Security Implication</w:t>
        </w:r>
        <w:r>
          <w:rPr>
            <w:noProof/>
            <w:webHidden/>
          </w:rPr>
          <w:tab/>
        </w:r>
        <w:r>
          <w:rPr>
            <w:noProof/>
            <w:webHidden/>
          </w:rPr>
          <w:fldChar w:fldCharType="begin"/>
        </w:r>
        <w:r>
          <w:rPr>
            <w:noProof/>
            <w:webHidden/>
          </w:rPr>
          <w:instrText xml:space="preserve"> PAGEREF _Toc182386250 \h </w:instrText>
        </w:r>
        <w:r>
          <w:rPr>
            <w:noProof/>
            <w:webHidden/>
          </w:rPr>
        </w:r>
        <w:r>
          <w:rPr>
            <w:noProof/>
            <w:webHidden/>
          </w:rPr>
          <w:fldChar w:fldCharType="separate"/>
        </w:r>
        <w:r w:rsidR="00B34C8F">
          <w:rPr>
            <w:noProof/>
            <w:webHidden/>
          </w:rPr>
          <w:t>109</w:t>
        </w:r>
        <w:r>
          <w:rPr>
            <w:noProof/>
            <w:webHidden/>
          </w:rPr>
          <w:fldChar w:fldCharType="end"/>
        </w:r>
      </w:hyperlink>
    </w:p>
    <w:p w14:paraId="3B16F0CE" w14:textId="78BB9430" w:rsidR="00DD112B" w:rsidRDefault="00DD112B">
      <w:pPr>
        <w:pStyle w:val="TOC3"/>
        <w:tabs>
          <w:tab w:val="right" w:leader="dot" w:pos="8296"/>
        </w:tabs>
        <w:rPr>
          <w:rFonts w:asciiTheme="minorHAnsi" w:eastAsiaTheme="minorEastAsia" w:hAnsiTheme="minorHAnsi"/>
          <w:noProof/>
          <w:sz w:val="22"/>
          <w:lang w:val="en-US"/>
        </w:rPr>
      </w:pPr>
      <w:hyperlink w:anchor="_Toc182386251" w:history="1">
        <w:r w:rsidRPr="00C6074C">
          <w:rPr>
            <w:rStyle w:val="Hyperlink"/>
            <w:noProof/>
          </w:rPr>
          <w:t>2.20.3 Conflict and community security</w:t>
        </w:r>
        <w:r>
          <w:rPr>
            <w:noProof/>
            <w:webHidden/>
          </w:rPr>
          <w:tab/>
        </w:r>
        <w:r>
          <w:rPr>
            <w:noProof/>
            <w:webHidden/>
          </w:rPr>
          <w:fldChar w:fldCharType="begin"/>
        </w:r>
        <w:r>
          <w:rPr>
            <w:noProof/>
            <w:webHidden/>
          </w:rPr>
          <w:instrText xml:space="preserve"> PAGEREF _Toc182386251 \h </w:instrText>
        </w:r>
        <w:r>
          <w:rPr>
            <w:noProof/>
            <w:webHidden/>
          </w:rPr>
        </w:r>
        <w:r>
          <w:rPr>
            <w:noProof/>
            <w:webHidden/>
          </w:rPr>
          <w:fldChar w:fldCharType="separate"/>
        </w:r>
        <w:r w:rsidR="00B34C8F">
          <w:rPr>
            <w:noProof/>
            <w:webHidden/>
          </w:rPr>
          <w:t>111</w:t>
        </w:r>
        <w:r>
          <w:rPr>
            <w:noProof/>
            <w:webHidden/>
          </w:rPr>
          <w:fldChar w:fldCharType="end"/>
        </w:r>
      </w:hyperlink>
    </w:p>
    <w:p w14:paraId="7A20E8BF" w14:textId="2523FCB4" w:rsidR="00DD112B" w:rsidRDefault="00DD112B">
      <w:pPr>
        <w:pStyle w:val="TOC3"/>
        <w:tabs>
          <w:tab w:val="right" w:leader="dot" w:pos="8296"/>
        </w:tabs>
        <w:rPr>
          <w:rFonts w:asciiTheme="minorHAnsi" w:eastAsiaTheme="minorEastAsia" w:hAnsiTheme="minorHAnsi"/>
          <w:noProof/>
          <w:sz w:val="22"/>
          <w:lang w:val="en-US"/>
        </w:rPr>
      </w:pPr>
      <w:hyperlink w:anchor="_Toc182386252" w:history="1">
        <w:r w:rsidRPr="00C6074C">
          <w:rPr>
            <w:rStyle w:val="Hyperlink"/>
            <w:noProof/>
          </w:rPr>
          <w:t>2.20.4 Conflict and Environmental Security</w:t>
        </w:r>
        <w:r>
          <w:rPr>
            <w:noProof/>
            <w:webHidden/>
          </w:rPr>
          <w:tab/>
        </w:r>
        <w:r>
          <w:rPr>
            <w:noProof/>
            <w:webHidden/>
          </w:rPr>
          <w:fldChar w:fldCharType="begin"/>
        </w:r>
        <w:r>
          <w:rPr>
            <w:noProof/>
            <w:webHidden/>
          </w:rPr>
          <w:instrText xml:space="preserve"> PAGEREF _Toc182386252 \h </w:instrText>
        </w:r>
        <w:r>
          <w:rPr>
            <w:noProof/>
            <w:webHidden/>
          </w:rPr>
        </w:r>
        <w:r>
          <w:rPr>
            <w:noProof/>
            <w:webHidden/>
          </w:rPr>
          <w:fldChar w:fldCharType="separate"/>
        </w:r>
        <w:r w:rsidR="00B34C8F">
          <w:rPr>
            <w:noProof/>
            <w:webHidden/>
          </w:rPr>
          <w:t>113</w:t>
        </w:r>
        <w:r>
          <w:rPr>
            <w:noProof/>
            <w:webHidden/>
          </w:rPr>
          <w:fldChar w:fldCharType="end"/>
        </w:r>
      </w:hyperlink>
    </w:p>
    <w:p w14:paraId="5B8DE664" w14:textId="1C1E7ACB" w:rsidR="00DD112B" w:rsidRDefault="00DD112B">
      <w:pPr>
        <w:pStyle w:val="TOC3"/>
        <w:tabs>
          <w:tab w:val="right" w:leader="dot" w:pos="8296"/>
        </w:tabs>
        <w:rPr>
          <w:rFonts w:asciiTheme="minorHAnsi" w:eastAsiaTheme="minorEastAsia" w:hAnsiTheme="minorHAnsi"/>
          <w:noProof/>
          <w:sz w:val="22"/>
          <w:lang w:val="en-US"/>
        </w:rPr>
      </w:pPr>
      <w:hyperlink w:anchor="_Toc182386253" w:history="1">
        <w:r w:rsidRPr="00C6074C">
          <w:rPr>
            <w:rStyle w:val="Hyperlink"/>
            <w:noProof/>
          </w:rPr>
          <w:t>2.20.5 Conflict and Health Security</w:t>
        </w:r>
        <w:r>
          <w:rPr>
            <w:noProof/>
            <w:webHidden/>
          </w:rPr>
          <w:tab/>
        </w:r>
        <w:r>
          <w:rPr>
            <w:noProof/>
            <w:webHidden/>
          </w:rPr>
          <w:fldChar w:fldCharType="begin"/>
        </w:r>
        <w:r>
          <w:rPr>
            <w:noProof/>
            <w:webHidden/>
          </w:rPr>
          <w:instrText xml:space="preserve"> PAGEREF _Toc182386253 \h </w:instrText>
        </w:r>
        <w:r>
          <w:rPr>
            <w:noProof/>
            <w:webHidden/>
          </w:rPr>
        </w:r>
        <w:r>
          <w:rPr>
            <w:noProof/>
            <w:webHidden/>
          </w:rPr>
          <w:fldChar w:fldCharType="separate"/>
        </w:r>
        <w:r w:rsidR="00B34C8F">
          <w:rPr>
            <w:noProof/>
            <w:webHidden/>
          </w:rPr>
          <w:t>114</w:t>
        </w:r>
        <w:r>
          <w:rPr>
            <w:noProof/>
            <w:webHidden/>
          </w:rPr>
          <w:fldChar w:fldCharType="end"/>
        </w:r>
      </w:hyperlink>
    </w:p>
    <w:p w14:paraId="6DCC5FAB" w14:textId="7EC5F66C" w:rsidR="00DD112B" w:rsidRDefault="00DD112B">
      <w:pPr>
        <w:pStyle w:val="TOC2"/>
        <w:tabs>
          <w:tab w:val="right" w:leader="dot" w:pos="8296"/>
        </w:tabs>
        <w:rPr>
          <w:rFonts w:asciiTheme="minorHAnsi" w:eastAsiaTheme="minorEastAsia" w:hAnsiTheme="minorHAnsi"/>
          <w:noProof/>
          <w:sz w:val="22"/>
          <w:lang w:val="en-US"/>
        </w:rPr>
      </w:pPr>
      <w:hyperlink w:anchor="_Toc182386254" w:history="1">
        <w:r w:rsidRPr="00C6074C">
          <w:rPr>
            <w:rStyle w:val="Hyperlink"/>
            <w:rFonts w:eastAsia="Times New Roman"/>
            <w:noProof/>
            <w:lang w:eastAsia="en-GB"/>
          </w:rPr>
          <w:t>2.21 Theories of conflict</w:t>
        </w:r>
        <w:r>
          <w:rPr>
            <w:noProof/>
            <w:webHidden/>
          </w:rPr>
          <w:tab/>
        </w:r>
        <w:r>
          <w:rPr>
            <w:noProof/>
            <w:webHidden/>
          </w:rPr>
          <w:fldChar w:fldCharType="begin"/>
        </w:r>
        <w:r>
          <w:rPr>
            <w:noProof/>
            <w:webHidden/>
          </w:rPr>
          <w:instrText xml:space="preserve"> PAGEREF _Toc182386254 \h </w:instrText>
        </w:r>
        <w:r>
          <w:rPr>
            <w:noProof/>
            <w:webHidden/>
          </w:rPr>
        </w:r>
        <w:r>
          <w:rPr>
            <w:noProof/>
            <w:webHidden/>
          </w:rPr>
          <w:fldChar w:fldCharType="separate"/>
        </w:r>
        <w:r w:rsidR="00B34C8F">
          <w:rPr>
            <w:noProof/>
            <w:webHidden/>
          </w:rPr>
          <w:t>116</w:t>
        </w:r>
        <w:r>
          <w:rPr>
            <w:noProof/>
            <w:webHidden/>
          </w:rPr>
          <w:fldChar w:fldCharType="end"/>
        </w:r>
      </w:hyperlink>
    </w:p>
    <w:p w14:paraId="547F1F0D" w14:textId="01CF69AF" w:rsidR="00DD112B" w:rsidRDefault="00DD112B">
      <w:pPr>
        <w:pStyle w:val="TOC3"/>
        <w:tabs>
          <w:tab w:val="right" w:leader="dot" w:pos="8296"/>
        </w:tabs>
        <w:rPr>
          <w:rFonts w:asciiTheme="minorHAnsi" w:eastAsiaTheme="minorEastAsia" w:hAnsiTheme="minorHAnsi"/>
          <w:noProof/>
          <w:sz w:val="22"/>
          <w:lang w:val="en-US"/>
        </w:rPr>
      </w:pPr>
      <w:hyperlink w:anchor="_Toc182386255" w:history="1">
        <w:r w:rsidRPr="00C6074C">
          <w:rPr>
            <w:rStyle w:val="Hyperlink"/>
            <w:noProof/>
          </w:rPr>
          <w:t>2.21.1 Hobbes’ inherency theory of conflict</w:t>
        </w:r>
        <w:r>
          <w:rPr>
            <w:noProof/>
            <w:webHidden/>
          </w:rPr>
          <w:tab/>
        </w:r>
        <w:r>
          <w:rPr>
            <w:noProof/>
            <w:webHidden/>
          </w:rPr>
          <w:fldChar w:fldCharType="begin"/>
        </w:r>
        <w:r>
          <w:rPr>
            <w:noProof/>
            <w:webHidden/>
          </w:rPr>
          <w:instrText xml:space="preserve"> PAGEREF _Toc182386255 \h </w:instrText>
        </w:r>
        <w:r>
          <w:rPr>
            <w:noProof/>
            <w:webHidden/>
          </w:rPr>
        </w:r>
        <w:r>
          <w:rPr>
            <w:noProof/>
            <w:webHidden/>
          </w:rPr>
          <w:fldChar w:fldCharType="separate"/>
        </w:r>
        <w:r w:rsidR="00B34C8F">
          <w:rPr>
            <w:noProof/>
            <w:webHidden/>
          </w:rPr>
          <w:t>116</w:t>
        </w:r>
        <w:r>
          <w:rPr>
            <w:noProof/>
            <w:webHidden/>
          </w:rPr>
          <w:fldChar w:fldCharType="end"/>
        </w:r>
      </w:hyperlink>
    </w:p>
    <w:p w14:paraId="2BD72059" w14:textId="20B705CF" w:rsidR="00DD112B" w:rsidRDefault="00DD112B">
      <w:pPr>
        <w:pStyle w:val="TOC3"/>
        <w:tabs>
          <w:tab w:val="right" w:leader="dot" w:pos="8296"/>
        </w:tabs>
        <w:rPr>
          <w:rFonts w:asciiTheme="minorHAnsi" w:eastAsiaTheme="minorEastAsia" w:hAnsiTheme="minorHAnsi"/>
          <w:noProof/>
          <w:sz w:val="22"/>
          <w:lang w:val="en-US"/>
        </w:rPr>
      </w:pPr>
      <w:hyperlink w:anchor="_Toc182386256" w:history="1">
        <w:r w:rsidRPr="00C6074C">
          <w:rPr>
            <w:rStyle w:val="Hyperlink"/>
            <w:noProof/>
          </w:rPr>
          <w:t>2.21.2 Ron Kurtus Theory of Security</w:t>
        </w:r>
        <w:r>
          <w:rPr>
            <w:noProof/>
            <w:webHidden/>
          </w:rPr>
          <w:tab/>
        </w:r>
        <w:r>
          <w:rPr>
            <w:noProof/>
            <w:webHidden/>
          </w:rPr>
          <w:fldChar w:fldCharType="begin"/>
        </w:r>
        <w:r>
          <w:rPr>
            <w:noProof/>
            <w:webHidden/>
          </w:rPr>
          <w:instrText xml:space="preserve"> PAGEREF _Toc182386256 \h </w:instrText>
        </w:r>
        <w:r>
          <w:rPr>
            <w:noProof/>
            <w:webHidden/>
          </w:rPr>
        </w:r>
        <w:r>
          <w:rPr>
            <w:noProof/>
            <w:webHidden/>
          </w:rPr>
          <w:fldChar w:fldCharType="separate"/>
        </w:r>
        <w:r w:rsidR="00B34C8F">
          <w:rPr>
            <w:noProof/>
            <w:webHidden/>
          </w:rPr>
          <w:t>121</w:t>
        </w:r>
        <w:r>
          <w:rPr>
            <w:noProof/>
            <w:webHidden/>
          </w:rPr>
          <w:fldChar w:fldCharType="end"/>
        </w:r>
      </w:hyperlink>
    </w:p>
    <w:p w14:paraId="7700BC03" w14:textId="00EA257B" w:rsidR="00DD112B" w:rsidRDefault="00DD112B">
      <w:pPr>
        <w:pStyle w:val="TOC3"/>
        <w:tabs>
          <w:tab w:val="right" w:leader="dot" w:pos="8296"/>
        </w:tabs>
        <w:rPr>
          <w:rFonts w:asciiTheme="minorHAnsi" w:eastAsiaTheme="minorEastAsia" w:hAnsiTheme="minorHAnsi"/>
          <w:noProof/>
          <w:sz w:val="22"/>
          <w:lang w:val="en-US"/>
        </w:rPr>
      </w:pPr>
      <w:hyperlink w:anchor="_Toc182386257" w:history="1">
        <w:r w:rsidRPr="00C6074C">
          <w:rPr>
            <w:rStyle w:val="Hyperlink"/>
            <w:noProof/>
          </w:rPr>
          <w:t>2.21.3 Theory of Securitization</w:t>
        </w:r>
        <w:r>
          <w:rPr>
            <w:noProof/>
            <w:webHidden/>
          </w:rPr>
          <w:tab/>
        </w:r>
        <w:r>
          <w:rPr>
            <w:noProof/>
            <w:webHidden/>
          </w:rPr>
          <w:fldChar w:fldCharType="begin"/>
        </w:r>
        <w:r>
          <w:rPr>
            <w:noProof/>
            <w:webHidden/>
          </w:rPr>
          <w:instrText xml:space="preserve"> PAGEREF _Toc182386257 \h </w:instrText>
        </w:r>
        <w:r>
          <w:rPr>
            <w:noProof/>
            <w:webHidden/>
          </w:rPr>
        </w:r>
        <w:r>
          <w:rPr>
            <w:noProof/>
            <w:webHidden/>
          </w:rPr>
          <w:fldChar w:fldCharType="separate"/>
        </w:r>
        <w:r w:rsidR="00B34C8F">
          <w:rPr>
            <w:noProof/>
            <w:webHidden/>
          </w:rPr>
          <w:t>125</w:t>
        </w:r>
        <w:r>
          <w:rPr>
            <w:noProof/>
            <w:webHidden/>
          </w:rPr>
          <w:fldChar w:fldCharType="end"/>
        </w:r>
      </w:hyperlink>
    </w:p>
    <w:p w14:paraId="7239BC71" w14:textId="43785A70" w:rsidR="00DD112B" w:rsidRDefault="00DD112B">
      <w:pPr>
        <w:pStyle w:val="TOC1"/>
        <w:rPr>
          <w:rFonts w:asciiTheme="minorHAnsi" w:eastAsiaTheme="minorEastAsia" w:hAnsiTheme="minorHAnsi"/>
          <w:b w:val="0"/>
          <w:noProof/>
          <w:sz w:val="22"/>
          <w:lang w:val="en-US"/>
        </w:rPr>
      </w:pPr>
      <w:hyperlink w:anchor="_Toc182386258" w:history="1">
        <w:r w:rsidRPr="00C6074C">
          <w:rPr>
            <w:rStyle w:val="Hyperlink"/>
            <w:noProof/>
          </w:rPr>
          <w:t>CHAPTER THREE</w:t>
        </w:r>
        <w:r>
          <w:rPr>
            <w:noProof/>
            <w:webHidden/>
          </w:rPr>
          <w:tab/>
        </w:r>
        <w:r>
          <w:rPr>
            <w:noProof/>
            <w:webHidden/>
          </w:rPr>
          <w:fldChar w:fldCharType="begin"/>
        </w:r>
        <w:r>
          <w:rPr>
            <w:noProof/>
            <w:webHidden/>
          </w:rPr>
          <w:instrText xml:space="preserve"> PAGEREF _Toc182386258 \h </w:instrText>
        </w:r>
        <w:r>
          <w:rPr>
            <w:noProof/>
            <w:webHidden/>
          </w:rPr>
        </w:r>
        <w:r>
          <w:rPr>
            <w:noProof/>
            <w:webHidden/>
          </w:rPr>
          <w:fldChar w:fldCharType="separate"/>
        </w:r>
        <w:r w:rsidR="00B34C8F">
          <w:rPr>
            <w:noProof/>
            <w:webHidden/>
          </w:rPr>
          <w:t>135</w:t>
        </w:r>
        <w:r>
          <w:rPr>
            <w:noProof/>
            <w:webHidden/>
          </w:rPr>
          <w:fldChar w:fldCharType="end"/>
        </w:r>
      </w:hyperlink>
    </w:p>
    <w:p w14:paraId="2BFF36E9" w14:textId="51DF3360" w:rsidR="00DD112B" w:rsidRDefault="00DD112B">
      <w:pPr>
        <w:pStyle w:val="TOC1"/>
        <w:rPr>
          <w:rFonts w:asciiTheme="minorHAnsi" w:eastAsiaTheme="minorEastAsia" w:hAnsiTheme="minorHAnsi"/>
          <w:b w:val="0"/>
          <w:noProof/>
          <w:sz w:val="22"/>
          <w:lang w:val="en-US"/>
        </w:rPr>
      </w:pPr>
      <w:hyperlink w:anchor="_Toc182386259" w:history="1">
        <w:r w:rsidRPr="00C6074C">
          <w:rPr>
            <w:rStyle w:val="Hyperlink"/>
            <w:noProof/>
          </w:rPr>
          <w:t>METHODOLOGY</w:t>
        </w:r>
        <w:r>
          <w:rPr>
            <w:noProof/>
            <w:webHidden/>
          </w:rPr>
          <w:tab/>
        </w:r>
        <w:r>
          <w:rPr>
            <w:noProof/>
            <w:webHidden/>
          </w:rPr>
          <w:fldChar w:fldCharType="begin"/>
        </w:r>
        <w:r>
          <w:rPr>
            <w:noProof/>
            <w:webHidden/>
          </w:rPr>
          <w:instrText xml:space="preserve"> PAGEREF _Toc182386259 \h </w:instrText>
        </w:r>
        <w:r>
          <w:rPr>
            <w:noProof/>
            <w:webHidden/>
          </w:rPr>
        </w:r>
        <w:r>
          <w:rPr>
            <w:noProof/>
            <w:webHidden/>
          </w:rPr>
          <w:fldChar w:fldCharType="separate"/>
        </w:r>
        <w:r w:rsidR="00B34C8F">
          <w:rPr>
            <w:noProof/>
            <w:webHidden/>
          </w:rPr>
          <w:t>135</w:t>
        </w:r>
        <w:r>
          <w:rPr>
            <w:noProof/>
            <w:webHidden/>
          </w:rPr>
          <w:fldChar w:fldCharType="end"/>
        </w:r>
      </w:hyperlink>
    </w:p>
    <w:p w14:paraId="78EA45DC" w14:textId="1B9923A4" w:rsidR="00DD112B" w:rsidRDefault="00DD112B">
      <w:pPr>
        <w:pStyle w:val="TOC2"/>
        <w:tabs>
          <w:tab w:val="right" w:leader="dot" w:pos="8296"/>
        </w:tabs>
        <w:rPr>
          <w:rFonts w:asciiTheme="minorHAnsi" w:eastAsiaTheme="minorEastAsia" w:hAnsiTheme="minorHAnsi"/>
          <w:noProof/>
          <w:sz w:val="22"/>
          <w:lang w:val="en-US"/>
        </w:rPr>
      </w:pPr>
      <w:hyperlink w:anchor="_Toc182386260" w:history="1">
        <w:r w:rsidRPr="00C6074C">
          <w:rPr>
            <w:rStyle w:val="Hyperlink"/>
            <w:noProof/>
          </w:rPr>
          <w:t>3.1 Introduction</w:t>
        </w:r>
        <w:r>
          <w:rPr>
            <w:noProof/>
            <w:webHidden/>
          </w:rPr>
          <w:tab/>
        </w:r>
        <w:r>
          <w:rPr>
            <w:noProof/>
            <w:webHidden/>
          </w:rPr>
          <w:fldChar w:fldCharType="begin"/>
        </w:r>
        <w:r>
          <w:rPr>
            <w:noProof/>
            <w:webHidden/>
          </w:rPr>
          <w:instrText xml:space="preserve"> PAGEREF _Toc182386260 \h </w:instrText>
        </w:r>
        <w:r>
          <w:rPr>
            <w:noProof/>
            <w:webHidden/>
          </w:rPr>
        </w:r>
        <w:r>
          <w:rPr>
            <w:noProof/>
            <w:webHidden/>
          </w:rPr>
          <w:fldChar w:fldCharType="separate"/>
        </w:r>
        <w:r w:rsidR="00B34C8F">
          <w:rPr>
            <w:noProof/>
            <w:webHidden/>
          </w:rPr>
          <w:t>135</w:t>
        </w:r>
        <w:r>
          <w:rPr>
            <w:noProof/>
            <w:webHidden/>
          </w:rPr>
          <w:fldChar w:fldCharType="end"/>
        </w:r>
      </w:hyperlink>
    </w:p>
    <w:p w14:paraId="4E86F21F" w14:textId="5759AF34" w:rsidR="00DD112B" w:rsidRDefault="00DD112B">
      <w:pPr>
        <w:pStyle w:val="TOC2"/>
        <w:tabs>
          <w:tab w:val="right" w:leader="dot" w:pos="8296"/>
        </w:tabs>
        <w:rPr>
          <w:rFonts w:asciiTheme="minorHAnsi" w:eastAsiaTheme="minorEastAsia" w:hAnsiTheme="minorHAnsi"/>
          <w:noProof/>
          <w:sz w:val="22"/>
          <w:lang w:val="en-US"/>
        </w:rPr>
      </w:pPr>
      <w:hyperlink w:anchor="_Toc182386261" w:history="1">
        <w:r w:rsidRPr="00C6074C">
          <w:rPr>
            <w:rStyle w:val="Hyperlink"/>
            <w:noProof/>
          </w:rPr>
          <w:t>3.2 Profile of Bimbila Municipality</w:t>
        </w:r>
        <w:r>
          <w:rPr>
            <w:noProof/>
            <w:webHidden/>
          </w:rPr>
          <w:tab/>
        </w:r>
        <w:r>
          <w:rPr>
            <w:noProof/>
            <w:webHidden/>
          </w:rPr>
          <w:fldChar w:fldCharType="begin"/>
        </w:r>
        <w:r>
          <w:rPr>
            <w:noProof/>
            <w:webHidden/>
          </w:rPr>
          <w:instrText xml:space="preserve"> PAGEREF _Toc182386261 \h </w:instrText>
        </w:r>
        <w:r>
          <w:rPr>
            <w:noProof/>
            <w:webHidden/>
          </w:rPr>
        </w:r>
        <w:r>
          <w:rPr>
            <w:noProof/>
            <w:webHidden/>
          </w:rPr>
          <w:fldChar w:fldCharType="separate"/>
        </w:r>
        <w:r w:rsidR="00B34C8F">
          <w:rPr>
            <w:noProof/>
            <w:webHidden/>
          </w:rPr>
          <w:t>135</w:t>
        </w:r>
        <w:r>
          <w:rPr>
            <w:noProof/>
            <w:webHidden/>
          </w:rPr>
          <w:fldChar w:fldCharType="end"/>
        </w:r>
      </w:hyperlink>
    </w:p>
    <w:p w14:paraId="2A036A00" w14:textId="62A2E44E" w:rsidR="00DD112B" w:rsidRDefault="00DD112B">
      <w:pPr>
        <w:pStyle w:val="TOC2"/>
        <w:tabs>
          <w:tab w:val="right" w:leader="dot" w:pos="8296"/>
        </w:tabs>
        <w:rPr>
          <w:rFonts w:asciiTheme="minorHAnsi" w:eastAsiaTheme="minorEastAsia" w:hAnsiTheme="minorHAnsi"/>
          <w:noProof/>
          <w:sz w:val="22"/>
          <w:lang w:val="en-US"/>
        </w:rPr>
      </w:pPr>
      <w:hyperlink w:anchor="_Toc182386262" w:history="1">
        <w:r w:rsidRPr="00C6074C">
          <w:rPr>
            <w:rStyle w:val="Hyperlink"/>
            <w:noProof/>
          </w:rPr>
          <w:t>3.3 Philosophical Underpinning of the Study</w:t>
        </w:r>
        <w:r>
          <w:rPr>
            <w:noProof/>
            <w:webHidden/>
          </w:rPr>
          <w:tab/>
        </w:r>
        <w:r>
          <w:rPr>
            <w:noProof/>
            <w:webHidden/>
          </w:rPr>
          <w:fldChar w:fldCharType="begin"/>
        </w:r>
        <w:r>
          <w:rPr>
            <w:noProof/>
            <w:webHidden/>
          </w:rPr>
          <w:instrText xml:space="preserve"> PAGEREF _Toc182386262 \h </w:instrText>
        </w:r>
        <w:r>
          <w:rPr>
            <w:noProof/>
            <w:webHidden/>
          </w:rPr>
        </w:r>
        <w:r>
          <w:rPr>
            <w:noProof/>
            <w:webHidden/>
          </w:rPr>
          <w:fldChar w:fldCharType="separate"/>
        </w:r>
        <w:r w:rsidR="00B34C8F">
          <w:rPr>
            <w:noProof/>
            <w:webHidden/>
          </w:rPr>
          <w:t>144</w:t>
        </w:r>
        <w:r>
          <w:rPr>
            <w:noProof/>
            <w:webHidden/>
          </w:rPr>
          <w:fldChar w:fldCharType="end"/>
        </w:r>
      </w:hyperlink>
    </w:p>
    <w:p w14:paraId="60065A90" w14:textId="6AC092D7" w:rsidR="00DD112B" w:rsidRDefault="00DD112B">
      <w:pPr>
        <w:pStyle w:val="TOC2"/>
        <w:tabs>
          <w:tab w:val="right" w:leader="dot" w:pos="8296"/>
        </w:tabs>
        <w:rPr>
          <w:rFonts w:asciiTheme="minorHAnsi" w:eastAsiaTheme="minorEastAsia" w:hAnsiTheme="minorHAnsi"/>
          <w:noProof/>
          <w:sz w:val="22"/>
          <w:lang w:val="en-US"/>
        </w:rPr>
      </w:pPr>
      <w:hyperlink w:anchor="_Toc182386263" w:history="1">
        <w:r w:rsidRPr="00C6074C">
          <w:rPr>
            <w:rStyle w:val="Hyperlink"/>
            <w:noProof/>
          </w:rPr>
          <w:t>3.4 Research Design</w:t>
        </w:r>
        <w:r>
          <w:rPr>
            <w:noProof/>
            <w:webHidden/>
          </w:rPr>
          <w:tab/>
        </w:r>
        <w:r>
          <w:rPr>
            <w:noProof/>
            <w:webHidden/>
          </w:rPr>
          <w:fldChar w:fldCharType="begin"/>
        </w:r>
        <w:r>
          <w:rPr>
            <w:noProof/>
            <w:webHidden/>
          </w:rPr>
          <w:instrText xml:space="preserve"> PAGEREF _Toc182386263 \h </w:instrText>
        </w:r>
        <w:r>
          <w:rPr>
            <w:noProof/>
            <w:webHidden/>
          </w:rPr>
        </w:r>
        <w:r>
          <w:rPr>
            <w:noProof/>
            <w:webHidden/>
          </w:rPr>
          <w:fldChar w:fldCharType="separate"/>
        </w:r>
        <w:r w:rsidR="00B34C8F">
          <w:rPr>
            <w:noProof/>
            <w:webHidden/>
          </w:rPr>
          <w:t>146</w:t>
        </w:r>
        <w:r>
          <w:rPr>
            <w:noProof/>
            <w:webHidden/>
          </w:rPr>
          <w:fldChar w:fldCharType="end"/>
        </w:r>
      </w:hyperlink>
    </w:p>
    <w:p w14:paraId="6ECD3AF9" w14:textId="1A7F71A2" w:rsidR="00DD112B" w:rsidRDefault="00DD112B">
      <w:pPr>
        <w:pStyle w:val="TOC2"/>
        <w:tabs>
          <w:tab w:val="right" w:leader="dot" w:pos="8296"/>
        </w:tabs>
        <w:rPr>
          <w:rFonts w:asciiTheme="minorHAnsi" w:eastAsiaTheme="minorEastAsia" w:hAnsiTheme="minorHAnsi"/>
          <w:noProof/>
          <w:sz w:val="22"/>
          <w:lang w:val="en-US"/>
        </w:rPr>
      </w:pPr>
      <w:hyperlink w:anchor="_Toc182386264" w:history="1">
        <w:r w:rsidRPr="00C6074C">
          <w:rPr>
            <w:rStyle w:val="Hyperlink"/>
            <w:noProof/>
          </w:rPr>
          <w:t>3.5 Targeted Sample Population</w:t>
        </w:r>
        <w:r>
          <w:rPr>
            <w:noProof/>
            <w:webHidden/>
          </w:rPr>
          <w:tab/>
        </w:r>
        <w:r>
          <w:rPr>
            <w:noProof/>
            <w:webHidden/>
          </w:rPr>
          <w:fldChar w:fldCharType="begin"/>
        </w:r>
        <w:r>
          <w:rPr>
            <w:noProof/>
            <w:webHidden/>
          </w:rPr>
          <w:instrText xml:space="preserve"> PAGEREF _Toc182386264 \h </w:instrText>
        </w:r>
        <w:r>
          <w:rPr>
            <w:noProof/>
            <w:webHidden/>
          </w:rPr>
        </w:r>
        <w:r>
          <w:rPr>
            <w:noProof/>
            <w:webHidden/>
          </w:rPr>
          <w:fldChar w:fldCharType="separate"/>
        </w:r>
        <w:r w:rsidR="00B34C8F">
          <w:rPr>
            <w:noProof/>
            <w:webHidden/>
          </w:rPr>
          <w:t>147</w:t>
        </w:r>
        <w:r>
          <w:rPr>
            <w:noProof/>
            <w:webHidden/>
          </w:rPr>
          <w:fldChar w:fldCharType="end"/>
        </w:r>
      </w:hyperlink>
    </w:p>
    <w:p w14:paraId="525C5B8A" w14:textId="2BF24738" w:rsidR="00DD112B" w:rsidRDefault="00DD112B">
      <w:pPr>
        <w:pStyle w:val="TOC2"/>
        <w:tabs>
          <w:tab w:val="right" w:leader="dot" w:pos="8296"/>
        </w:tabs>
        <w:rPr>
          <w:rFonts w:asciiTheme="minorHAnsi" w:eastAsiaTheme="minorEastAsia" w:hAnsiTheme="minorHAnsi"/>
          <w:noProof/>
          <w:sz w:val="22"/>
          <w:lang w:val="en-US"/>
        </w:rPr>
      </w:pPr>
      <w:hyperlink w:anchor="_Toc182386265" w:history="1">
        <w:r w:rsidRPr="00C6074C">
          <w:rPr>
            <w:rStyle w:val="Hyperlink"/>
            <w:noProof/>
          </w:rPr>
          <w:t>3.6 Sample and Sampling Techniques</w:t>
        </w:r>
        <w:r>
          <w:rPr>
            <w:noProof/>
            <w:webHidden/>
          </w:rPr>
          <w:tab/>
        </w:r>
        <w:r>
          <w:rPr>
            <w:noProof/>
            <w:webHidden/>
          </w:rPr>
          <w:fldChar w:fldCharType="begin"/>
        </w:r>
        <w:r>
          <w:rPr>
            <w:noProof/>
            <w:webHidden/>
          </w:rPr>
          <w:instrText xml:space="preserve"> PAGEREF _Toc182386265 \h </w:instrText>
        </w:r>
        <w:r>
          <w:rPr>
            <w:noProof/>
            <w:webHidden/>
          </w:rPr>
        </w:r>
        <w:r>
          <w:rPr>
            <w:noProof/>
            <w:webHidden/>
          </w:rPr>
          <w:fldChar w:fldCharType="separate"/>
        </w:r>
        <w:r w:rsidR="00B34C8F">
          <w:rPr>
            <w:noProof/>
            <w:webHidden/>
          </w:rPr>
          <w:t>148</w:t>
        </w:r>
        <w:r>
          <w:rPr>
            <w:noProof/>
            <w:webHidden/>
          </w:rPr>
          <w:fldChar w:fldCharType="end"/>
        </w:r>
      </w:hyperlink>
    </w:p>
    <w:p w14:paraId="3C30AB5A" w14:textId="6E90852E" w:rsidR="00DD112B" w:rsidRDefault="00DD112B">
      <w:pPr>
        <w:pStyle w:val="TOC2"/>
        <w:tabs>
          <w:tab w:val="right" w:leader="dot" w:pos="8296"/>
        </w:tabs>
        <w:rPr>
          <w:rFonts w:asciiTheme="minorHAnsi" w:eastAsiaTheme="minorEastAsia" w:hAnsiTheme="minorHAnsi"/>
          <w:noProof/>
          <w:sz w:val="22"/>
          <w:lang w:val="en-US"/>
        </w:rPr>
      </w:pPr>
      <w:hyperlink w:anchor="_Toc182386266" w:history="1">
        <w:r w:rsidRPr="00C6074C">
          <w:rPr>
            <w:rStyle w:val="Hyperlink"/>
            <w:noProof/>
          </w:rPr>
          <w:t>3.7 Source of Data Collection</w:t>
        </w:r>
        <w:r>
          <w:rPr>
            <w:noProof/>
            <w:webHidden/>
          </w:rPr>
          <w:tab/>
        </w:r>
        <w:r>
          <w:rPr>
            <w:noProof/>
            <w:webHidden/>
          </w:rPr>
          <w:fldChar w:fldCharType="begin"/>
        </w:r>
        <w:r>
          <w:rPr>
            <w:noProof/>
            <w:webHidden/>
          </w:rPr>
          <w:instrText xml:space="preserve"> PAGEREF _Toc182386266 \h </w:instrText>
        </w:r>
        <w:r>
          <w:rPr>
            <w:noProof/>
            <w:webHidden/>
          </w:rPr>
        </w:r>
        <w:r>
          <w:rPr>
            <w:noProof/>
            <w:webHidden/>
          </w:rPr>
          <w:fldChar w:fldCharType="separate"/>
        </w:r>
        <w:r w:rsidR="00B34C8F">
          <w:rPr>
            <w:noProof/>
            <w:webHidden/>
          </w:rPr>
          <w:t>152</w:t>
        </w:r>
        <w:r>
          <w:rPr>
            <w:noProof/>
            <w:webHidden/>
          </w:rPr>
          <w:fldChar w:fldCharType="end"/>
        </w:r>
      </w:hyperlink>
    </w:p>
    <w:p w14:paraId="322A7CF4" w14:textId="1E984A0A" w:rsidR="00DD112B" w:rsidRDefault="00DD112B">
      <w:pPr>
        <w:pStyle w:val="TOC2"/>
        <w:tabs>
          <w:tab w:val="right" w:leader="dot" w:pos="8296"/>
        </w:tabs>
        <w:rPr>
          <w:rFonts w:asciiTheme="minorHAnsi" w:eastAsiaTheme="minorEastAsia" w:hAnsiTheme="minorHAnsi"/>
          <w:noProof/>
          <w:sz w:val="22"/>
          <w:lang w:val="en-US"/>
        </w:rPr>
      </w:pPr>
      <w:hyperlink w:anchor="_Toc182386267" w:history="1">
        <w:r w:rsidRPr="00C6074C">
          <w:rPr>
            <w:rStyle w:val="Hyperlink"/>
            <w:noProof/>
          </w:rPr>
          <w:t>3.8 Primary Data Collection methods</w:t>
        </w:r>
        <w:r>
          <w:rPr>
            <w:noProof/>
            <w:webHidden/>
          </w:rPr>
          <w:tab/>
        </w:r>
        <w:r>
          <w:rPr>
            <w:noProof/>
            <w:webHidden/>
          </w:rPr>
          <w:fldChar w:fldCharType="begin"/>
        </w:r>
        <w:r>
          <w:rPr>
            <w:noProof/>
            <w:webHidden/>
          </w:rPr>
          <w:instrText xml:space="preserve"> PAGEREF _Toc182386267 \h </w:instrText>
        </w:r>
        <w:r>
          <w:rPr>
            <w:noProof/>
            <w:webHidden/>
          </w:rPr>
        </w:r>
        <w:r>
          <w:rPr>
            <w:noProof/>
            <w:webHidden/>
          </w:rPr>
          <w:fldChar w:fldCharType="separate"/>
        </w:r>
        <w:r w:rsidR="00B34C8F">
          <w:rPr>
            <w:noProof/>
            <w:webHidden/>
          </w:rPr>
          <w:t>153</w:t>
        </w:r>
        <w:r>
          <w:rPr>
            <w:noProof/>
            <w:webHidden/>
          </w:rPr>
          <w:fldChar w:fldCharType="end"/>
        </w:r>
      </w:hyperlink>
    </w:p>
    <w:p w14:paraId="23086DA4" w14:textId="34CEC70B" w:rsidR="00DD112B" w:rsidRDefault="00DD112B">
      <w:pPr>
        <w:pStyle w:val="TOC3"/>
        <w:tabs>
          <w:tab w:val="right" w:leader="dot" w:pos="8296"/>
        </w:tabs>
        <w:rPr>
          <w:rFonts w:asciiTheme="minorHAnsi" w:eastAsiaTheme="minorEastAsia" w:hAnsiTheme="minorHAnsi"/>
          <w:noProof/>
          <w:sz w:val="22"/>
          <w:lang w:val="en-US"/>
        </w:rPr>
      </w:pPr>
      <w:hyperlink w:anchor="_Toc182386268" w:history="1">
        <w:r w:rsidRPr="00C6074C">
          <w:rPr>
            <w:rStyle w:val="Hyperlink"/>
            <w:noProof/>
            <w:lang w:val="en-US"/>
          </w:rPr>
          <w:t>3</w:t>
        </w:r>
        <w:r w:rsidRPr="00C6074C">
          <w:rPr>
            <w:rStyle w:val="Hyperlink"/>
            <w:noProof/>
          </w:rPr>
          <w:t>.8.1 Questionnaire Administration</w:t>
        </w:r>
        <w:r>
          <w:rPr>
            <w:noProof/>
            <w:webHidden/>
          </w:rPr>
          <w:tab/>
        </w:r>
        <w:r>
          <w:rPr>
            <w:noProof/>
            <w:webHidden/>
          </w:rPr>
          <w:fldChar w:fldCharType="begin"/>
        </w:r>
        <w:r>
          <w:rPr>
            <w:noProof/>
            <w:webHidden/>
          </w:rPr>
          <w:instrText xml:space="preserve"> PAGEREF _Toc182386268 \h </w:instrText>
        </w:r>
        <w:r>
          <w:rPr>
            <w:noProof/>
            <w:webHidden/>
          </w:rPr>
        </w:r>
        <w:r>
          <w:rPr>
            <w:noProof/>
            <w:webHidden/>
          </w:rPr>
          <w:fldChar w:fldCharType="separate"/>
        </w:r>
        <w:r w:rsidR="00B34C8F">
          <w:rPr>
            <w:noProof/>
            <w:webHidden/>
          </w:rPr>
          <w:t>153</w:t>
        </w:r>
        <w:r>
          <w:rPr>
            <w:noProof/>
            <w:webHidden/>
          </w:rPr>
          <w:fldChar w:fldCharType="end"/>
        </w:r>
      </w:hyperlink>
    </w:p>
    <w:p w14:paraId="1562ED9E" w14:textId="2D7F31B4" w:rsidR="00DD112B" w:rsidRDefault="00DD112B">
      <w:pPr>
        <w:pStyle w:val="TOC3"/>
        <w:tabs>
          <w:tab w:val="right" w:leader="dot" w:pos="8296"/>
        </w:tabs>
        <w:rPr>
          <w:rFonts w:asciiTheme="minorHAnsi" w:eastAsiaTheme="minorEastAsia" w:hAnsiTheme="minorHAnsi"/>
          <w:noProof/>
          <w:sz w:val="22"/>
          <w:lang w:val="en-US"/>
        </w:rPr>
      </w:pPr>
      <w:hyperlink w:anchor="_Toc182386269" w:history="1">
        <w:r w:rsidRPr="00C6074C">
          <w:rPr>
            <w:rStyle w:val="Hyperlink"/>
            <w:noProof/>
          </w:rPr>
          <w:t>3.8.2 In-depth Interview</w:t>
        </w:r>
        <w:r>
          <w:rPr>
            <w:noProof/>
            <w:webHidden/>
          </w:rPr>
          <w:tab/>
        </w:r>
        <w:r>
          <w:rPr>
            <w:noProof/>
            <w:webHidden/>
          </w:rPr>
          <w:fldChar w:fldCharType="begin"/>
        </w:r>
        <w:r>
          <w:rPr>
            <w:noProof/>
            <w:webHidden/>
          </w:rPr>
          <w:instrText xml:space="preserve"> PAGEREF _Toc182386269 \h </w:instrText>
        </w:r>
        <w:r>
          <w:rPr>
            <w:noProof/>
            <w:webHidden/>
          </w:rPr>
        </w:r>
        <w:r>
          <w:rPr>
            <w:noProof/>
            <w:webHidden/>
          </w:rPr>
          <w:fldChar w:fldCharType="separate"/>
        </w:r>
        <w:r w:rsidR="00B34C8F">
          <w:rPr>
            <w:noProof/>
            <w:webHidden/>
          </w:rPr>
          <w:t>153</w:t>
        </w:r>
        <w:r>
          <w:rPr>
            <w:noProof/>
            <w:webHidden/>
          </w:rPr>
          <w:fldChar w:fldCharType="end"/>
        </w:r>
      </w:hyperlink>
    </w:p>
    <w:p w14:paraId="0F42935A" w14:textId="0C497E64" w:rsidR="00DD112B" w:rsidRDefault="00DD112B">
      <w:pPr>
        <w:pStyle w:val="TOC3"/>
        <w:tabs>
          <w:tab w:val="right" w:leader="dot" w:pos="8296"/>
        </w:tabs>
        <w:rPr>
          <w:rFonts w:asciiTheme="minorHAnsi" w:eastAsiaTheme="minorEastAsia" w:hAnsiTheme="minorHAnsi"/>
          <w:noProof/>
          <w:sz w:val="22"/>
          <w:lang w:val="en-US"/>
        </w:rPr>
      </w:pPr>
      <w:hyperlink w:anchor="_Toc182386270" w:history="1">
        <w:r w:rsidRPr="00C6074C">
          <w:rPr>
            <w:rStyle w:val="Hyperlink"/>
            <w:noProof/>
          </w:rPr>
          <w:t>3.8.3 Interviews</w:t>
        </w:r>
        <w:r>
          <w:rPr>
            <w:noProof/>
            <w:webHidden/>
          </w:rPr>
          <w:tab/>
        </w:r>
        <w:r>
          <w:rPr>
            <w:noProof/>
            <w:webHidden/>
          </w:rPr>
          <w:fldChar w:fldCharType="begin"/>
        </w:r>
        <w:r>
          <w:rPr>
            <w:noProof/>
            <w:webHidden/>
          </w:rPr>
          <w:instrText xml:space="preserve"> PAGEREF _Toc182386270 \h </w:instrText>
        </w:r>
        <w:r>
          <w:rPr>
            <w:noProof/>
            <w:webHidden/>
          </w:rPr>
        </w:r>
        <w:r>
          <w:rPr>
            <w:noProof/>
            <w:webHidden/>
          </w:rPr>
          <w:fldChar w:fldCharType="separate"/>
        </w:r>
        <w:r w:rsidR="00B34C8F">
          <w:rPr>
            <w:noProof/>
            <w:webHidden/>
          </w:rPr>
          <w:t>154</w:t>
        </w:r>
        <w:r>
          <w:rPr>
            <w:noProof/>
            <w:webHidden/>
          </w:rPr>
          <w:fldChar w:fldCharType="end"/>
        </w:r>
      </w:hyperlink>
    </w:p>
    <w:p w14:paraId="081BAC14" w14:textId="7B586136" w:rsidR="00DD112B" w:rsidRDefault="00DD112B">
      <w:pPr>
        <w:pStyle w:val="TOC3"/>
        <w:tabs>
          <w:tab w:val="right" w:leader="dot" w:pos="8296"/>
        </w:tabs>
        <w:rPr>
          <w:rFonts w:asciiTheme="minorHAnsi" w:eastAsiaTheme="minorEastAsia" w:hAnsiTheme="minorHAnsi"/>
          <w:noProof/>
          <w:sz w:val="22"/>
          <w:lang w:val="en-US"/>
        </w:rPr>
      </w:pPr>
      <w:hyperlink w:anchor="_Toc182386271" w:history="1">
        <w:r w:rsidRPr="00C6074C">
          <w:rPr>
            <w:rStyle w:val="Hyperlink"/>
            <w:noProof/>
          </w:rPr>
          <w:t>3.8.4 Focus Group Discussion (FGD)</w:t>
        </w:r>
        <w:r>
          <w:rPr>
            <w:noProof/>
            <w:webHidden/>
          </w:rPr>
          <w:tab/>
        </w:r>
        <w:r>
          <w:rPr>
            <w:noProof/>
            <w:webHidden/>
          </w:rPr>
          <w:fldChar w:fldCharType="begin"/>
        </w:r>
        <w:r>
          <w:rPr>
            <w:noProof/>
            <w:webHidden/>
          </w:rPr>
          <w:instrText xml:space="preserve"> PAGEREF _Toc182386271 \h </w:instrText>
        </w:r>
        <w:r>
          <w:rPr>
            <w:noProof/>
            <w:webHidden/>
          </w:rPr>
        </w:r>
        <w:r>
          <w:rPr>
            <w:noProof/>
            <w:webHidden/>
          </w:rPr>
          <w:fldChar w:fldCharType="separate"/>
        </w:r>
        <w:r w:rsidR="00B34C8F">
          <w:rPr>
            <w:noProof/>
            <w:webHidden/>
          </w:rPr>
          <w:t>154</w:t>
        </w:r>
        <w:r>
          <w:rPr>
            <w:noProof/>
            <w:webHidden/>
          </w:rPr>
          <w:fldChar w:fldCharType="end"/>
        </w:r>
      </w:hyperlink>
    </w:p>
    <w:p w14:paraId="28A54093" w14:textId="071BF240" w:rsidR="00DD112B" w:rsidRDefault="00DD112B">
      <w:pPr>
        <w:pStyle w:val="TOC2"/>
        <w:tabs>
          <w:tab w:val="right" w:leader="dot" w:pos="8296"/>
        </w:tabs>
        <w:rPr>
          <w:rFonts w:asciiTheme="minorHAnsi" w:eastAsiaTheme="minorEastAsia" w:hAnsiTheme="minorHAnsi"/>
          <w:noProof/>
          <w:sz w:val="22"/>
          <w:lang w:val="en-US"/>
        </w:rPr>
      </w:pPr>
      <w:hyperlink w:anchor="_Toc182386272" w:history="1">
        <w:r w:rsidRPr="00C6074C">
          <w:rPr>
            <w:rStyle w:val="Hyperlink"/>
            <w:noProof/>
          </w:rPr>
          <w:t>3.9 Validity and Reliability</w:t>
        </w:r>
        <w:r>
          <w:rPr>
            <w:noProof/>
            <w:webHidden/>
          </w:rPr>
          <w:tab/>
        </w:r>
        <w:r>
          <w:rPr>
            <w:noProof/>
            <w:webHidden/>
          </w:rPr>
          <w:fldChar w:fldCharType="begin"/>
        </w:r>
        <w:r>
          <w:rPr>
            <w:noProof/>
            <w:webHidden/>
          </w:rPr>
          <w:instrText xml:space="preserve"> PAGEREF _Toc182386272 \h </w:instrText>
        </w:r>
        <w:r>
          <w:rPr>
            <w:noProof/>
            <w:webHidden/>
          </w:rPr>
        </w:r>
        <w:r>
          <w:rPr>
            <w:noProof/>
            <w:webHidden/>
          </w:rPr>
          <w:fldChar w:fldCharType="separate"/>
        </w:r>
        <w:r w:rsidR="00B34C8F">
          <w:rPr>
            <w:noProof/>
            <w:webHidden/>
          </w:rPr>
          <w:t>156</w:t>
        </w:r>
        <w:r>
          <w:rPr>
            <w:noProof/>
            <w:webHidden/>
          </w:rPr>
          <w:fldChar w:fldCharType="end"/>
        </w:r>
      </w:hyperlink>
    </w:p>
    <w:p w14:paraId="66AB21EA" w14:textId="0745A4D2" w:rsidR="00DD112B" w:rsidRDefault="00DD112B">
      <w:pPr>
        <w:pStyle w:val="TOC2"/>
        <w:tabs>
          <w:tab w:val="right" w:leader="dot" w:pos="8296"/>
        </w:tabs>
        <w:rPr>
          <w:rFonts w:asciiTheme="minorHAnsi" w:eastAsiaTheme="minorEastAsia" w:hAnsiTheme="minorHAnsi"/>
          <w:noProof/>
          <w:sz w:val="22"/>
          <w:lang w:val="en-US"/>
        </w:rPr>
      </w:pPr>
      <w:hyperlink w:anchor="_Toc182386273" w:history="1">
        <w:r w:rsidRPr="00C6074C">
          <w:rPr>
            <w:rStyle w:val="Hyperlink"/>
            <w:noProof/>
          </w:rPr>
          <w:t>3.10 Methods of Data Analysis</w:t>
        </w:r>
        <w:r>
          <w:rPr>
            <w:noProof/>
            <w:webHidden/>
          </w:rPr>
          <w:tab/>
        </w:r>
        <w:r>
          <w:rPr>
            <w:noProof/>
            <w:webHidden/>
          </w:rPr>
          <w:fldChar w:fldCharType="begin"/>
        </w:r>
        <w:r>
          <w:rPr>
            <w:noProof/>
            <w:webHidden/>
          </w:rPr>
          <w:instrText xml:space="preserve"> PAGEREF _Toc182386273 \h </w:instrText>
        </w:r>
        <w:r>
          <w:rPr>
            <w:noProof/>
            <w:webHidden/>
          </w:rPr>
        </w:r>
        <w:r>
          <w:rPr>
            <w:noProof/>
            <w:webHidden/>
          </w:rPr>
          <w:fldChar w:fldCharType="separate"/>
        </w:r>
        <w:r w:rsidR="00B34C8F">
          <w:rPr>
            <w:noProof/>
            <w:webHidden/>
          </w:rPr>
          <w:t>157</w:t>
        </w:r>
        <w:r>
          <w:rPr>
            <w:noProof/>
            <w:webHidden/>
          </w:rPr>
          <w:fldChar w:fldCharType="end"/>
        </w:r>
      </w:hyperlink>
    </w:p>
    <w:p w14:paraId="4E40F808" w14:textId="06565CFD" w:rsidR="00DD112B" w:rsidRDefault="00DD112B">
      <w:pPr>
        <w:pStyle w:val="TOC2"/>
        <w:tabs>
          <w:tab w:val="right" w:leader="dot" w:pos="8296"/>
        </w:tabs>
        <w:rPr>
          <w:rFonts w:asciiTheme="minorHAnsi" w:eastAsiaTheme="minorEastAsia" w:hAnsiTheme="minorHAnsi"/>
          <w:noProof/>
          <w:sz w:val="22"/>
          <w:lang w:val="en-US"/>
        </w:rPr>
      </w:pPr>
      <w:hyperlink w:anchor="_Toc182386274" w:history="1">
        <w:r w:rsidRPr="00C6074C">
          <w:rPr>
            <w:rStyle w:val="Hyperlink"/>
            <w:noProof/>
          </w:rPr>
          <w:t>3.11 Limitations of the Study</w:t>
        </w:r>
        <w:r>
          <w:rPr>
            <w:noProof/>
            <w:webHidden/>
          </w:rPr>
          <w:tab/>
        </w:r>
        <w:r>
          <w:rPr>
            <w:noProof/>
            <w:webHidden/>
          </w:rPr>
          <w:fldChar w:fldCharType="begin"/>
        </w:r>
        <w:r>
          <w:rPr>
            <w:noProof/>
            <w:webHidden/>
          </w:rPr>
          <w:instrText xml:space="preserve"> PAGEREF _Toc182386274 \h </w:instrText>
        </w:r>
        <w:r>
          <w:rPr>
            <w:noProof/>
            <w:webHidden/>
          </w:rPr>
        </w:r>
        <w:r>
          <w:rPr>
            <w:noProof/>
            <w:webHidden/>
          </w:rPr>
          <w:fldChar w:fldCharType="separate"/>
        </w:r>
        <w:r w:rsidR="00B34C8F">
          <w:rPr>
            <w:noProof/>
            <w:webHidden/>
          </w:rPr>
          <w:t>158</w:t>
        </w:r>
        <w:r>
          <w:rPr>
            <w:noProof/>
            <w:webHidden/>
          </w:rPr>
          <w:fldChar w:fldCharType="end"/>
        </w:r>
      </w:hyperlink>
    </w:p>
    <w:p w14:paraId="2D782592" w14:textId="5F618E51" w:rsidR="00DD112B" w:rsidRDefault="00DD112B">
      <w:pPr>
        <w:pStyle w:val="TOC2"/>
        <w:tabs>
          <w:tab w:val="right" w:leader="dot" w:pos="8296"/>
        </w:tabs>
        <w:rPr>
          <w:rFonts w:asciiTheme="minorHAnsi" w:eastAsiaTheme="minorEastAsia" w:hAnsiTheme="minorHAnsi"/>
          <w:noProof/>
          <w:sz w:val="22"/>
          <w:lang w:val="en-US"/>
        </w:rPr>
      </w:pPr>
      <w:hyperlink w:anchor="_Toc182386275" w:history="1">
        <w:r w:rsidRPr="00C6074C">
          <w:rPr>
            <w:rStyle w:val="Hyperlink"/>
            <w:noProof/>
          </w:rPr>
          <w:t>3.12 Ethical Consideration</w:t>
        </w:r>
        <w:r>
          <w:rPr>
            <w:noProof/>
            <w:webHidden/>
          </w:rPr>
          <w:tab/>
        </w:r>
        <w:r>
          <w:rPr>
            <w:noProof/>
            <w:webHidden/>
          </w:rPr>
          <w:fldChar w:fldCharType="begin"/>
        </w:r>
        <w:r>
          <w:rPr>
            <w:noProof/>
            <w:webHidden/>
          </w:rPr>
          <w:instrText xml:space="preserve"> PAGEREF _Toc182386275 \h </w:instrText>
        </w:r>
        <w:r>
          <w:rPr>
            <w:noProof/>
            <w:webHidden/>
          </w:rPr>
        </w:r>
        <w:r>
          <w:rPr>
            <w:noProof/>
            <w:webHidden/>
          </w:rPr>
          <w:fldChar w:fldCharType="separate"/>
        </w:r>
        <w:r w:rsidR="00B34C8F">
          <w:rPr>
            <w:noProof/>
            <w:webHidden/>
          </w:rPr>
          <w:t>159</w:t>
        </w:r>
        <w:r>
          <w:rPr>
            <w:noProof/>
            <w:webHidden/>
          </w:rPr>
          <w:fldChar w:fldCharType="end"/>
        </w:r>
      </w:hyperlink>
    </w:p>
    <w:p w14:paraId="754623A2" w14:textId="065DAFE7" w:rsidR="00DD112B" w:rsidRDefault="00DD112B">
      <w:pPr>
        <w:pStyle w:val="TOC1"/>
        <w:rPr>
          <w:rFonts w:asciiTheme="minorHAnsi" w:eastAsiaTheme="minorEastAsia" w:hAnsiTheme="minorHAnsi"/>
          <w:b w:val="0"/>
          <w:noProof/>
          <w:sz w:val="22"/>
          <w:lang w:val="en-US"/>
        </w:rPr>
      </w:pPr>
      <w:hyperlink w:anchor="_Toc182386276" w:history="1">
        <w:r w:rsidRPr="00C6074C">
          <w:rPr>
            <w:rStyle w:val="Hyperlink"/>
            <w:noProof/>
          </w:rPr>
          <w:t>CHAPTER FOUR</w:t>
        </w:r>
        <w:r>
          <w:rPr>
            <w:noProof/>
            <w:webHidden/>
          </w:rPr>
          <w:tab/>
        </w:r>
        <w:r>
          <w:rPr>
            <w:noProof/>
            <w:webHidden/>
          </w:rPr>
          <w:fldChar w:fldCharType="begin"/>
        </w:r>
        <w:r>
          <w:rPr>
            <w:noProof/>
            <w:webHidden/>
          </w:rPr>
          <w:instrText xml:space="preserve"> PAGEREF _Toc182386276 \h </w:instrText>
        </w:r>
        <w:r>
          <w:rPr>
            <w:noProof/>
            <w:webHidden/>
          </w:rPr>
        </w:r>
        <w:r>
          <w:rPr>
            <w:noProof/>
            <w:webHidden/>
          </w:rPr>
          <w:fldChar w:fldCharType="separate"/>
        </w:r>
        <w:r w:rsidR="00B34C8F">
          <w:rPr>
            <w:noProof/>
            <w:webHidden/>
          </w:rPr>
          <w:t>161</w:t>
        </w:r>
        <w:r>
          <w:rPr>
            <w:noProof/>
            <w:webHidden/>
          </w:rPr>
          <w:fldChar w:fldCharType="end"/>
        </w:r>
      </w:hyperlink>
    </w:p>
    <w:p w14:paraId="1ED1F6A3" w14:textId="3B13F3E0" w:rsidR="00DD112B" w:rsidRDefault="00DD112B">
      <w:pPr>
        <w:pStyle w:val="TOC1"/>
        <w:rPr>
          <w:rFonts w:asciiTheme="minorHAnsi" w:eastAsiaTheme="minorEastAsia" w:hAnsiTheme="minorHAnsi"/>
          <w:b w:val="0"/>
          <w:noProof/>
          <w:sz w:val="22"/>
          <w:lang w:val="en-US"/>
        </w:rPr>
      </w:pPr>
      <w:hyperlink w:anchor="_Toc182386277" w:history="1">
        <w:r w:rsidRPr="00C6074C">
          <w:rPr>
            <w:rStyle w:val="Hyperlink"/>
            <w:noProof/>
          </w:rPr>
          <w:t>CHIEFTAINCY CONFLICTS AND THEIR ECONOMIC SECURITY EFFECTS</w:t>
        </w:r>
        <w:r>
          <w:rPr>
            <w:noProof/>
            <w:webHidden/>
          </w:rPr>
          <w:tab/>
        </w:r>
        <w:r>
          <w:rPr>
            <w:noProof/>
            <w:webHidden/>
          </w:rPr>
          <w:fldChar w:fldCharType="begin"/>
        </w:r>
        <w:r>
          <w:rPr>
            <w:noProof/>
            <w:webHidden/>
          </w:rPr>
          <w:instrText xml:space="preserve"> PAGEREF _Toc182386277 \h </w:instrText>
        </w:r>
        <w:r>
          <w:rPr>
            <w:noProof/>
            <w:webHidden/>
          </w:rPr>
        </w:r>
        <w:r>
          <w:rPr>
            <w:noProof/>
            <w:webHidden/>
          </w:rPr>
          <w:fldChar w:fldCharType="separate"/>
        </w:r>
        <w:r w:rsidR="00B34C8F">
          <w:rPr>
            <w:noProof/>
            <w:webHidden/>
          </w:rPr>
          <w:t>161</w:t>
        </w:r>
        <w:r>
          <w:rPr>
            <w:noProof/>
            <w:webHidden/>
          </w:rPr>
          <w:fldChar w:fldCharType="end"/>
        </w:r>
      </w:hyperlink>
    </w:p>
    <w:p w14:paraId="77EF9D8F" w14:textId="464CB787" w:rsidR="00DD112B" w:rsidRDefault="00DD112B">
      <w:pPr>
        <w:pStyle w:val="TOC2"/>
        <w:tabs>
          <w:tab w:val="right" w:leader="dot" w:pos="8296"/>
        </w:tabs>
        <w:rPr>
          <w:rFonts w:asciiTheme="minorHAnsi" w:eastAsiaTheme="minorEastAsia" w:hAnsiTheme="minorHAnsi"/>
          <w:noProof/>
          <w:sz w:val="22"/>
          <w:lang w:val="en-US"/>
        </w:rPr>
      </w:pPr>
      <w:hyperlink w:anchor="_Toc182386278" w:history="1">
        <w:r w:rsidRPr="00C6074C">
          <w:rPr>
            <w:rStyle w:val="Hyperlink"/>
            <w:noProof/>
          </w:rPr>
          <w:t>4.1 Introduction</w:t>
        </w:r>
        <w:r>
          <w:rPr>
            <w:noProof/>
            <w:webHidden/>
          </w:rPr>
          <w:tab/>
        </w:r>
        <w:r>
          <w:rPr>
            <w:noProof/>
            <w:webHidden/>
          </w:rPr>
          <w:fldChar w:fldCharType="begin"/>
        </w:r>
        <w:r>
          <w:rPr>
            <w:noProof/>
            <w:webHidden/>
          </w:rPr>
          <w:instrText xml:space="preserve"> PAGEREF _Toc182386278 \h </w:instrText>
        </w:r>
        <w:r>
          <w:rPr>
            <w:noProof/>
            <w:webHidden/>
          </w:rPr>
        </w:r>
        <w:r>
          <w:rPr>
            <w:noProof/>
            <w:webHidden/>
          </w:rPr>
          <w:fldChar w:fldCharType="separate"/>
        </w:r>
        <w:r w:rsidR="00B34C8F">
          <w:rPr>
            <w:noProof/>
            <w:webHidden/>
          </w:rPr>
          <w:t>161</w:t>
        </w:r>
        <w:r>
          <w:rPr>
            <w:noProof/>
            <w:webHidden/>
          </w:rPr>
          <w:fldChar w:fldCharType="end"/>
        </w:r>
      </w:hyperlink>
    </w:p>
    <w:p w14:paraId="3E7C68B1" w14:textId="3C5F4FD6" w:rsidR="00DD112B" w:rsidRDefault="00DD112B">
      <w:pPr>
        <w:pStyle w:val="TOC2"/>
        <w:tabs>
          <w:tab w:val="right" w:leader="dot" w:pos="8296"/>
        </w:tabs>
        <w:rPr>
          <w:rFonts w:asciiTheme="minorHAnsi" w:eastAsiaTheme="minorEastAsia" w:hAnsiTheme="minorHAnsi"/>
          <w:noProof/>
          <w:sz w:val="22"/>
          <w:lang w:val="en-US"/>
        </w:rPr>
      </w:pPr>
      <w:hyperlink w:anchor="_Toc182386279" w:history="1">
        <w:r w:rsidRPr="00C6074C">
          <w:rPr>
            <w:rStyle w:val="Hyperlink"/>
            <w:noProof/>
          </w:rPr>
          <w:t>4.2 Objective Two: Chieftaincy Conflicts and their Effects on Food Security in Bimbilla</w:t>
        </w:r>
        <w:r>
          <w:rPr>
            <w:noProof/>
            <w:webHidden/>
          </w:rPr>
          <w:tab/>
        </w:r>
        <w:r>
          <w:rPr>
            <w:noProof/>
            <w:webHidden/>
          </w:rPr>
          <w:fldChar w:fldCharType="begin"/>
        </w:r>
        <w:r>
          <w:rPr>
            <w:noProof/>
            <w:webHidden/>
          </w:rPr>
          <w:instrText xml:space="preserve"> PAGEREF _Toc182386279 \h </w:instrText>
        </w:r>
        <w:r>
          <w:rPr>
            <w:noProof/>
            <w:webHidden/>
          </w:rPr>
        </w:r>
        <w:r>
          <w:rPr>
            <w:noProof/>
            <w:webHidden/>
          </w:rPr>
          <w:fldChar w:fldCharType="separate"/>
        </w:r>
        <w:r w:rsidR="00B34C8F">
          <w:rPr>
            <w:noProof/>
            <w:webHidden/>
          </w:rPr>
          <w:t>168</w:t>
        </w:r>
        <w:r>
          <w:rPr>
            <w:noProof/>
            <w:webHidden/>
          </w:rPr>
          <w:fldChar w:fldCharType="end"/>
        </w:r>
      </w:hyperlink>
    </w:p>
    <w:p w14:paraId="45C91DF3" w14:textId="598FF689" w:rsidR="00DD112B" w:rsidRDefault="00DD112B">
      <w:pPr>
        <w:pStyle w:val="TOC2"/>
        <w:tabs>
          <w:tab w:val="right" w:leader="dot" w:pos="8296"/>
        </w:tabs>
        <w:rPr>
          <w:rFonts w:asciiTheme="minorHAnsi" w:eastAsiaTheme="minorEastAsia" w:hAnsiTheme="minorHAnsi"/>
          <w:noProof/>
          <w:sz w:val="22"/>
          <w:lang w:val="en-US"/>
        </w:rPr>
      </w:pPr>
      <w:hyperlink w:anchor="_Toc182386280" w:history="1">
        <w:r w:rsidRPr="00C6074C">
          <w:rPr>
            <w:rStyle w:val="Hyperlink"/>
            <w:noProof/>
          </w:rPr>
          <w:t>4.3 Objective Three: Chieftaincy Conflicts and Health Security Implication in Bimbilla</w:t>
        </w:r>
        <w:r>
          <w:rPr>
            <w:noProof/>
            <w:webHidden/>
          </w:rPr>
          <w:tab/>
        </w:r>
        <w:r>
          <w:rPr>
            <w:noProof/>
            <w:webHidden/>
          </w:rPr>
          <w:fldChar w:fldCharType="begin"/>
        </w:r>
        <w:r>
          <w:rPr>
            <w:noProof/>
            <w:webHidden/>
          </w:rPr>
          <w:instrText xml:space="preserve"> PAGEREF _Toc182386280 \h </w:instrText>
        </w:r>
        <w:r>
          <w:rPr>
            <w:noProof/>
            <w:webHidden/>
          </w:rPr>
        </w:r>
        <w:r>
          <w:rPr>
            <w:noProof/>
            <w:webHidden/>
          </w:rPr>
          <w:fldChar w:fldCharType="separate"/>
        </w:r>
        <w:r w:rsidR="00B34C8F">
          <w:rPr>
            <w:noProof/>
            <w:webHidden/>
          </w:rPr>
          <w:t>174</w:t>
        </w:r>
        <w:r>
          <w:rPr>
            <w:noProof/>
            <w:webHidden/>
          </w:rPr>
          <w:fldChar w:fldCharType="end"/>
        </w:r>
      </w:hyperlink>
    </w:p>
    <w:p w14:paraId="4F8ED056" w14:textId="0EC3BBAF" w:rsidR="00DD112B" w:rsidRDefault="00DD112B">
      <w:pPr>
        <w:pStyle w:val="TOC2"/>
        <w:tabs>
          <w:tab w:val="right" w:leader="dot" w:pos="8296"/>
        </w:tabs>
        <w:rPr>
          <w:rFonts w:asciiTheme="minorHAnsi" w:eastAsiaTheme="minorEastAsia" w:hAnsiTheme="minorHAnsi"/>
          <w:noProof/>
          <w:sz w:val="22"/>
          <w:lang w:val="en-US"/>
        </w:rPr>
      </w:pPr>
      <w:hyperlink w:anchor="_Toc182386281" w:history="1">
        <w:r w:rsidRPr="00C6074C">
          <w:rPr>
            <w:rStyle w:val="Hyperlink"/>
            <w:noProof/>
          </w:rPr>
          <w:t>4.4 Objective Four: Chieftaincy Conflict and Environmental Security in Bimbilla</w:t>
        </w:r>
        <w:r>
          <w:rPr>
            <w:noProof/>
            <w:webHidden/>
          </w:rPr>
          <w:tab/>
        </w:r>
        <w:r>
          <w:rPr>
            <w:noProof/>
            <w:webHidden/>
          </w:rPr>
          <w:fldChar w:fldCharType="begin"/>
        </w:r>
        <w:r>
          <w:rPr>
            <w:noProof/>
            <w:webHidden/>
          </w:rPr>
          <w:instrText xml:space="preserve"> PAGEREF _Toc182386281 \h </w:instrText>
        </w:r>
        <w:r>
          <w:rPr>
            <w:noProof/>
            <w:webHidden/>
          </w:rPr>
        </w:r>
        <w:r>
          <w:rPr>
            <w:noProof/>
            <w:webHidden/>
          </w:rPr>
          <w:fldChar w:fldCharType="separate"/>
        </w:r>
        <w:r w:rsidR="00B34C8F">
          <w:rPr>
            <w:noProof/>
            <w:webHidden/>
          </w:rPr>
          <w:t>182</w:t>
        </w:r>
        <w:r>
          <w:rPr>
            <w:noProof/>
            <w:webHidden/>
          </w:rPr>
          <w:fldChar w:fldCharType="end"/>
        </w:r>
      </w:hyperlink>
    </w:p>
    <w:p w14:paraId="34DB6403" w14:textId="5E9096B7" w:rsidR="00DD112B" w:rsidRDefault="00DD112B">
      <w:pPr>
        <w:pStyle w:val="TOC2"/>
        <w:tabs>
          <w:tab w:val="right" w:leader="dot" w:pos="8296"/>
        </w:tabs>
        <w:rPr>
          <w:rFonts w:asciiTheme="minorHAnsi" w:eastAsiaTheme="minorEastAsia" w:hAnsiTheme="minorHAnsi"/>
          <w:noProof/>
          <w:sz w:val="22"/>
          <w:lang w:val="en-US"/>
        </w:rPr>
      </w:pPr>
      <w:hyperlink w:anchor="_Toc182386282" w:history="1">
        <w:r w:rsidRPr="00C6074C">
          <w:rPr>
            <w:rStyle w:val="Hyperlink"/>
            <w:noProof/>
          </w:rPr>
          <w:t>4.5 Objective Five: Chieftaincy Conflicts and Personal Security in Bimbilla</w:t>
        </w:r>
        <w:r>
          <w:rPr>
            <w:noProof/>
            <w:webHidden/>
          </w:rPr>
          <w:tab/>
        </w:r>
        <w:r>
          <w:rPr>
            <w:noProof/>
            <w:webHidden/>
          </w:rPr>
          <w:fldChar w:fldCharType="begin"/>
        </w:r>
        <w:r>
          <w:rPr>
            <w:noProof/>
            <w:webHidden/>
          </w:rPr>
          <w:instrText xml:space="preserve"> PAGEREF _Toc182386282 \h </w:instrText>
        </w:r>
        <w:r>
          <w:rPr>
            <w:noProof/>
            <w:webHidden/>
          </w:rPr>
        </w:r>
        <w:r>
          <w:rPr>
            <w:noProof/>
            <w:webHidden/>
          </w:rPr>
          <w:fldChar w:fldCharType="separate"/>
        </w:r>
        <w:r w:rsidR="00B34C8F">
          <w:rPr>
            <w:noProof/>
            <w:webHidden/>
          </w:rPr>
          <w:t>188</w:t>
        </w:r>
        <w:r>
          <w:rPr>
            <w:noProof/>
            <w:webHidden/>
          </w:rPr>
          <w:fldChar w:fldCharType="end"/>
        </w:r>
      </w:hyperlink>
    </w:p>
    <w:p w14:paraId="5F9888BA" w14:textId="5AC71671" w:rsidR="00DD112B" w:rsidRDefault="00DD112B">
      <w:pPr>
        <w:pStyle w:val="TOC1"/>
        <w:rPr>
          <w:rFonts w:asciiTheme="minorHAnsi" w:eastAsiaTheme="minorEastAsia" w:hAnsiTheme="minorHAnsi"/>
          <w:b w:val="0"/>
          <w:noProof/>
          <w:sz w:val="22"/>
          <w:lang w:val="en-US"/>
        </w:rPr>
      </w:pPr>
      <w:hyperlink w:anchor="_Toc182386283" w:history="1">
        <w:r w:rsidRPr="00C6074C">
          <w:rPr>
            <w:rStyle w:val="Hyperlink"/>
            <w:noProof/>
          </w:rPr>
          <w:t>CHAPTER FIVE</w:t>
        </w:r>
        <w:r>
          <w:rPr>
            <w:noProof/>
            <w:webHidden/>
          </w:rPr>
          <w:tab/>
        </w:r>
        <w:r>
          <w:rPr>
            <w:noProof/>
            <w:webHidden/>
          </w:rPr>
          <w:fldChar w:fldCharType="begin"/>
        </w:r>
        <w:r>
          <w:rPr>
            <w:noProof/>
            <w:webHidden/>
          </w:rPr>
          <w:instrText xml:space="preserve"> PAGEREF _Toc182386283 \h </w:instrText>
        </w:r>
        <w:r>
          <w:rPr>
            <w:noProof/>
            <w:webHidden/>
          </w:rPr>
        </w:r>
        <w:r>
          <w:rPr>
            <w:noProof/>
            <w:webHidden/>
          </w:rPr>
          <w:fldChar w:fldCharType="separate"/>
        </w:r>
        <w:r w:rsidR="00B34C8F">
          <w:rPr>
            <w:noProof/>
            <w:webHidden/>
          </w:rPr>
          <w:t>196</w:t>
        </w:r>
        <w:r>
          <w:rPr>
            <w:noProof/>
            <w:webHidden/>
          </w:rPr>
          <w:fldChar w:fldCharType="end"/>
        </w:r>
      </w:hyperlink>
    </w:p>
    <w:p w14:paraId="79C225E7" w14:textId="10C83641" w:rsidR="00DD112B" w:rsidRDefault="00DD112B">
      <w:pPr>
        <w:pStyle w:val="TOC1"/>
        <w:rPr>
          <w:rFonts w:asciiTheme="minorHAnsi" w:eastAsiaTheme="minorEastAsia" w:hAnsiTheme="minorHAnsi"/>
          <w:b w:val="0"/>
          <w:noProof/>
          <w:sz w:val="22"/>
          <w:lang w:val="en-US"/>
        </w:rPr>
      </w:pPr>
      <w:hyperlink w:anchor="_Toc182386284" w:history="1">
        <w:r w:rsidRPr="00C6074C">
          <w:rPr>
            <w:rStyle w:val="Hyperlink"/>
            <w:noProof/>
          </w:rPr>
          <w:t>SUMMARY OF FINDINGS CONCLUSION AND RECOMMENDATIONS</w:t>
        </w:r>
        <w:r>
          <w:rPr>
            <w:noProof/>
            <w:webHidden/>
          </w:rPr>
          <w:tab/>
        </w:r>
        <w:r>
          <w:rPr>
            <w:noProof/>
            <w:webHidden/>
          </w:rPr>
          <w:fldChar w:fldCharType="begin"/>
        </w:r>
        <w:r>
          <w:rPr>
            <w:noProof/>
            <w:webHidden/>
          </w:rPr>
          <w:instrText xml:space="preserve"> PAGEREF _Toc182386284 \h </w:instrText>
        </w:r>
        <w:r>
          <w:rPr>
            <w:noProof/>
            <w:webHidden/>
          </w:rPr>
        </w:r>
        <w:r>
          <w:rPr>
            <w:noProof/>
            <w:webHidden/>
          </w:rPr>
          <w:fldChar w:fldCharType="separate"/>
        </w:r>
        <w:r w:rsidR="00B34C8F">
          <w:rPr>
            <w:noProof/>
            <w:webHidden/>
          </w:rPr>
          <w:t>196</w:t>
        </w:r>
        <w:r>
          <w:rPr>
            <w:noProof/>
            <w:webHidden/>
          </w:rPr>
          <w:fldChar w:fldCharType="end"/>
        </w:r>
      </w:hyperlink>
    </w:p>
    <w:p w14:paraId="2835030F" w14:textId="1171CFF9" w:rsidR="00DD112B" w:rsidRDefault="00DD112B">
      <w:pPr>
        <w:pStyle w:val="TOC2"/>
        <w:tabs>
          <w:tab w:val="right" w:leader="dot" w:pos="8296"/>
        </w:tabs>
        <w:rPr>
          <w:rFonts w:asciiTheme="minorHAnsi" w:eastAsiaTheme="minorEastAsia" w:hAnsiTheme="minorHAnsi"/>
          <w:noProof/>
          <w:sz w:val="22"/>
          <w:lang w:val="en-US"/>
        </w:rPr>
      </w:pPr>
      <w:hyperlink w:anchor="_Toc182386285" w:history="1">
        <w:r w:rsidRPr="00C6074C">
          <w:rPr>
            <w:rStyle w:val="Hyperlink"/>
            <w:noProof/>
          </w:rPr>
          <w:t>5.1 Introduction</w:t>
        </w:r>
        <w:r>
          <w:rPr>
            <w:noProof/>
            <w:webHidden/>
          </w:rPr>
          <w:tab/>
        </w:r>
        <w:r>
          <w:rPr>
            <w:noProof/>
            <w:webHidden/>
          </w:rPr>
          <w:fldChar w:fldCharType="begin"/>
        </w:r>
        <w:r>
          <w:rPr>
            <w:noProof/>
            <w:webHidden/>
          </w:rPr>
          <w:instrText xml:space="preserve"> PAGEREF _Toc182386285 \h </w:instrText>
        </w:r>
        <w:r>
          <w:rPr>
            <w:noProof/>
            <w:webHidden/>
          </w:rPr>
        </w:r>
        <w:r>
          <w:rPr>
            <w:noProof/>
            <w:webHidden/>
          </w:rPr>
          <w:fldChar w:fldCharType="separate"/>
        </w:r>
        <w:r w:rsidR="00B34C8F">
          <w:rPr>
            <w:noProof/>
            <w:webHidden/>
          </w:rPr>
          <w:t>196</w:t>
        </w:r>
        <w:r>
          <w:rPr>
            <w:noProof/>
            <w:webHidden/>
          </w:rPr>
          <w:fldChar w:fldCharType="end"/>
        </w:r>
      </w:hyperlink>
    </w:p>
    <w:p w14:paraId="14C31EE8" w14:textId="15211C4A" w:rsidR="00DD112B" w:rsidRDefault="00DD112B">
      <w:pPr>
        <w:pStyle w:val="TOC2"/>
        <w:tabs>
          <w:tab w:val="right" w:leader="dot" w:pos="8296"/>
        </w:tabs>
        <w:rPr>
          <w:rFonts w:asciiTheme="minorHAnsi" w:eastAsiaTheme="minorEastAsia" w:hAnsiTheme="minorHAnsi"/>
          <w:noProof/>
          <w:sz w:val="22"/>
          <w:lang w:val="en-US"/>
        </w:rPr>
      </w:pPr>
      <w:hyperlink w:anchor="_Toc182386286" w:history="1">
        <w:r w:rsidRPr="00C6074C">
          <w:rPr>
            <w:rStyle w:val="Hyperlink"/>
            <w:rFonts w:eastAsia="Calibri"/>
            <w:noProof/>
          </w:rPr>
          <w:t>5.2 Summary of Key Findings</w:t>
        </w:r>
        <w:r>
          <w:rPr>
            <w:noProof/>
            <w:webHidden/>
          </w:rPr>
          <w:tab/>
        </w:r>
        <w:r>
          <w:rPr>
            <w:noProof/>
            <w:webHidden/>
          </w:rPr>
          <w:fldChar w:fldCharType="begin"/>
        </w:r>
        <w:r>
          <w:rPr>
            <w:noProof/>
            <w:webHidden/>
          </w:rPr>
          <w:instrText xml:space="preserve"> PAGEREF _Toc182386286 \h </w:instrText>
        </w:r>
        <w:r>
          <w:rPr>
            <w:noProof/>
            <w:webHidden/>
          </w:rPr>
        </w:r>
        <w:r>
          <w:rPr>
            <w:noProof/>
            <w:webHidden/>
          </w:rPr>
          <w:fldChar w:fldCharType="separate"/>
        </w:r>
        <w:r w:rsidR="00B34C8F">
          <w:rPr>
            <w:noProof/>
            <w:webHidden/>
          </w:rPr>
          <w:t>196</w:t>
        </w:r>
        <w:r>
          <w:rPr>
            <w:noProof/>
            <w:webHidden/>
          </w:rPr>
          <w:fldChar w:fldCharType="end"/>
        </w:r>
      </w:hyperlink>
    </w:p>
    <w:p w14:paraId="1C857690" w14:textId="66E1BF0A" w:rsidR="00DD112B" w:rsidRDefault="00DD112B">
      <w:pPr>
        <w:pStyle w:val="TOC2"/>
        <w:tabs>
          <w:tab w:val="right" w:leader="dot" w:pos="8296"/>
        </w:tabs>
        <w:rPr>
          <w:rFonts w:asciiTheme="minorHAnsi" w:eastAsiaTheme="minorEastAsia" w:hAnsiTheme="minorHAnsi"/>
          <w:noProof/>
          <w:sz w:val="22"/>
          <w:lang w:val="en-US"/>
        </w:rPr>
      </w:pPr>
      <w:hyperlink w:anchor="_Toc182386287" w:history="1">
        <w:r w:rsidRPr="00C6074C">
          <w:rPr>
            <w:rStyle w:val="Hyperlink"/>
            <w:rFonts w:eastAsia="Times New Roman"/>
            <w:noProof/>
            <w:lang w:eastAsia="en-GB"/>
          </w:rPr>
          <w:t>5.3 Conclusion</w:t>
        </w:r>
        <w:r>
          <w:rPr>
            <w:noProof/>
            <w:webHidden/>
          </w:rPr>
          <w:tab/>
        </w:r>
        <w:r>
          <w:rPr>
            <w:noProof/>
            <w:webHidden/>
          </w:rPr>
          <w:fldChar w:fldCharType="begin"/>
        </w:r>
        <w:r>
          <w:rPr>
            <w:noProof/>
            <w:webHidden/>
          </w:rPr>
          <w:instrText xml:space="preserve"> PAGEREF _Toc182386287 \h </w:instrText>
        </w:r>
        <w:r>
          <w:rPr>
            <w:noProof/>
            <w:webHidden/>
          </w:rPr>
        </w:r>
        <w:r>
          <w:rPr>
            <w:noProof/>
            <w:webHidden/>
          </w:rPr>
          <w:fldChar w:fldCharType="separate"/>
        </w:r>
        <w:r w:rsidR="00B34C8F">
          <w:rPr>
            <w:noProof/>
            <w:webHidden/>
          </w:rPr>
          <w:t>197</w:t>
        </w:r>
        <w:r>
          <w:rPr>
            <w:noProof/>
            <w:webHidden/>
          </w:rPr>
          <w:fldChar w:fldCharType="end"/>
        </w:r>
      </w:hyperlink>
    </w:p>
    <w:p w14:paraId="47222257" w14:textId="08258213" w:rsidR="00DD112B" w:rsidRDefault="00DD112B">
      <w:pPr>
        <w:pStyle w:val="TOC2"/>
        <w:tabs>
          <w:tab w:val="right" w:leader="dot" w:pos="8296"/>
        </w:tabs>
        <w:rPr>
          <w:rFonts w:asciiTheme="minorHAnsi" w:eastAsiaTheme="minorEastAsia" w:hAnsiTheme="minorHAnsi"/>
          <w:noProof/>
          <w:sz w:val="22"/>
          <w:lang w:val="en-US"/>
        </w:rPr>
      </w:pPr>
      <w:hyperlink w:anchor="_Toc182386288" w:history="1">
        <w:r w:rsidRPr="00C6074C">
          <w:rPr>
            <w:rStyle w:val="Hyperlink"/>
            <w:noProof/>
          </w:rPr>
          <w:t>5.4. Recommendation</w:t>
        </w:r>
        <w:r>
          <w:rPr>
            <w:noProof/>
            <w:webHidden/>
          </w:rPr>
          <w:tab/>
        </w:r>
        <w:r>
          <w:rPr>
            <w:noProof/>
            <w:webHidden/>
          </w:rPr>
          <w:fldChar w:fldCharType="begin"/>
        </w:r>
        <w:r>
          <w:rPr>
            <w:noProof/>
            <w:webHidden/>
          </w:rPr>
          <w:instrText xml:space="preserve"> PAGEREF _Toc182386288 \h </w:instrText>
        </w:r>
        <w:r>
          <w:rPr>
            <w:noProof/>
            <w:webHidden/>
          </w:rPr>
        </w:r>
        <w:r>
          <w:rPr>
            <w:noProof/>
            <w:webHidden/>
          </w:rPr>
          <w:fldChar w:fldCharType="separate"/>
        </w:r>
        <w:r w:rsidR="00B34C8F">
          <w:rPr>
            <w:noProof/>
            <w:webHidden/>
          </w:rPr>
          <w:t>198</w:t>
        </w:r>
        <w:r>
          <w:rPr>
            <w:noProof/>
            <w:webHidden/>
          </w:rPr>
          <w:fldChar w:fldCharType="end"/>
        </w:r>
      </w:hyperlink>
    </w:p>
    <w:p w14:paraId="038C4E02" w14:textId="52275239" w:rsidR="00DD112B" w:rsidRDefault="00DD112B">
      <w:pPr>
        <w:pStyle w:val="TOC2"/>
        <w:tabs>
          <w:tab w:val="right" w:leader="dot" w:pos="8296"/>
        </w:tabs>
        <w:rPr>
          <w:rFonts w:asciiTheme="minorHAnsi" w:eastAsiaTheme="minorEastAsia" w:hAnsiTheme="minorHAnsi"/>
          <w:noProof/>
          <w:sz w:val="22"/>
          <w:lang w:val="en-US"/>
        </w:rPr>
      </w:pPr>
      <w:hyperlink w:anchor="_Toc182386289" w:history="1">
        <w:r w:rsidRPr="00C6074C">
          <w:rPr>
            <w:rStyle w:val="Hyperlink"/>
            <w:rFonts w:eastAsia="Times New Roman"/>
            <w:noProof/>
            <w:lang w:eastAsia="en-GB"/>
          </w:rPr>
          <w:t>5.5 Contribution to knowledge</w:t>
        </w:r>
        <w:r>
          <w:rPr>
            <w:noProof/>
            <w:webHidden/>
          </w:rPr>
          <w:tab/>
        </w:r>
        <w:r>
          <w:rPr>
            <w:noProof/>
            <w:webHidden/>
          </w:rPr>
          <w:fldChar w:fldCharType="begin"/>
        </w:r>
        <w:r>
          <w:rPr>
            <w:noProof/>
            <w:webHidden/>
          </w:rPr>
          <w:instrText xml:space="preserve"> PAGEREF _Toc182386289 \h </w:instrText>
        </w:r>
        <w:r>
          <w:rPr>
            <w:noProof/>
            <w:webHidden/>
          </w:rPr>
        </w:r>
        <w:r>
          <w:rPr>
            <w:noProof/>
            <w:webHidden/>
          </w:rPr>
          <w:fldChar w:fldCharType="separate"/>
        </w:r>
        <w:r w:rsidR="00B34C8F">
          <w:rPr>
            <w:noProof/>
            <w:webHidden/>
          </w:rPr>
          <w:t>200</w:t>
        </w:r>
        <w:r>
          <w:rPr>
            <w:noProof/>
            <w:webHidden/>
          </w:rPr>
          <w:fldChar w:fldCharType="end"/>
        </w:r>
      </w:hyperlink>
    </w:p>
    <w:p w14:paraId="38995381" w14:textId="539054E5" w:rsidR="00DD112B" w:rsidRDefault="00DD112B">
      <w:pPr>
        <w:pStyle w:val="TOC2"/>
        <w:tabs>
          <w:tab w:val="right" w:leader="dot" w:pos="8296"/>
        </w:tabs>
        <w:rPr>
          <w:rFonts w:asciiTheme="minorHAnsi" w:eastAsiaTheme="minorEastAsia" w:hAnsiTheme="minorHAnsi"/>
          <w:noProof/>
          <w:sz w:val="22"/>
          <w:lang w:val="en-US"/>
        </w:rPr>
      </w:pPr>
      <w:hyperlink w:anchor="_Toc182386290" w:history="1">
        <w:r w:rsidRPr="00C6074C">
          <w:rPr>
            <w:rStyle w:val="Hyperlink"/>
            <w:rFonts w:eastAsia="Times New Roman"/>
            <w:noProof/>
            <w:lang w:eastAsia="en-GB"/>
          </w:rPr>
          <w:t>5.6 Suggestions for Further Studies</w:t>
        </w:r>
        <w:r>
          <w:rPr>
            <w:noProof/>
            <w:webHidden/>
          </w:rPr>
          <w:tab/>
        </w:r>
        <w:r>
          <w:rPr>
            <w:noProof/>
            <w:webHidden/>
          </w:rPr>
          <w:fldChar w:fldCharType="begin"/>
        </w:r>
        <w:r>
          <w:rPr>
            <w:noProof/>
            <w:webHidden/>
          </w:rPr>
          <w:instrText xml:space="preserve"> PAGEREF _Toc182386290 \h </w:instrText>
        </w:r>
        <w:r>
          <w:rPr>
            <w:noProof/>
            <w:webHidden/>
          </w:rPr>
        </w:r>
        <w:r>
          <w:rPr>
            <w:noProof/>
            <w:webHidden/>
          </w:rPr>
          <w:fldChar w:fldCharType="separate"/>
        </w:r>
        <w:r w:rsidR="00B34C8F">
          <w:rPr>
            <w:noProof/>
            <w:webHidden/>
          </w:rPr>
          <w:t>201</w:t>
        </w:r>
        <w:r>
          <w:rPr>
            <w:noProof/>
            <w:webHidden/>
          </w:rPr>
          <w:fldChar w:fldCharType="end"/>
        </w:r>
      </w:hyperlink>
    </w:p>
    <w:p w14:paraId="6D255F37" w14:textId="534D078A" w:rsidR="00DD112B" w:rsidRDefault="00DD112B">
      <w:pPr>
        <w:pStyle w:val="TOC1"/>
        <w:rPr>
          <w:rFonts w:asciiTheme="minorHAnsi" w:eastAsiaTheme="minorEastAsia" w:hAnsiTheme="minorHAnsi"/>
          <w:b w:val="0"/>
          <w:noProof/>
          <w:sz w:val="22"/>
          <w:lang w:val="en-US"/>
        </w:rPr>
      </w:pPr>
      <w:hyperlink w:anchor="_Toc182386291" w:history="1">
        <w:r w:rsidRPr="00C6074C">
          <w:rPr>
            <w:rStyle w:val="Hyperlink"/>
            <w:noProof/>
            <w:lang w:eastAsia="en-GB"/>
          </w:rPr>
          <w:t>REFERENCES</w:t>
        </w:r>
        <w:r>
          <w:rPr>
            <w:noProof/>
            <w:webHidden/>
          </w:rPr>
          <w:tab/>
        </w:r>
        <w:r>
          <w:rPr>
            <w:noProof/>
            <w:webHidden/>
          </w:rPr>
          <w:fldChar w:fldCharType="begin"/>
        </w:r>
        <w:r>
          <w:rPr>
            <w:noProof/>
            <w:webHidden/>
          </w:rPr>
          <w:instrText xml:space="preserve"> PAGEREF _Toc182386291 \h </w:instrText>
        </w:r>
        <w:r>
          <w:rPr>
            <w:noProof/>
            <w:webHidden/>
          </w:rPr>
        </w:r>
        <w:r>
          <w:rPr>
            <w:noProof/>
            <w:webHidden/>
          </w:rPr>
          <w:fldChar w:fldCharType="separate"/>
        </w:r>
        <w:r w:rsidR="00B34C8F">
          <w:rPr>
            <w:noProof/>
            <w:webHidden/>
          </w:rPr>
          <w:t>202</w:t>
        </w:r>
        <w:r>
          <w:rPr>
            <w:noProof/>
            <w:webHidden/>
          </w:rPr>
          <w:fldChar w:fldCharType="end"/>
        </w:r>
      </w:hyperlink>
    </w:p>
    <w:p w14:paraId="4DC2BBA3" w14:textId="72E6BFE6" w:rsidR="00DD112B" w:rsidRDefault="00DD112B">
      <w:pPr>
        <w:pStyle w:val="TOC1"/>
        <w:rPr>
          <w:rFonts w:asciiTheme="minorHAnsi" w:eastAsiaTheme="minorEastAsia" w:hAnsiTheme="minorHAnsi"/>
          <w:b w:val="0"/>
          <w:noProof/>
          <w:sz w:val="22"/>
          <w:lang w:val="en-US"/>
        </w:rPr>
      </w:pPr>
      <w:hyperlink w:anchor="_Toc182386292" w:history="1">
        <w:r w:rsidRPr="00C6074C">
          <w:rPr>
            <w:rStyle w:val="Hyperlink"/>
            <w:noProof/>
            <w:lang w:eastAsia="en-GB"/>
          </w:rPr>
          <w:t>APPENDICES</w:t>
        </w:r>
        <w:r>
          <w:rPr>
            <w:noProof/>
            <w:webHidden/>
          </w:rPr>
          <w:tab/>
        </w:r>
        <w:r>
          <w:rPr>
            <w:noProof/>
            <w:webHidden/>
          </w:rPr>
          <w:fldChar w:fldCharType="begin"/>
        </w:r>
        <w:r>
          <w:rPr>
            <w:noProof/>
            <w:webHidden/>
          </w:rPr>
          <w:instrText xml:space="preserve"> PAGEREF _Toc182386292 \h </w:instrText>
        </w:r>
        <w:r>
          <w:rPr>
            <w:noProof/>
            <w:webHidden/>
          </w:rPr>
        </w:r>
        <w:r>
          <w:rPr>
            <w:noProof/>
            <w:webHidden/>
          </w:rPr>
          <w:fldChar w:fldCharType="separate"/>
        </w:r>
        <w:r w:rsidR="00B34C8F">
          <w:rPr>
            <w:noProof/>
            <w:webHidden/>
          </w:rPr>
          <w:t>223</w:t>
        </w:r>
        <w:r>
          <w:rPr>
            <w:noProof/>
            <w:webHidden/>
          </w:rPr>
          <w:fldChar w:fldCharType="end"/>
        </w:r>
      </w:hyperlink>
    </w:p>
    <w:p w14:paraId="4A2751F5" w14:textId="42A54364" w:rsidR="00CD3724" w:rsidRPr="00E2630C" w:rsidRDefault="00DD112B" w:rsidP="00DD112B">
      <w:pPr>
        <w:pStyle w:val="TOC1"/>
        <w:rPr>
          <w:noProof/>
        </w:rPr>
      </w:pPr>
      <w:r>
        <w:rPr>
          <w:rFonts w:cs="Times New Roman"/>
          <w:color w:val="000000" w:themeColor="text1"/>
          <w:szCs w:val="24"/>
        </w:rPr>
        <w:fldChar w:fldCharType="end"/>
      </w:r>
    </w:p>
    <w:p w14:paraId="617FFC45" w14:textId="77777777" w:rsidR="00CD3724" w:rsidRPr="00E2630C" w:rsidRDefault="00CD3724" w:rsidP="00CD3724">
      <w:pPr>
        <w:rPr>
          <w:rFonts w:ascii="Times New Roman" w:hAnsi="Times New Roman" w:cs="Times New Roman"/>
          <w:b/>
          <w:color w:val="000000" w:themeColor="text1"/>
          <w:sz w:val="24"/>
          <w:szCs w:val="24"/>
        </w:rPr>
      </w:pPr>
    </w:p>
    <w:p w14:paraId="05FDBBDC" w14:textId="77777777" w:rsidR="00CD3724" w:rsidRPr="00E2630C" w:rsidRDefault="00CD3724" w:rsidP="00CD3724">
      <w:pPr>
        <w:jc w:val="center"/>
        <w:rPr>
          <w:rFonts w:ascii="Times New Roman" w:hAnsi="Times New Roman" w:cs="Times New Roman"/>
          <w:b/>
          <w:color w:val="000000" w:themeColor="text1"/>
          <w:sz w:val="24"/>
          <w:szCs w:val="24"/>
        </w:rPr>
      </w:pPr>
    </w:p>
    <w:p w14:paraId="721CA3C3" w14:textId="77777777" w:rsidR="00CD3724" w:rsidRPr="00E2630C" w:rsidRDefault="00CD3724" w:rsidP="00CD3724">
      <w:pPr>
        <w:jc w:val="center"/>
        <w:rPr>
          <w:rFonts w:ascii="Times New Roman" w:hAnsi="Times New Roman" w:cs="Times New Roman"/>
          <w:b/>
          <w:color w:val="000000" w:themeColor="text1"/>
          <w:sz w:val="24"/>
          <w:szCs w:val="24"/>
        </w:rPr>
      </w:pPr>
    </w:p>
    <w:p w14:paraId="4FC35C8F" w14:textId="77777777" w:rsidR="00CD3724" w:rsidRPr="00E2630C" w:rsidRDefault="00CD3724" w:rsidP="00CD3724">
      <w:pPr>
        <w:jc w:val="center"/>
        <w:rPr>
          <w:rFonts w:ascii="Times New Roman" w:hAnsi="Times New Roman" w:cs="Times New Roman"/>
          <w:b/>
          <w:color w:val="000000" w:themeColor="text1"/>
          <w:sz w:val="24"/>
          <w:szCs w:val="24"/>
        </w:rPr>
      </w:pPr>
    </w:p>
    <w:p w14:paraId="14C2C95F" w14:textId="77777777" w:rsidR="00CD3724" w:rsidRPr="00E2630C" w:rsidRDefault="00CD3724" w:rsidP="00CD3724">
      <w:pPr>
        <w:jc w:val="center"/>
        <w:rPr>
          <w:rFonts w:ascii="Times New Roman" w:hAnsi="Times New Roman" w:cs="Times New Roman"/>
          <w:b/>
          <w:color w:val="000000" w:themeColor="text1"/>
          <w:sz w:val="24"/>
          <w:szCs w:val="24"/>
        </w:rPr>
      </w:pPr>
    </w:p>
    <w:p w14:paraId="0FB3F8D0" w14:textId="77777777" w:rsidR="00CD3724" w:rsidRPr="00E2630C" w:rsidRDefault="00CD3724" w:rsidP="00CD3724">
      <w:pPr>
        <w:jc w:val="center"/>
        <w:rPr>
          <w:rFonts w:ascii="Times New Roman" w:hAnsi="Times New Roman" w:cs="Times New Roman"/>
          <w:b/>
          <w:color w:val="000000" w:themeColor="text1"/>
          <w:sz w:val="24"/>
          <w:szCs w:val="24"/>
        </w:rPr>
      </w:pPr>
    </w:p>
    <w:p w14:paraId="065CF8FD" w14:textId="77777777" w:rsidR="00CD3724" w:rsidRPr="00E2630C" w:rsidRDefault="00CD3724" w:rsidP="00CD3724">
      <w:pPr>
        <w:jc w:val="center"/>
        <w:rPr>
          <w:rFonts w:ascii="Times New Roman" w:hAnsi="Times New Roman" w:cs="Times New Roman"/>
          <w:b/>
          <w:color w:val="000000" w:themeColor="text1"/>
          <w:sz w:val="24"/>
          <w:szCs w:val="24"/>
        </w:rPr>
      </w:pPr>
    </w:p>
    <w:p w14:paraId="37C8C8F1" w14:textId="77777777" w:rsidR="00CD3724" w:rsidRPr="00E2630C" w:rsidRDefault="00CD3724" w:rsidP="00CD3724">
      <w:pPr>
        <w:jc w:val="center"/>
        <w:rPr>
          <w:rFonts w:ascii="Times New Roman" w:hAnsi="Times New Roman" w:cs="Times New Roman"/>
          <w:b/>
          <w:color w:val="000000" w:themeColor="text1"/>
          <w:sz w:val="24"/>
          <w:szCs w:val="24"/>
        </w:rPr>
      </w:pPr>
    </w:p>
    <w:p w14:paraId="2CD1A6E2" w14:textId="77777777" w:rsidR="00CD3724" w:rsidRPr="00E2630C" w:rsidRDefault="00CD3724" w:rsidP="00CD3724">
      <w:pPr>
        <w:jc w:val="center"/>
        <w:rPr>
          <w:rFonts w:ascii="Times New Roman" w:hAnsi="Times New Roman" w:cs="Times New Roman"/>
          <w:b/>
          <w:color w:val="000000" w:themeColor="text1"/>
          <w:sz w:val="24"/>
          <w:szCs w:val="24"/>
        </w:rPr>
      </w:pPr>
    </w:p>
    <w:p w14:paraId="01FC0412" w14:textId="77777777" w:rsidR="00CD3724" w:rsidRPr="00E2630C" w:rsidRDefault="00CD3724" w:rsidP="00CD3724">
      <w:pPr>
        <w:jc w:val="center"/>
        <w:rPr>
          <w:rFonts w:ascii="Times New Roman" w:hAnsi="Times New Roman" w:cs="Times New Roman"/>
          <w:b/>
          <w:color w:val="000000" w:themeColor="text1"/>
          <w:sz w:val="24"/>
          <w:szCs w:val="24"/>
        </w:rPr>
      </w:pPr>
    </w:p>
    <w:p w14:paraId="5B28AE07" w14:textId="77777777" w:rsidR="00C224FF" w:rsidRPr="00E2630C" w:rsidRDefault="00C224FF" w:rsidP="00CD3724">
      <w:pPr>
        <w:jc w:val="center"/>
        <w:rPr>
          <w:rFonts w:ascii="Times New Roman" w:hAnsi="Times New Roman" w:cs="Times New Roman"/>
          <w:b/>
          <w:color w:val="000000" w:themeColor="text1"/>
          <w:sz w:val="24"/>
          <w:szCs w:val="24"/>
        </w:rPr>
      </w:pPr>
    </w:p>
    <w:p w14:paraId="19AC9D23" w14:textId="7EFBA895" w:rsidR="00C224FF" w:rsidRDefault="00C224FF" w:rsidP="00CD3724">
      <w:pPr>
        <w:jc w:val="center"/>
        <w:rPr>
          <w:rFonts w:ascii="Times New Roman" w:hAnsi="Times New Roman" w:cs="Times New Roman"/>
          <w:b/>
          <w:color w:val="000000" w:themeColor="text1"/>
          <w:sz w:val="24"/>
          <w:szCs w:val="24"/>
        </w:rPr>
      </w:pPr>
    </w:p>
    <w:p w14:paraId="177F5E22" w14:textId="1F496005" w:rsidR="00DD112B" w:rsidRDefault="00DD112B" w:rsidP="00CD3724">
      <w:pPr>
        <w:jc w:val="center"/>
        <w:rPr>
          <w:rFonts w:ascii="Times New Roman" w:hAnsi="Times New Roman" w:cs="Times New Roman"/>
          <w:b/>
          <w:color w:val="000000" w:themeColor="text1"/>
          <w:sz w:val="24"/>
          <w:szCs w:val="24"/>
        </w:rPr>
      </w:pPr>
    </w:p>
    <w:p w14:paraId="5CF56426" w14:textId="77777777" w:rsidR="00DD112B" w:rsidRPr="00E2630C" w:rsidRDefault="00DD112B" w:rsidP="00CD3724">
      <w:pPr>
        <w:jc w:val="center"/>
        <w:rPr>
          <w:rFonts w:ascii="Times New Roman" w:hAnsi="Times New Roman" w:cs="Times New Roman"/>
          <w:b/>
          <w:color w:val="000000" w:themeColor="text1"/>
          <w:sz w:val="24"/>
          <w:szCs w:val="24"/>
        </w:rPr>
      </w:pPr>
    </w:p>
    <w:p w14:paraId="3C34E375" w14:textId="77777777" w:rsidR="00CD3724" w:rsidRPr="00E2630C" w:rsidRDefault="00CD3724" w:rsidP="00CD3724">
      <w:pPr>
        <w:jc w:val="center"/>
        <w:rPr>
          <w:rFonts w:ascii="Times New Roman" w:hAnsi="Times New Roman" w:cs="Times New Roman"/>
          <w:b/>
          <w:color w:val="000000" w:themeColor="text1"/>
          <w:sz w:val="24"/>
          <w:szCs w:val="24"/>
        </w:rPr>
      </w:pPr>
    </w:p>
    <w:p w14:paraId="5406CCD5" w14:textId="77777777" w:rsidR="00CD3724" w:rsidRPr="00E2630C" w:rsidRDefault="00CD3724" w:rsidP="00CD3724">
      <w:pPr>
        <w:jc w:val="center"/>
        <w:rPr>
          <w:rFonts w:ascii="Times New Roman" w:hAnsi="Times New Roman" w:cs="Times New Roman"/>
          <w:b/>
          <w:color w:val="000000" w:themeColor="text1"/>
          <w:sz w:val="24"/>
          <w:szCs w:val="24"/>
        </w:rPr>
      </w:pPr>
    </w:p>
    <w:p w14:paraId="2F4CE4E4" w14:textId="77777777" w:rsidR="00CD3724" w:rsidRPr="00E2630C" w:rsidRDefault="00CD3724" w:rsidP="00E2630C">
      <w:pPr>
        <w:pStyle w:val="Heading1"/>
      </w:pPr>
      <w:bookmarkStart w:id="5" w:name="_Toc182386205"/>
      <w:r w:rsidRPr="00E2630C">
        <w:lastRenderedPageBreak/>
        <w:t>LIST OF TABLES</w:t>
      </w:r>
      <w:bookmarkEnd w:id="5"/>
    </w:p>
    <w:p w14:paraId="70662E39" w14:textId="2C703797" w:rsidR="00DD112B" w:rsidRDefault="00DD112B">
      <w:pPr>
        <w:pStyle w:val="TableofFigures"/>
        <w:tabs>
          <w:tab w:val="right" w:leader="dot" w:pos="8296"/>
        </w:tabs>
        <w:rPr>
          <w:rFonts w:asciiTheme="minorHAnsi" w:eastAsiaTheme="minorEastAsia" w:hAnsiTheme="minorHAnsi"/>
          <w:noProof/>
          <w:sz w:val="22"/>
          <w:lang w:val="en-US"/>
        </w:rPr>
      </w:pPr>
      <w:r>
        <w:rPr>
          <w:rFonts w:cs="Times New Roman"/>
          <w:color w:val="000000" w:themeColor="text1"/>
          <w:szCs w:val="24"/>
        </w:rPr>
        <w:fldChar w:fldCharType="begin"/>
      </w:r>
      <w:r>
        <w:rPr>
          <w:rFonts w:cs="Times New Roman"/>
          <w:color w:val="000000" w:themeColor="text1"/>
          <w:szCs w:val="24"/>
        </w:rPr>
        <w:instrText xml:space="preserve"> TOC \f T \h \z \t "Heading 6" \c "Table" </w:instrText>
      </w:r>
      <w:r>
        <w:rPr>
          <w:rFonts w:cs="Times New Roman"/>
          <w:color w:val="000000" w:themeColor="text1"/>
          <w:szCs w:val="24"/>
        </w:rPr>
        <w:fldChar w:fldCharType="separate"/>
      </w:r>
      <w:hyperlink w:anchor="_Toc182386317" w:history="1">
        <w:r w:rsidRPr="00D14A12">
          <w:rPr>
            <w:rStyle w:val="Hyperlink"/>
            <w:noProof/>
          </w:rPr>
          <w:t>Table 3.1 Summary of Respondents selected purposely</w:t>
        </w:r>
        <w:r>
          <w:rPr>
            <w:noProof/>
            <w:webHidden/>
          </w:rPr>
          <w:tab/>
        </w:r>
        <w:r>
          <w:rPr>
            <w:noProof/>
            <w:webHidden/>
          </w:rPr>
          <w:fldChar w:fldCharType="begin"/>
        </w:r>
        <w:r>
          <w:rPr>
            <w:noProof/>
            <w:webHidden/>
          </w:rPr>
          <w:instrText xml:space="preserve"> PAGEREF _Toc182386317 \h </w:instrText>
        </w:r>
        <w:r>
          <w:rPr>
            <w:noProof/>
            <w:webHidden/>
          </w:rPr>
        </w:r>
        <w:r>
          <w:rPr>
            <w:noProof/>
            <w:webHidden/>
          </w:rPr>
          <w:fldChar w:fldCharType="separate"/>
        </w:r>
        <w:r w:rsidR="00B34C8F">
          <w:rPr>
            <w:noProof/>
            <w:webHidden/>
          </w:rPr>
          <w:t>149</w:t>
        </w:r>
        <w:r>
          <w:rPr>
            <w:noProof/>
            <w:webHidden/>
          </w:rPr>
          <w:fldChar w:fldCharType="end"/>
        </w:r>
      </w:hyperlink>
    </w:p>
    <w:p w14:paraId="1B084628" w14:textId="7FB20CC8" w:rsidR="00DD112B" w:rsidRDefault="00DD112B">
      <w:pPr>
        <w:pStyle w:val="TableofFigures"/>
        <w:tabs>
          <w:tab w:val="right" w:leader="dot" w:pos="8296"/>
        </w:tabs>
        <w:rPr>
          <w:rFonts w:asciiTheme="minorHAnsi" w:eastAsiaTheme="minorEastAsia" w:hAnsiTheme="minorHAnsi"/>
          <w:noProof/>
          <w:sz w:val="22"/>
          <w:lang w:val="en-US"/>
        </w:rPr>
      </w:pPr>
      <w:hyperlink w:anchor="_Toc182386318" w:history="1">
        <w:r w:rsidRPr="00D14A12">
          <w:rPr>
            <w:rStyle w:val="Hyperlink"/>
            <w:rFonts w:cs="Times New Roman"/>
            <w:noProof/>
          </w:rPr>
          <w:t>Table 3.2: Crops and Livestock Farmers Associations in Bimbilla</w:t>
        </w:r>
        <w:r>
          <w:rPr>
            <w:noProof/>
            <w:webHidden/>
          </w:rPr>
          <w:tab/>
        </w:r>
        <w:r>
          <w:rPr>
            <w:noProof/>
            <w:webHidden/>
          </w:rPr>
          <w:fldChar w:fldCharType="begin"/>
        </w:r>
        <w:r>
          <w:rPr>
            <w:noProof/>
            <w:webHidden/>
          </w:rPr>
          <w:instrText xml:space="preserve"> PAGEREF _Toc182386318 \h </w:instrText>
        </w:r>
        <w:r>
          <w:rPr>
            <w:noProof/>
            <w:webHidden/>
          </w:rPr>
        </w:r>
        <w:r>
          <w:rPr>
            <w:noProof/>
            <w:webHidden/>
          </w:rPr>
          <w:fldChar w:fldCharType="separate"/>
        </w:r>
        <w:r w:rsidR="00B34C8F">
          <w:rPr>
            <w:noProof/>
            <w:webHidden/>
          </w:rPr>
          <w:t>150</w:t>
        </w:r>
        <w:r>
          <w:rPr>
            <w:noProof/>
            <w:webHidden/>
          </w:rPr>
          <w:fldChar w:fldCharType="end"/>
        </w:r>
      </w:hyperlink>
    </w:p>
    <w:p w14:paraId="27783357" w14:textId="052D0311" w:rsidR="00DD112B" w:rsidRDefault="00DD112B">
      <w:pPr>
        <w:pStyle w:val="TableofFigures"/>
        <w:tabs>
          <w:tab w:val="right" w:leader="dot" w:pos="8296"/>
        </w:tabs>
        <w:rPr>
          <w:rFonts w:asciiTheme="minorHAnsi" w:eastAsiaTheme="minorEastAsia" w:hAnsiTheme="minorHAnsi"/>
          <w:noProof/>
          <w:sz w:val="22"/>
          <w:lang w:val="en-US"/>
        </w:rPr>
      </w:pPr>
      <w:hyperlink w:anchor="_Toc182386319" w:history="1">
        <w:r w:rsidRPr="00D14A12">
          <w:rPr>
            <w:rStyle w:val="Hyperlink"/>
            <w:noProof/>
          </w:rPr>
          <w:t>Table 4.1: Perceptions of The Impact of Chieftaincy Conflicts on Economic Security</w:t>
        </w:r>
        <w:r>
          <w:rPr>
            <w:noProof/>
            <w:webHidden/>
          </w:rPr>
          <w:tab/>
        </w:r>
        <w:r>
          <w:rPr>
            <w:noProof/>
            <w:webHidden/>
          </w:rPr>
          <w:fldChar w:fldCharType="begin"/>
        </w:r>
        <w:r>
          <w:rPr>
            <w:noProof/>
            <w:webHidden/>
          </w:rPr>
          <w:instrText xml:space="preserve"> PAGEREF _Toc182386319 \h </w:instrText>
        </w:r>
        <w:r>
          <w:rPr>
            <w:noProof/>
            <w:webHidden/>
          </w:rPr>
        </w:r>
        <w:r>
          <w:rPr>
            <w:noProof/>
            <w:webHidden/>
          </w:rPr>
          <w:fldChar w:fldCharType="separate"/>
        </w:r>
        <w:r w:rsidR="00B34C8F">
          <w:rPr>
            <w:noProof/>
            <w:webHidden/>
          </w:rPr>
          <w:t>162</w:t>
        </w:r>
        <w:r>
          <w:rPr>
            <w:noProof/>
            <w:webHidden/>
          </w:rPr>
          <w:fldChar w:fldCharType="end"/>
        </w:r>
      </w:hyperlink>
    </w:p>
    <w:p w14:paraId="49565D08" w14:textId="3DAEBE49" w:rsidR="00DD112B" w:rsidRDefault="00DD112B">
      <w:pPr>
        <w:pStyle w:val="TableofFigures"/>
        <w:tabs>
          <w:tab w:val="right" w:leader="dot" w:pos="8296"/>
        </w:tabs>
        <w:rPr>
          <w:rFonts w:asciiTheme="minorHAnsi" w:eastAsiaTheme="minorEastAsia" w:hAnsiTheme="minorHAnsi"/>
          <w:noProof/>
          <w:sz w:val="22"/>
          <w:lang w:val="en-US"/>
        </w:rPr>
      </w:pPr>
      <w:hyperlink w:anchor="_Toc182386320" w:history="1">
        <w:r w:rsidRPr="00D14A12">
          <w:rPr>
            <w:rStyle w:val="Hyperlink"/>
            <w:rFonts w:eastAsia="Calibri"/>
            <w:iCs/>
            <w:noProof/>
          </w:rPr>
          <w:t xml:space="preserve">Table 4.2: </w:t>
        </w:r>
        <w:r w:rsidRPr="00D14A12">
          <w:rPr>
            <w:rStyle w:val="Hyperlink"/>
            <w:noProof/>
          </w:rPr>
          <w:t>Results</w:t>
        </w:r>
        <w:r w:rsidRPr="00D14A12">
          <w:rPr>
            <w:rStyle w:val="Hyperlink"/>
            <w:rFonts w:eastAsia="Calibri"/>
            <w:iCs/>
            <w:noProof/>
          </w:rPr>
          <w:t xml:space="preserve"> of Multiple Regression on </w:t>
        </w:r>
        <w:r w:rsidRPr="00D14A12">
          <w:rPr>
            <w:rStyle w:val="Hyperlink"/>
            <w:noProof/>
          </w:rPr>
          <w:t>Chieftaincy Conflicts and Economic Security in Bimbilla.</w:t>
        </w:r>
        <w:r>
          <w:rPr>
            <w:noProof/>
            <w:webHidden/>
          </w:rPr>
          <w:tab/>
        </w:r>
        <w:r>
          <w:rPr>
            <w:noProof/>
            <w:webHidden/>
          </w:rPr>
          <w:fldChar w:fldCharType="begin"/>
        </w:r>
        <w:r>
          <w:rPr>
            <w:noProof/>
            <w:webHidden/>
          </w:rPr>
          <w:instrText xml:space="preserve"> PAGEREF _Toc182386320 \h </w:instrText>
        </w:r>
        <w:r>
          <w:rPr>
            <w:noProof/>
            <w:webHidden/>
          </w:rPr>
        </w:r>
        <w:r>
          <w:rPr>
            <w:noProof/>
            <w:webHidden/>
          </w:rPr>
          <w:fldChar w:fldCharType="separate"/>
        </w:r>
        <w:r w:rsidR="00B34C8F">
          <w:rPr>
            <w:noProof/>
            <w:webHidden/>
          </w:rPr>
          <w:t>164</w:t>
        </w:r>
        <w:r>
          <w:rPr>
            <w:noProof/>
            <w:webHidden/>
          </w:rPr>
          <w:fldChar w:fldCharType="end"/>
        </w:r>
      </w:hyperlink>
    </w:p>
    <w:p w14:paraId="113BE03D" w14:textId="2D3FAA94" w:rsidR="00DD112B" w:rsidRDefault="00DD112B">
      <w:pPr>
        <w:pStyle w:val="TableofFigures"/>
        <w:tabs>
          <w:tab w:val="right" w:leader="dot" w:pos="8296"/>
        </w:tabs>
        <w:rPr>
          <w:rFonts w:asciiTheme="minorHAnsi" w:eastAsiaTheme="minorEastAsia" w:hAnsiTheme="minorHAnsi"/>
          <w:noProof/>
          <w:sz w:val="22"/>
          <w:lang w:val="en-US"/>
        </w:rPr>
      </w:pPr>
      <w:hyperlink w:anchor="_Toc182386321" w:history="1">
        <w:r w:rsidRPr="00D14A12">
          <w:rPr>
            <w:rStyle w:val="Hyperlink"/>
            <w:rFonts w:cs="Times New Roman"/>
            <w:noProof/>
          </w:rPr>
          <w:t>Table 4.3: Perceptions of The Impact of Chieftaincy Conflicts on Food Security</w:t>
        </w:r>
        <w:r>
          <w:rPr>
            <w:noProof/>
            <w:webHidden/>
          </w:rPr>
          <w:tab/>
        </w:r>
        <w:r>
          <w:rPr>
            <w:noProof/>
            <w:webHidden/>
          </w:rPr>
          <w:fldChar w:fldCharType="begin"/>
        </w:r>
        <w:r>
          <w:rPr>
            <w:noProof/>
            <w:webHidden/>
          </w:rPr>
          <w:instrText xml:space="preserve"> PAGEREF _Toc182386321 \h </w:instrText>
        </w:r>
        <w:r>
          <w:rPr>
            <w:noProof/>
            <w:webHidden/>
          </w:rPr>
        </w:r>
        <w:r>
          <w:rPr>
            <w:noProof/>
            <w:webHidden/>
          </w:rPr>
          <w:fldChar w:fldCharType="separate"/>
        </w:r>
        <w:r w:rsidR="00B34C8F">
          <w:rPr>
            <w:noProof/>
            <w:webHidden/>
          </w:rPr>
          <w:t>169</w:t>
        </w:r>
        <w:r>
          <w:rPr>
            <w:noProof/>
            <w:webHidden/>
          </w:rPr>
          <w:fldChar w:fldCharType="end"/>
        </w:r>
      </w:hyperlink>
    </w:p>
    <w:p w14:paraId="41163FF4" w14:textId="04E22DF4" w:rsidR="00DD112B" w:rsidRDefault="00DD112B">
      <w:pPr>
        <w:pStyle w:val="TableofFigures"/>
        <w:tabs>
          <w:tab w:val="right" w:leader="dot" w:pos="8296"/>
        </w:tabs>
        <w:rPr>
          <w:rFonts w:asciiTheme="minorHAnsi" w:eastAsiaTheme="minorEastAsia" w:hAnsiTheme="minorHAnsi"/>
          <w:noProof/>
          <w:sz w:val="22"/>
          <w:lang w:val="en-US"/>
        </w:rPr>
      </w:pPr>
      <w:hyperlink w:anchor="_Toc182386322" w:history="1">
        <w:r w:rsidRPr="00D14A12">
          <w:rPr>
            <w:rStyle w:val="Hyperlink"/>
            <w:rFonts w:eastAsia="Calibri"/>
            <w:iCs/>
            <w:noProof/>
          </w:rPr>
          <w:t xml:space="preserve">Table 4.4: </w:t>
        </w:r>
        <w:r w:rsidRPr="00D14A12">
          <w:rPr>
            <w:rStyle w:val="Hyperlink"/>
            <w:noProof/>
          </w:rPr>
          <w:t>Results</w:t>
        </w:r>
        <w:r w:rsidRPr="00D14A12">
          <w:rPr>
            <w:rStyle w:val="Hyperlink"/>
            <w:rFonts w:eastAsia="Calibri"/>
            <w:iCs/>
            <w:noProof/>
          </w:rPr>
          <w:t xml:space="preserve"> of Multiple Regression on </w:t>
        </w:r>
        <w:r w:rsidRPr="00D14A12">
          <w:rPr>
            <w:rStyle w:val="Hyperlink"/>
            <w:noProof/>
          </w:rPr>
          <w:t>Chieftaincy Conflicts and Food Security in Bimbilla.</w:t>
        </w:r>
        <w:r>
          <w:rPr>
            <w:noProof/>
            <w:webHidden/>
          </w:rPr>
          <w:tab/>
        </w:r>
        <w:r>
          <w:rPr>
            <w:noProof/>
            <w:webHidden/>
          </w:rPr>
          <w:fldChar w:fldCharType="begin"/>
        </w:r>
        <w:r>
          <w:rPr>
            <w:noProof/>
            <w:webHidden/>
          </w:rPr>
          <w:instrText xml:space="preserve"> PAGEREF _Toc182386322 \h </w:instrText>
        </w:r>
        <w:r>
          <w:rPr>
            <w:noProof/>
            <w:webHidden/>
          </w:rPr>
        </w:r>
        <w:r>
          <w:rPr>
            <w:noProof/>
            <w:webHidden/>
          </w:rPr>
          <w:fldChar w:fldCharType="separate"/>
        </w:r>
        <w:r w:rsidR="00B34C8F">
          <w:rPr>
            <w:noProof/>
            <w:webHidden/>
          </w:rPr>
          <w:t>171</w:t>
        </w:r>
        <w:r>
          <w:rPr>
            <w:noProof/>
            <w:webHidden/>
          </w:rPr>
          <w:fldChar w:fldCharType="end"/>
        </w:r>
      </w:hyperlink>
    </w:p>
    <w:p w14:paraId="0DA04B89" w14:textId="302DD5F3" w:rsidR="00DD112B" w:rsidRDefault="00DD112B">
      <w:pPr>
        <w:pStyle w:val="TableofFigures"/>
        <w:tabs>
          <w:tab w:val="right" w:leader="dot" w:pos="8296"/>
        </w:tabs>
        <w:rPr>
          <w:rFonts w:asciiTheme="minorHAnsi" w:eastAsiaTheme="minorEastAsia" w:hAnsiTheme="minorHAnsi"/>
          <w:noProof/>
          <w:sz w:val="22"/>
          <w:lang w:val="en-US"/>
        </w:rPr>
      </w:pPr>
      <w:hyperlink w:anchor="_Toc182386323" w:history="1">
        <w:r w:rsidRPr="00D14A12">
          <w:rPr>
            <w:rStyle w:val="Hyperlink"/>
            <w:noProof/>
          </w:rPr>
          <w:t>Table 4.5: Perceptions of The Impact of Chieftaincy Conflicts on Health Security</w:t>
        </w:r>
        <w:r>
          <w:rPr>
            <w:noProof/>
            <w:webHidden/>
          </w:rPr>
          <w:tab/>
        </w:r>
        <w:r>
          <w:rPr>
            <w:noProof/>
            <w:webHidden/>
          </w:rPr>
          <w:fldChar w:fldCharType="begin"/>
        </w:r>
        <w:r>
          <w:rPr>
            <w:noProof/>
            <w:webHidden/>
          </w:rPr>
          <w:instrText xml:space="preserve"> PAGEREF _Toc182386323 \h </w:instrText>
        </w:r>
        <w:r>
          <w:rPr>
            <w:noProof/>
            <w:webHidden/>
          </w:rPr>
        </w:r>
        <w:r>
          <w:rPr>
            <w:noProof/>
            <w:webHidden/>
          </w:rPr>
          <w:fldChar w:fldCharType="separate"/>
        </w:r>
        <w:r w:rsidR="00B34C8F">
          <w:rPr>
            <w:noProof/>
            <w:webHidden/>
          </w:rPr>
          <w:t>176</w:t>
        </w:r>
        <w:r>
          <w:rPr>
            <w:noProof/>
            <w:webHidden/>
          </w:rPr>
          <w:fldChar w:fldCharType="end"/>
        </w:r>
      </w:hyperlink>
    </w:p>
    <w:p w14:paraId="597E7CB7" w14:textId="6135429A" w:rsidR="00DD112B" w:rsidRDefault="00DD112B">
      <w:pPr>
        <w:pStyle w:val="TableofFigures"/>
        <w:tabs>
          <w:tab w:val="right" w:leader="dot" w:pos="8296"/>
        </w:tabs>
        <w:rPr>
          <w:rFonts w:asciiTheme="minorHAnsi" w:eastAsiaTheme="minorEastAsia" w:hAnsiTheme="minorHAnsi"/>
          <w:noProof/>
          <w:sz w:val="22"/>
          <w:lang w:val="en-US"/>
        </w:rPr>
      </w:pPr>
      <w:hyperlink w:anchor="_Toc182386324" w:history="1">
        <w:r w:rsidRPr="00D14A12">
          <w:rPr>
            <w:rStyle w:val="Hyperlink"/>
            <w:rFonts w:eastAsia="Calibri"/>
            <w:iCs/>
            <w:noProof/>
          </w:rPr>
          <w:t xml:space="preserve">Table 4.6: </w:t>
        </w:r>
        <w:r w:rsidRPr="00D14A12">
          <w:rPr>
            <w:rStyle w:val="Hyperlink"/>
            <w:noProof/>
          </w:rPr>
          <w:t>Results</w:t>
        </w:r>
        <w:r w:rsidRPr="00D14A12">
          <w:rPr>
            <w:rStyle w:val="Hyperlink"/>
            <w:rFonts w:eastAsia="Calibri"/>
            <w:iCs/>
            <w:noProof/>
          </w:rPr>
          <w:t xml:space="preserve"> of Multiple Regression on </w:t>
        </w:r>
        <w:r w:rsidRPr="00D14A12">
          <w:rPr>
            <w:rStyle w:val="Hyperlink"/>
            <w:noProof/>
          </w:rPr>
          <w:t>Chieftaincy Conflicts and Health Security in Bimbilla.</w:t>
        </w:r>
        <w:r>
          <w:rPr>
            <w:noProof/>
            <w:webHidden/>
          </w:rPr>
          <w:tab/>
        </w:r>
        <w:r>
          <w:rPr>
            <w:noProof/>
            <w:webHidden/>
          </w:rPr>
          <w:fldChar w:fldCharType="begin"/>
        </w:r>
        <w:r>
          <w:rPr>
            <w:noProof/>
            <w:webHidden/>
          </w:rPr>
          <w:instrText xml:space="preserve"> PAGEREF _Toc182386324 \h </w:instrText>
        </w:r>
        <w:r>
          <w:rPr>
            <w:noProof/>
            <w:webHidden/>
          </w:rPr>
        </w:r>
        <w:r>
          <w:rPr>
            <w:noProof/>
            <w:webHidden/>
          </w:rPr>
          <w:fldChar w:fldCharType="separate"/>
        </w:r>
        <w:r w:rsidR="00B34C8F">
          <w:rPr>
            <w:noProof/>
            <w:webHidden/>
          </w:rPr>
          <w:t>178</w:t>
        </w:r>
        <w:r>
          <w:rPr>
            <w:noProof/>
            <w:webHidden/>
          </w:rPr>
          <w:fldChar w:fldCharType="end"/>
        </w:r>
      </w:hyperlink>
    </w:p>
    <w:p w14:paraId="6483704A" w14:textId="33D06391" w:rsidR="00DD112B" w:rsidRDefault="00DD112B">
      <w:pPr>
        <w:pStyle w:val="TableofFigures"/>
        <w:tabs>
          <w:tab w:val="right" w:leader="dot" w:pos="8296"/>
        </w:tabs>
        <w:rPr>
          <w:rFonts w:asciiTheme="minorHAnsi" w:eastAsiaTheme="minorEastAsia" w:hAnsiTheme="minorHAnsi"/>
          <w:noProof/>
          <w:sz w:val="22"/>
          <w:lang w:val="en-US"/>
        </w:rPr>
      </w:pPr>
      <w:hyperlink w:anchor="_Toc182386325" w:history="1">
        <w:r w:rsidRPr="00D14A12">
          <w:rPr>
            <w:rStyle w:val="Hyperlink"/>
            <w:noProof/>
          </w:rPr>
          <w:t>Table 4.7: Perceptions of The Impact of Chieftaincy Conflicts on Environmental Security</w:t>
        </w:r>
        <w:r>
          <w:rPr>
            <w:noProof/>
            <w:webHidden/>
          </w:rPr>
          <w:tab/>
        </w:r>
        <w:r>
          <w:rPr>
            <w:noProof/>
            <w:webHidden/>
          </w:rPr>
          <w:fldChar w:fldCharType="begin"/>
        </w:r>
        <w:r>
          <w:rPr>
            <w:noProof/>
            <w:webHidden/>
          </w:rPr>
          <w:instrText xml:space="preserve"> PAGEREF _Toc182386325 \h </w:instrText>
        </w:r>
        <w:r>
          <w:rPr>
            <w:noProof/>
            <w:webHidden/>
          </w:rPr>
        </w:r>
        <w:r>
          <w:rPr>
            <w:noProof/>
            <w:webHidden/>
          </w:rPr>
          <w:fldChar w:fldCharType="separate"/>
        </w:r>
        <w:r w:rsidR="00B34C8F">
          <w:rPr>
            <w:noProof/>
            <w:webHidden/>
          </w:rPr>
          <w:t>183</w:t>
        </w:r>
        <w:r>
          <w:rPr>
            <w:noProof/>
            <w:webHidden/>
          </w:rPr>
          <w:fldChar w:fldCharType="end"/>
        </w:r>
      </w:hyperlink>
    </w:p>
    <w:p w14:paraId="2177B1BC" w14:textId="79B9C286" w:rsidR="00DD112B" w:rsidRDefault="00DD112B">
      <w:pPr>
        <w:pStyle w:val="TableofFigures"/>
        <w:tabs>
          <w:tab w:val="right" w:leader="dot" w:pos="8296"/>
        </w:tabs>
        <w:rPr>
          <w:rFonts w:asciiTheme="minorHAnsi" w:eastAsiaTheme="minorEastAsia" w:hAnsiTheme="minorHAnsi"/>
          <w:noProof/>
          <w:sz w:val="22"/>
          <w:lang w:val="en-US"/>
        </w:rPr>
      </w:pPr>
      <w:hyperlink w:anchor="_Toc182386326" w:history="1">
        <w:r w:rsidRPr="00D14A12">
          <w:rPr>
            <w:rStyle w:val="Hyperlink"/>
            <w:rFonts w:cs="Times New Roman"/>
            <w:noProof/>
          </w:rPr>
          <w:t>Table 4.8: Results of Multiple Regression on Chieftaincy Conflicts and Environmental Security in Bimbilla</w:t>
        </w:r>
        <w:r w:rsidRPr="00D14A12">
          <w:rPr>
            <w:rStyle w:val="Hyperlink"/>
            <w:noProof/>
          </w:rPr>
          <w:t>.</w:t>
        </w:r>
        <w:r>
          <w:rPr>
            <w:noProof/>
            <w:webHidden/>
          </w:rPr>
          <w:tab/>
        </w:r>
        <w:r>
          <w:rPr>
            <w:noProof/>
            <w:webHidden/>
          </w:rPr>
          <w:fldChar w:fldCharType="begin"/>
        </w:r>
        <w:r>
          <w:rPr>
            <w:noProof/>
            <w:webHidden/>
          </w:rPr>
          <w:instrText xml:space="preserve"> PAGEREF _Toc182386326 \h </w:instrText>
        </w:r>
        <w:r>
          <w:rPr>
            <w:noProof/>
            <w:webHidden/>
          </w:rPr>
        </w:r>
        <w:r>
          <w:rPr>
            <w:noProof/>
            <w:webHidden/>
          </w:rPr>
          <w:fldChar w:fldCharType="separate"/>
        </w:r>
        <w:r w:rsidR="00B34C8F">
          <w:rPr>
            <w:noProof/>
            <w:webHidden/>
          </w:rPr>
          <w:t>185</w:t>
        </w:r>
        <w:r>
          <w:rPr>
            <w:noProof/>
            <w:webHidden/>
          </w:rPr>
          <w:fldChar w:fldCharType="end"/>
        </w:r>
      </w:hyperlink>
    </w:p>
    <w:p w14:paraId="07EA2D87" w14:textId="530D938E" w:rsidR="00DD112B" w:rsidRDefault="00DD112B">
      <w:pPr>
        <w:pStyle w:val="TableofFigures"/>
        <w:tabs>
          <w:tab w:val="right" w:leader="dot" w:pos="8296"/>
        </w:tabs>
        <w:rPr>
          <w:rFonts w:asciiTheme="minorHAnsi" w:eastAsiaTheme="minorEastAsia" w:hAnsiTheme="minorHAnsi"/>
          <w:noProof/>
          <w:sz w:val="22"/>
          <w:lang w:val="en-US"/>
        </w:rPr>
      </w:pPr>
      <w:hyperlink w:anchor="_Toc182386327" w:history="1">
        <w:r w:rsidRPr="00D14A12">
          <w:rPr>
            <w:rStyle w:val="Hyperlink"/>
            <w:noProof/>
          </w:rPr>
          <w:t>Table 4.9: Perceptions of The Impact of Chieftaincy Conflicts on Personal Security</w:t>
        </w:r>
        <w:r>
          <w:rPr>
            <w:noProof/>
            <w:webHidden/>
          </w:rPr>
          <w:tab/>
        </w:r>
        <w:r>
          <w:rPr>
            <w:noProof/>
            <w:webHidden/>
          </w:rPr>
          <w:fldChar w:fldCharType="begin"/>
        </w:r>
        <w:r>
          <w:rPr>
            <w:noProof/>
            <w:webHidden/>
          </w:rPr>
          <w:instrText xml:space="preserve"> PAGEREF _Toc182386327 \h </w:instrText>
        </w:r>
        <w:r>
          <w:rPr>
            <w:noProof/>
            <w:webHidden/>
          </w:rPr>
        </w:r>
        <w:r>
          <w:rPr>
            <w:noProof/>
            <w:webHidden/>
          </w:rPr>
          <w:fldChar w:fldCharType="separate"/>
        </w:r>
        <w:r w:rsidR="00B34C8F">
          <w:rPr>
            <w:noProof/>
            <w:webHidden/>
          </w:rPr>
          <w:t>189</w:t>
        </w:r>
        <w:r>
          <w:rPr>
            <w:noProof/>
            <w:webHidden/>
          </w:rPr>
          <w:fldChar w:fldCharType="end"/>
        </w:r>
      </w:hyperlink>
    </w:p>
    <w:p w14:paraId="3DE1384F" w14:textId="72CBCA69" w:rsidR="00DD112B" w:rsidRDefault="00DD112B">
      <w:pPr>
        <w:pStyle w:val="TableofFigures"/>
        <w:tabs>
          <w:tab w:val="right" w:leader="dot" w:pos="8296"/>
        </w:tabs>
        <w:rPr>
          <w:rFonts w:asciiTheme="minorHAnsi" w:eastAsiaTheme="minorEastAsia" w:hAnsiTheme="minorHAnsi"/>
          <w:noProof/>
          <w:sz w:val="22"/>
          <w:lang w:val="en-US"/>
        </w:rPr>
      </w:pPr>
      <w:hyperlink w:anchor="_Toc182386328" w:history="1">
        <w:r w:rsidRPr="00D14A12">
          <w:rPr>
            <w:rStyle w:val="Hyperlink"/>
            <w:rFonts w:eastAsia="Calibri"/>
            <w:iCs/>
            <w:noProof/>
          </w:rPr>
          <w:t xml:space="preserve">Table 4.10: Results of Multiple Regression on </w:t>
        </w:r>
        <w:r w:rsidRPr="00D14A12">
          <w:rPr>
            <w:rStyle w:val="Hyperlink"/>
            <w:noProof/>
          </w:rPr>
          <w:t>Chieftaincy Conflicts and Personal Security in Bimbilla.</w:t>
        </w:r>
        <w:r>
          <w:rPr>
            <w:noProof/>
            <w:webHidden/>
          </w:rPr>
          <w:tab/>
        </w:r>
        <w:r>
          <w:rPr>
            <w:noProof/>
            <w:webHidden/>
          </w:rPr>
          <w:fldChar w:fldCharType="begin"/>
        </w:r>
        <w:r>
          <w:rPr>
            <w:noProof/>
            <w:webHidden/>
          </w:rPr>
          <w:instrText xml:space="preserve"> PAGEREF _Toc182386328 \h </w:instrText>
        </w:r>
        <w:r>
          <w:rPr>
            <w:noProof/>
            <w:webHidden/>
          </w:rPr>
        </w:r>
        <w:r>
          <w:rPr>
            <w:noProof/>
            <w:webHidden/>
          </w:rPr>
          <w:fldChar w:fldCharType="separate"/>
        </w:r>
        <w:r w:rsidR="00B34C8F">
          <w:rPr>
            <w:noProof/>
            <w:webHidden/>
          </w:rPr>
          <w:t>191</w:t>
        </w:r>
        <w:r>
          <w:rPr>
            <w:noProof/>
            <w:webHidden/>
          </w:rPr>
          <w:fldChar w:fldCharType="end"/>
        </w:r>
      </w:hyperlink>
    </w:p>
    <w:p w14:paraId="7A167884" w14:textId="043A053F" w:rsidR="00CD3724" w:rsidRPr="00E2630C" w:rsidRDefault="00DD112B" w:rsidP="00CD3724">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14:paraId="4B1A5CDC" w14:textId="77777777"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br w:type="page"/>
      </w:r>
    </w:p>
    <w:p w14:paraId="4D6935F8" w14:textId="77777777" w:rsidR="00CD3724" w:rsidRPr="00E2630C" w:rsidRDefault="00CD3724" w:rsidP="00E2630C">
      <w:pPr>
        <w:pStyle w:val="Heading1"/>
      </w:pPr>
      <w:bookmarkStart w:id="6" w:name="_Toc182386206"/>
      <w:r w:rsidRPr="00E2630C">
        <w:lastRenderedPageBreak/>
        <w:t>LIST OF FIGURES</w:t>
      </w:r>
      <w:bookmarkEnd w:id="6"/>
      <w:r w:rsidRPr="00E2630C">
        <w:t xml:space="preserve"> </w:t>
      </w:r>
    </w:p>
    <w:p w14:paraId="3C7F8A53" w14:textId="00FB57AC" w:rsidR="00DD112B" w:rsidRDefault="00CD3724">
      <w:pPr>
        <w:pStyle w:val="TableofFigures"/>
        <w:tabs>
          <w:tab w:val="right" w:leader="dot" w:pos="8296"/>
        </w:tabs>
        <w:rPr>
          <w:rFonts w:asciiTheme="minorHAnsi" w:eastAsiaTheme="minorEastAsia" w:hAnsiTheme="minorHAnsi"/>
          <w:noProof/>
          <w:sz w:val="22"/>
          <w:lang w:val="en-US"/>
        </w:rPr>
      </w:pPr>
      <w:r w:rsidRPr="00E2630C">
        <w:rPr>
          <w:rFonts w:cs="Times New Roman"/>
          <w:b/>
          <w:color w:val="000000" w:themeColor="text1"/>
          <w:szCs w:val="24"/>
        </w:rPr>
        <w:fldChar w:fldCharType="begin"/>
      </w:r>
      <w:r w:rsidRPr="00E2630C">
        <w:rPr>
          <w:rFonts w:cs="Times New Roman"/>
          <w:b/>
          <w:color w:val="000000" w:themeColor="text1"/>
          <w:szCs w:val="24"/>
        </w:rPr>
        <w:instrText xml:space="preserve"> TOC \h \z \t "Heading 5" \c "Figure" </w:instrText>
      </w:r>
      <w:r w:rsidRPr="00E2630C">
        <w:rPr>
          <w:rFonts w:cs="Times New Roman"/>
          <w:b/>
          <w:color w:val="000000" w:themeColor="text1"/>
          <w:szCs w:val="24"/>
        </w:rPr>
        <w:fldChar w:fldCharType="separate"/>
      </w:r>
      <w:hyperlink w:anchor="_Toc182386329" w:history="1">
        <w:r w:rsidR="00DD112B" w:rsidRPr="0043708C">
          <w:rPr>
            <w:rStyle w:val="Hyperlink"/>
            <w:rFonts w:cs="Times New Roman"/>
            <w:noProof/>
          </w:rPr>
          <w:t>Figure 2.1: Ghana's Chiefs' Hierarchical System (Northern Regional House of Chiefs).</w:t>
        </w:r>
        <w:r w:rsidR="00DD112B">
          <w:rPr>
            <w:noProof/>
            <w:webHidden/>
          </w:rPr>
          <w:tab/>
        </w:r>
        <w:r w:rsidR="00DD112B">
          <w:rPr>
            <w:noProof/>
            <w:webHidden/>
          </w:rPr>
          <w:fldChar w:fldCharType="begin"/>
        </w:r>
        <w:r w:rsidR="00DD112B">
          <w:rPr>
            <w:noProof/>
            <w:webHidden/>
          </w:rPr>
          <w:instrText xml:space="preserve"> PAGEREF _Toc182386329 \h </w:instrText>
        </w:r>
        <w:r w:rsidR="00DD112B">
          <w:rPr>
            <w:noProof/>
            <w:webHidden/>
          </w:rPr>
        </w:r>
        <w:r w:rsidR="00DD112B">
          <w:rPr>
            <w:noProof/>
            <w:webHidden/>
          </w:rPr>
          <w:fldChar w:fldCharType="separate"/>
        </w:r>
        <w:r w:rsidR="00B34C8F">
          <w:rPr>
            <w:noProof/>
            <w:webHidden/>
          </w:rPr>
          <w:t>30</w:t>
        </w:r>
        <w:r w:rsidR="00DD112B">
          <w:rPr>
            <w:noProof/>
            <w:webHidden/>
          </w:rPr>
          <w:fldChar w:fldCharType="end"/>
        </w:r>
      </w:hyperlink>
    </w:p>
    <w:p w14:paraId="03EA77D6" w14:textId="6ABF9E08" w:rsidR="00DD112B" w:rsidRDefault="00DD112B">
      <w:pPr>
        <w:pStyle w:val="TableofFigures"/>
        <w:tabs>
          <w:tab w:val="right" w:leader="dot" w:pos="8296"/>
        </w:tabs>
        <w:rPr>
          <w:rFonts w:asciiTheme="minorHAnsi" w:eastAsiaTheme="minorEastAsia" w:hAnsiTheme="minorHAnsi"/>
          <w:noProof/>
          <w:sz w:val="22"/>
          <w:lang w:val="en-US"/>
        </w:rPr>
      </w:pPr>
      <w:hyperlink w:anchor="_Toc182386330" w:history="1">
        <w:r w:rsidRPr="0043708C">
          <w:rPr>
            <w:rStyle w:val="Hyperlink"/>
            <w:noProof/>
          </w:rPr>
          <w:t>Figure 2.2: Conceptual framework on chieftaincy conflicts and their implication on human security</w:t>
        </w:r>
        <w:r>
          <w:rPr>
            <w:noProof/>
            <w:webHidden/>
          </w:rPr>
          <w:tab/>
        </w:r>
        <w:r>
          <w:rPr>
            <w:noProof/>
            <w:webHidden/>
          </w:rPr>
          <w:fldChar w:fldCharType="begin"/>
        </w:r>
        <w:r>
          <w:rPr>
            <w:noProof/>
            <w:webHidden/>
          </w:rPr>
          <w:instrText xml:space="preserve"> PAGEREF _Toc182386330 \h </w:instrText>
        </w:r>
        <w:r>
          <w:rPr>
            <w:noProof/>
            <w:webHidden/>
          </w:rPr>
        </w:r>
        <w:r>
          <w:rPr>
            <w:noProof/>
            <w:webHidden/>
          </w:rPr>
          <w:fldChar w:fldCharType="separate"/>
        </w:r>
        <w:r w:rsidR="00B34C8F">
          <w:rPr>
            <w:noProof/>
            <w:webHidden/>
          </w:rPr>
          <w:t>133</w:t>
        </w:r>
        <w:r>
          <w:rPr>
            <w:noProof/>
            <w:webHidden/>
          </w:rPr>
          <w:fldChar w:fldCharType="end"/>
        </w:r>
      </w:hyperlink>
    </w:p>
    <w:p w14:paraId="46343352" w14:textId="55040384" w:rsidR="00CD3724" w:rsidRPr="00E2630C" w:rsidRDefault="00CD3724" w:rsidP="00CD3724">
      <w:pPr>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fldChar w:fldCharType="end"/>
      </w:r>
    </w:p>
    <w:p w14:paraId="5BA1B185" w14:textId="77777777" w:rsidR="00CD3724" w:rsidRPr="00E2630C" w:rsidRDefault="00CD3724" w:rsidP="00CD3724">
      <w:pPr>
        <w:jc w:val="center"/>
        <w:rPr>
          <w:rFonts w:ascii="Times New Roman" w:hAnsi="Times New Roman" w:cs="Times New Roman"/>
          <w:b/>
          <w:color w:val="000000" w:themeColor="text1"/>
          <w:sz w:val="24"/>
          <w:szCs w:val="24"/>
        </w:rPr>
      </w:pPr>
    </w:p>
    <w:p w14:paraId="65242843" w14:textId="77777777" w:rsidR="00CD3724" w:rsidRPr="00E2630C" w:rsidRDefault="00CD3724" w:rsidP="00CD3724">
      <w:pPr>
        <w:jc w:val="center"/>
        <w:rPr>
          <w:rFonts w:ascii="Times New Roman" w:hAnsi="Times New Roman" w:cs="Times New Roman"/>
          <w:b/>
          <w:color w:val="000000" w:themeColor="text1"/>
          <w:sz w:val="24"/>
          <w:szCs w:val="24"/>
        </w:rPr>
      </w:pPr>
    </w:p>
    <w:p w14:paraId="3729703A" w14:textId="77777777" w:rsidR="00CD3724" w:rsidRPr="00E2630C" w:rsidRDefault="00CD3724" w:rsidP="00CD3724">
      <w:pPr>
        <w:jc w:val="center"/>
        <w:rPr>
          <w:rFonts w:ascii="Times New Roman" w:hAnsi="Times New Roman" w:cs="Times New Roman"/>
          <w:b/>
          <w:color w:val="000000" w:themeColor="text1"/>
          <w:sz w:val="24"/>
          <w:szCs w:val="24"/>
        </w:rPr>
      </w:pPr>
    </w:p>
    <w:p w14:paraId="4BC32B66" w14:textId="77777777" w:rsidR="00CD3724" w:rsidRPr="00E2630C" w:rsidRDefault="00CD3724" w:rsidP="00CD3724">
      <w:pPr>
        <w:jc w:val="center"/>
        <w:rPr>
          <w:rFonts w:ascii="Times New Roman" w:hAnsi="Times New Roman" w:cs="Times New Roman"/>
          <w:b/>
          <w:color w:val="000000" w:themeColor="text1"/>
          <w:sz w:val="24"/>
          <w:szCs w:val="24"/>
        </w:rPr>
      </w:pPr>
    </w:p>
    <w:p w14:paraId="1964C917" w14:textId="77777777" w:rsidR="00CD3724" w:rsidRPr="00E2630C" w:rsidRDefault="00CD3724" w:rsidP="00CD3724">
      <w:pPr>
        <w:jc w:val="center"/>
        <w:rPr>
          <w:rFonts w:ascii="Times New Roman" w:hAnsi="Times New Roman" w:cs="Times New Roman"/>
          <w:b/>
          <w:color w:val="000000" w:themeColor="text1"/>
          <w:sz w:val="24"/>
          <w:szCs w:val="24"/>
        </w:rPr>
      </w:pPr>
    </w:p>
    <w:p w14:paraId="4A833373" w14:textId="77777777" w:rsidR="00CD3724" w:rsidRPr="00E2630C" w:rsidRDefault="00CD3724" w:rsidP="00CD3724">
      <w:pPr>
        <w:jc w:val="center"/>
        <w:rPr>
          <w:rFonts w:ascii="Times New Roman" w:hAnsi="Times New Roman" w:cs="Times New Roman"/>
          <w:b/>
          <w:color w:val="000000" w:themeColor="text1"/>
          <w:sz w:val="24"/>
          <w:szCs w:val="24"/>
        </w:rPr>
      </w:pPr>
    </w:p>
    <w:p w14:paraId="2659902E" w14:textId="77777777" w:rsidR="00CD3724" w:rsidRPr="00E2630C" w:rsidRDefault="00CD3724" w:rsidP="00CD3724">
      <w:pPr>
        <w:jc w:val="center"/>
        <w:rPr>
          <w:rFonts w:ascii="Times New Roman" w:hAnsi="Times New Roman" w:cs="Times New Roman"/>
          <w:b/>
          <w:color w:val="000000" w:themeColor="text1"/>
          <w:sz w:val="24"/>
          <w:szCs w:val="24"/>
        </w:rPr>
      </w:pPr>
    </w:p>
    <w:p w14:paraId="54FD008A" w14:textId="77777777" w:rsidR="00CD3724" w:rsidRPr="00E2630C" w:rsidRDefault="00CD3724" w:rsidP="00CD3724">
      <w:pPr>
        <w:jc w:val="center"/>
        <w:rPr>
          <w:rFonts w:ascii="Times New Roman" w:hAnsi="Times New Roman" w:cs="Times New Roman"/>
          <w:b/>
          <w:color w:val="000000" w:themeColor="text1"/>
          <w:sz w:val="24"/>
          <w:szCs w:val="24"/>
        </w:rPr>
      </w:pPr>
    </w:p>
    <w:p w14:paraId="090A8115" w14:textId="77777777" w:rsidR="00CD3724" w:rsidRPr="00E2630C" w:rsidRDefault="00CD3724" w:rsidP="00CD3724">
      <w:pPr>
        <w:jc w:val="center"/>
        <w:rPr>
          <w:rFonts w:ascii="Times New Roman" w:hAnsi="Times New Roman" w:cs="Times New Roman"/>
          <w:b/>
          <w:color w:val="000000" w:themeColor="text1"/>
          <w:sz w:val="24"/>
          <w:szCs w:val="24"/>
        </w:rPr>
      </w:pPr>
    </w:p>
    <w:p w14:paraId="7306B906" w14:textId="77777777" w:rsidR="00CD3724" w:rsidRPr="00E2630C" w:rsidRDefault="00CD3724" w:rsidP="00CD3724">
      <w:pPr>
        <w:jc w:val="center"/>
        <w:rPr>
          <w:rFonts w:ascii="Times New Roman" w:hAnsi="Times New Roman" w:cs="Times New Roman"/>
          <w:b/>
          <w:color w:val="000000" w:themeColor="text1"/>
          <w:sz w:val="24"/>
          <w:szCs w:val="24"/>
        </w:rPr>
      </w:pPr>
    </w:p>
    <w:p w14:paraId="63F5166F" w14:textId="77777777" w:rsidR="00CD3724" w:rsidRPr="00E2630C" w:rsidRDefault="00CD3724" w:rsidP="00CD3724">
      <w:pPr>
        <w:jc w:val="center"/>
        <w:rPr>
          <w:rFonts w:ascii="Times New Roman" w:hAnsi="Times New Roman" w:cs="Times New Roman"/>
          <w:b/>
          <w:color w:val="000000" w:themeColor="text1"/>
          <w:sz w:val="24"/>
          <w:szCs w:val="24"/>
        </w:rPr>
      </w:pPr>
    </w:p>
    <w:p w14:paraId="4C6A98E2" w14:textId="77777777" w:rsidR="00CD3724" w:rsidRPr="00E2630C" w:rsidRDefault="00CD3724" w:rsidP="00CD3724">
      <w:pPr>
        <w:jc w:val="center"/>
        <w:rPr>
          <w:rFonts w:ascii="Times New Roman" w:hAnsi="Times New Roman" w:cs="Times New Roman"/>
          <w:b/>
          <w:color w:val="000000" w:themeColor="text1"/>
          <w:sz w:val="24"/>
          <w:szCs w:val="24"/>
        </w:rPr>
      </w:pPr>
    </w:p>
    <w:p w14:paraId="3077F9E8" w14:textId="77777777" w:rsidR="00CD3724" w:rsidRPr="00E2630C" w:rsidRDefault="00CD3724" w:rsidP="00CD3724">
      <w:pPr>
        <w:jc w:val="center"/>
        <w:rPr>
          <w:rFonts w:ascii="Times New Roman" w:hAnsi="Times New Roman" w:cs="Times New Roman"/>
          <w:b/>
          <w:color w:val="000000" w:themeColor="text1"/>
          <w:sz w:val="24"/>
          <w:szCs w:val="24"/>
        </w:rPr>
      </w:pPr>
    </w:p>
    <w:p w14:paraId="05BB1107" w14:textId="77777777" w:rsidR="00CD3724" w:rsidRPr="00E2630C" w:rsidRDefault="00CD3724" w:rsidP="00CD3724">
      <w:pPr>
        <w:jc w:val="center"/>
        <w:rPr>
          <w:rFonts w:ascii="Times New Roman" w:hAnsi="Times New Roman" w:cs="Times New Roman"/>
          <w:b/>
          <w:color w:val="000000" w:themeColor="text1"/>
          <w:sz w:val="24"/>
          <w:szCs w:val="24"/>
        </w:rPr>
      </w:pPr>
    </w:p>
    <w:p w14:paraId="7488E18D" w14:textId="77777777" w:rsidR="00CD3724" w:rsidRPr="00E2630C" w:rsidRDefault="00CD3724" w:rsidP="00CD3724">
      <w:pPr>
        <w:jc w:val="center"/>
        <w:rPr>
          <w:rFonts w:ascii="Times New Roman" w:hAnsi="Times New Roman" w:cs="Times New Roman"/>
          <w:b/>
          <w:color w:val="000000" w:themeColor="text1"/>
          <w:sz w:val="24"/>
          <w:szCs w:val="24"/>
        </w:rPr>
      </w:pPr>
    </w:p>
    <w:p w14:paraId="4241DE46" w14:textId="77777777" w:rsidR="00CD3724" w:rsidRPr="00E2630C" w:rsidRDefault="00CD3724" w:rsidP="00CD3724">
      <w:pPr>
        <w:jc w:val="center"/>
        <w:rPr>
          <w:rFonts w:ascii="Times New Roman" w:hAnsi="Times New Roman" w:cs="Times New Roman"/>
          <w:b/>
          <w:color w:val="000000" w:themeColor="text1"/>
          <w:sz w:val="24"/>
          <w:szCs w:val="24"/>
        </w:rPr>
      </w:pPr>
    </w:p>
    <w:p w14:paraId="73F90D9A" w14:textId="77777777" w:rsidR="00CD3724" w:rsidRPr="00E2630C" w:rsidRDefault="00CD3724" w:rsidP="00CD3724">
      <w:pPr>
        <w:jc w:val="center"/>
        <w:rPr>
          <w:rFonts w:ascii="Times New Roman" w:hAnsi="Times New Roman" w:cs="Times New Roman"/>
          <w:b/>
          <w:color w:val="000000" w:themeColor="text1"/>
          <w:sz w:val="24"/>
          <w:szCs w:val="24"/>
        </w:rPr>
      </w:pPr>
    </w:p>
    <w:p w14:paraId="348BB58C" w14:textId="77777777" w:rsidR="00CD3724" w:rsidRPr="00E2630C" w:rsidRDefault="00CD3724" w:rsidP="00CD3724">
      <w:pPr>
        <w:jc w:val="center"/>
        <w:rPr>
          <w:rFonts w:ascii="Times New Roman" w:hAnsi="Times New Roman" w:cs="Times New Roman"/>
          <w:b/>
          <w:color w:val="000000" w:themeColor="text1"/>
          <w:sz w:val="24"/>
          <w:szCs w:val="24"/>
        </w:rPr>
      </w:pPr>
    </w:p>
    <w:p w14:paraId="6EC08536" w14:textId="77777777" w:rsidR="00CD3724" w:rsidRPr="00E2630C" w:rsidRDefault="00CD3724" w:rsidP="00CD3724">
      <w:pPr>
        <w:jc w:val="center"/>
        <w:rPr>
          <w:rFonts w:ascii="Times New Roman" w:hAnsi="Times New Roman" w:cs="Times New Roman"/>
          <w:b/>
          <w:color w:val="000000" w:themeColor="text1"/>
          <w:sz w:val="24"/>
          <w:szCs w:val="24"/>
        </w:rPr>
      </w:pPr>
    </w:p>
    <w:p w14:paraId="6AC36226" w14:textId="77777777" w:rsidR="00CD3724" w:rsidRPr="00E2630C" w:rsidRDefault="00CD3724" w:rsidP="00CD3724">
      <w:pPr>
        <w:jc w:val="center"/>
        <w:rPr>
          <w:rFonts w:ascii="Times New Roman" w:hAnsi="Times New Roman" w:cs="Times New Roman"/>
          <w:b/>
          <w:color w:val="000000" w:themeColor="text1"/>
          <w:sz w:val="24"/>
          <w:szCs w:val="24"/>
        </w:rPr>
      </w:pPr>
    </w:p>
    <w:p w14:paraId="64993D9E" w14:textId="77777777" w:rsidR="00CD3724" w:rsidRPr="00E2630C" w:rsidRDefault="00CD3724" w:rsidP="00CD3724">
      <w:pPr>
        <w:rPr>
          <w:rFonts w:ascii="Times New Roman" w:hAnsi="Times New Roman" w:cs="Times New Roman"/>
          <w:b/>
          <w:color w:val="000000" w:themeColor="text1"/>
          <w:sz w:val="24"/>
          <w:szCs w:val="24"/>
        </w:rPr>
      </w:pPr>
    </w:p>
    <w:p w14:paraId="65DDD33A" w14:textId="77777777" w:rsidR="00CD3724" w:rsidRPr="00E2630C" w:rsidRDefault="00CD3724" w:rsidP="00CD3724">
      <w:pPr>
        <w:rPr>
          <w:rFonts w:ascii="Times New Roman" w:hAnsi="Times New Roman" w:cs="Times New Roman"/>
          <w:b/>
          <w:color w:val="000000" w:themeColor="text1"/>
          <w:sz w:val="24"/>
          <w:szCs w:val="24"/>
        </w:rPr>
      </w:pPr>
    </w:p>
    <w:p w14:paraId="09FD4971" w14:textId="77777777" w:rsidR="00CD3724" w:rsidRPr="00E2630C" w:rsidRDefault="00CD3724" w:rsidP="00E2630C">
      <w:pPr>
        <w:pStyle w:val="Heading1"/>
      </w:pPr>
      <w:bookmarkStart w:id="7" w:name="_Toc182386207"/>
      <w:r w:rsidRPr="00E2630C">
        <w:lastRenderedPageBreak/>
        <w:t>LIST OF ABBREVIATIONS/ACRONYMS</w:t>
      </w:r>
      <w:bookmarkEnd w:id="7"/>
      <w:r w:rsidRPr="00E2630C">
        <w:t xml:space="preserve"> </w:t>
      </w:r>
    </w:p>
    <w:p w14:paraId="2DA58168"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AGI</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Adjusted Gross Income</w:t>
      </w:r>
    </w:p>
    <w:p w14:paraId="41623ACA"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ARPS </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Aborigine Rights Protection Society</w:t>
      </w:r>
    </w:p>
    <w:p w14:paraId="70762036"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BTA</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Bimbilla Traditional Area </w:t>
      </w:r>
    </w:p>
    <w:p w14:paraId="7EBEA6BB"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CIKOD </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Centre for Indigenous Knowledge and Organizational </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Development </w:t>
      </w:r>
    </w:p>
    <w:p w14:paraId="730F6285"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CPP</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The Convention Peoples Party </w:t>
      </w:r>
    </w:p>
    <w:p w14:paraId="30437BA2"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DA</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Development Authority</w:t>
      </w:r>
    </w:p>
    <w:p w14:paraId="27EABE4F"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DCE</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District Chief Executive </w:t>
      </w:r>
    </w:p>
    <w:p w14:paraId="7393A8F9"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ECA</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Economic Commission for Africa </w:t>
      </w:r>
    </w:p>
    <w:p w14:paraId="02C65537"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FAO </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Food and agriculture Organisation </w:t>
      </w:r>
    </w:p>
    <w:p w14:paraId="0DBFE318"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FGD</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Focus Group Discussion</w:t>
      </w:r>
    </w:p>
    <w:p w14:paraId="1577C778" w14:textId="77777777" w:rsidR="00E2630C" w:rsidRPr="00E2630C" w:rsidRDefault="00E2630C" w:rsidP="00CD3724">
      <w:pPr>
        <w:pStyle w:val="NoSpacing"/>
        <w:spacing w:line="480" w:lineRule="auto"/>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GDP</w:t>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t xml:space="preserve">Gross Domestic Product </w:t>
      </w:r>
    </w:p>
    <w:p w14:paraId="2F2C1678"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GSS</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Ghana Statistical Service </w:t>
      </w:r>
    </w:p>
    <w:p w14:paraId="4966C532"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HDI</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Human Development Index</w:t>
      </w:r>
    </w:p>
    <w:p w14:paraId="06A7F392" w14:textId="77777777" w:rsidR="00E2630C" w:rsidRPr="00E2630C" w:rsidRDefault="00E2630C" w:rsidP="00CD3724">
      <w:pPr>
        <w:pStyle w:val="NoSpacing"/>
        <w:spacing w:line="480" w:lineRule="auto"/>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ICC</w:t>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t xml:space="preserve">International Criminal Court </w:t>
      </w:r>
    </w:p>
    <w:p w14:paraId="7437EACC" w14:textId="77777777" w:rsidR="00E2630C" w:rsidRPr="00E2630C" w:rsidRDefault="00E2630C" w:rsidP="00CD3724">
      <w:pPr>
        <w:pStyle w:val="NoSpacing"/>
        <w:spacing w:line="480" w:lineRule="auto"/>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IED</w:t>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t>Improvised Explosive Devices</w:t>
      </w:r>
    </w:p>
    <w:p w14:paraId="20378E3F"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IFAD </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International Fund for Agricultural Development</w:t>
      </w:r>
    </w:p>
    <w:p w14:paraId="0E58BD5D"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IGF </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Internally generated funds </w:t>
      </w:r>
    </w:p>
    <w:p w14:paraId="7D654E48" w14:textId="77777777" w:rsidR="00E2630C" w:rsidRPr="00E2630C" w:rsidRDefault="00E2630C" w:rsidP="00CD3724">
      <w:pPr>
        <w:pStyle w:val="NoSpacing"/>
        <w:spacing w:line="480" w:lineRule="auto"/>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ISIS</w:t>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t>Islamic State of Iraq and Syria</w:t>
      </w:r>
    </w:p>
    <w:p w14:paraId="32791485"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MMDA</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Metropolitan, Municipal, and District Assemblies </w:t>
      </w:r>
    </w:p>
    <w:p w14:paraId="6A150F9A"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MoFa</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Ministry of Food and Agriculture</w:t>
      </w:r>
    </w:p>
    <w:p w14:paraId="45046641"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NAO</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Native Administration Ordinance  </w:t>
      </w:r>
    </w:p>
    <w:p w14:paraId="54D3A740" w14:textId="77777777" w:rsidR="00E2630C" w:rsidRPr="00E2630C" w:rsidRDefault="00E2630C" w:rsidP="00CD3724">
      <w:pPr>
        <w:pStyle w:val="NoSpacing"/>
        <w:spacing w:line="480" w:lineRule="auto"/>
        <w:rPr>
          <w:rFonts w:ascii="Times New Roman" w:eastAsiaTheme="minorEastAsia" w:hAnsi="Times New Roman" w:cs="Times New Roman"/>
          <w:color w:val="000000" w:themeColor="text1"/>
          <w:kern w:val="24"/>
          <w:sz w:val="24"/>
          <w:szCs w:val="24"/>
          <w:lang w:eastAsia="en-GB"/>
        </w:rPr>
      </w:pPr>
      <w:r w:rsidRPr="00E2630C">
        <w:rPr>
          <w:rFonts w:ascii="Times New Roman" w:eastAsiaTheme="minorEastAsia" w:hAnsi="Times New Roman" w:cs="Times New Roman"/>
          <w:color w:val="000000" w:themeColor="text1"/>
          <w:kern w:val="24"/>
          <w:sz w:val="24"/>
          <w:szCs w:val="24"/>
          <w:lang w:eastAsia="en-GB"/>
        </w:rPr>
        <w:t>NGO</w:t>
      </w:r>
      <w:r w:rsidRPr="00E2630C">
        <w:rPr>
          <w:rFonts w:ascii="Times New Roman" w:eastAsiaTheme="minorEastAsia" w:hAnsi="Times New Roman" w:cs="Times New Roman"/>
          <w:color w:val="000000" w:themeColor="text1"/>
          <w:kern w:val="24"/>
          <w:sz w:val="24"/>
          <w:szCs w:val="24"/>
          <w:lang w:eastAsia="en-GB"/>
        </w:rPr>
        <w:tab/>
      </w:r>
      <w:r w:rsidRPr="00E2630C">
        <w:rPr>
          <w:rFonts w:ascii="Times New Roman" w:eastAsiaTheme="minorEastAsia" w:hAnsi="Times New Roman" w:cs="Times New Roman"/>
          <w:color w:val="000000" w:themeColor="text1"/>
          <w:kern w:val="24"/>
          <w:sz w:val="24"/>
          <w:szCs w:val="24"/>
          <w:lang w:eastAsia="en-GB"/>
        </w:rPr>
        <w:tab/>
      </w:r>
      <w:r w:rsidRPr="00E2630C">
        <w:rPr>
          <w:rFonts w:ascii="Times New Roman" w:eastAsiaTheme="minorEastAsia" w:hAnsi="Times New Roman" w:cs="Times New Roman"/>
          <w:color w:val="000000" w:themeColor="text1"/>
          <w:kern w:val="24"/>
          <w:sz w:val="24"/>
          <w:szCs w:val="24"/>
          <w:lang w:eastAsia="en-GB"/>
        </w:rPr>
        <w:tab/>
        <w:t>Non-Governmental Organization</w:t>
      </w:r>
    </w:p>
    <w:p w14:paraId="56C421B5"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NLC</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National Liberation Council</w:t>
      </w:r>
    </w:p>
    <w:p w14:paraId="3D4E0654"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NNTC</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Nanumba-North Traditional Council </w:t>
      </w:r>
    </w:p>
    <w:p w14:paraId="75559BBB"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NRC</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National Redemption Council </w:t>
      </w:r>
    </w:p>
    <w:p w14:paraId="70443F41"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PNDC</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Provincial National Defense Council </w:t>
      </w:r>
    </w:p>
    <w:p w14:paraId="053B973B"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PNDCL</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People National Democratic Congress Law</w:t>
      </w:r>
    </w:p>
    <w:p w14:paraId="5A25543A"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SHEP</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Self-help Rural Electrification Project</w:t>
      </w:r>
    </w:p>
    <w:p w14:paraId="651D0BD6" w14:textId="77777777" w:rsidR="00E2630C" w:rsidRPr="00E2630C" w:rsidRDefault="00E2630C" w:rsidP="00CD3724">
      <w:pPr>
        <w:pStyle w:val="NoSpacing"/>
        <w:spacing w:line="480" w:lineRule="auto"/>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SIPRI</w:t>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t xml:space="preserve">Stockholm International Peace study Institute </w:t>
      </w:r>
    </w:p>
    <w:p w14:paraId="265BF79F"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SMC</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Supreme Military Council </w:t>
      </w:r>
    </w:p>
    <w:p w14:paraId="3137514D"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TA</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Traditional Authority </w:t>
      </w:r>
    </w:p>
    <w:p w14:paraId="3236B5D7" w14:textId="77777777" w:rsidR="00E2630C" w:rsidRPr="00E2630C" w:rsidRDefault="00E2630C" w:rsidP="00CD3724">
      <w:pPr>
        <w:pStyle w:val="NoSpacing"/>
        <w:spacing w:line="480" w:lineRule="auto"/>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UCDP</w:t>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t>Uppsala Conflict Data Progra</w:t>
      </w:r>
    </w:p>
    <w:p w14:paraId="77EABBCA" w14:textId="77777777" w:rsidR="00E2630C" w:rsidRPr="00E2630C" w:rsidRDefault="00E2630C" w:rsidP="00CD3724">
      <w:pPr>
        <w:pStyle w:val="NoSpacing"/>
        <w:spacing w:line="480" w:lineRule="auto"/>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UCDP</w:t>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t xml:space="preserve">Uppsala Conflict Data Programme </w:t>
      </w:r>
    </w:p>
    <w:p w14:paraId="0333278D"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UGCC</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United Gold Coast Convention</w:t>
      </w:r>
    </w:p>
    <w:p w14:paraId="5C8106BE"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UN </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United Nation</w:t>
      </w:r>
    </w:p>
    <w:p w14:paraId="5CEC7B8B" w14:textId="77777777" w:rsidR="00E2630C" w:rsidRPr="00E2630C" w:rsidRDefault="00E2630C" w:rsidP="00CD3724">
      <w:pPr>
        <w:pStyle w:val="NoSpacing"/>
        <w:spacing w:line="480" w:lineRule="auto"/>
        <w:rPr>
          <w:rFonts w:ascii="Times New Roman" w:hAnsi="Times New Roman" w:cs="Times New Roman"/>
          <w:iCs/>
          <w:color w:val="000000" w:themeColor="text1"/>
          <w:sz w:val="24"/>
          <w:szCs w:val="24"/>
        </w:rPr>
      </w:pPr>
      <w:r w:rsidRPr="00E2630C">
        <w:rPr>
          <w:rFonts w:ascii="Times New Roman" w:hAnsi="Times New Roman" w:cs="Times New Roman"/>
          <w:iCs/>
          <w:color w:val="000000" w:themeColor="text1"/>
          <w:sz w:val="24"/>
          <w:szCs w:val="24"/>
        </w:rPr>
        <w:t xml:space="preserve">UNDP </w:t>
      </w:r>
      <w:r w:rsidRPr="00E2630C">
        <w:rPr>
          <w:rFonts w:ascii="Times New Roman" w:hAnsi="Times New Roman" w:cs="Times New Roman"/>
          <w:iCs/>
          <w:color w:val="000000" w:themeColor="text1"/>
          <w:sz w:val="24"/>
          <w:szCs w:val="24"/>
        </w:rPr>
        <w:tab/>
      </w:r>
      <w:r w:rsidRPr="00E2630C">
        <w:rPr>
          <w:rFonts w:ascii="Times New Roman" w:hAnsi="Times New Roman" w:cs="Times New Roman"/>
          <w:iCs/>
          <w:color w:val="000000" w:themeColor="text1"/>
          <w:sz w:val="24"/>
          <w:szCs w:val="24"/>
        </w:rPr>
        <w:tab/>
      </w:r>
      <w:r w:rsidRPr="00E2630C">
        <w:rPr>
          <w:rFonts w:ascii="Times New Roman" w:hAnsi="Times New Roman" w:cs="Times New Roman"/>
          <w:iCs/>
          <w:color w:val="000000" w:themeColor="text1"/>
          <w:sz w:val="24"/>
          <w:szCs w:val="24"/>
        </w:rPr>
        <w:tab/>
        <w:t xml:space="preserve">United Nation Development Program </w:t>
      </w:r>
    </w:p>
    <w:p w14:paraId="774C7024"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UNDP</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United Nations Development Program </w:t>
      </w:r>
    </w:p>
    <w:p w14:paraId="4A76FD74"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UNEP</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United Nations Environment Program</w:t>
      </w:r>
    </w:p>
    <w:p w14:paraId="51E62607" w14:textId="77777777" w:rsidR="00E2630C" w:rsidRPr="00E2630C" w:rsidRDefault="00E2630C" w:rsidP="00CD3724">
      <w:pPr>
        <w:pStyle w:val="NoSpacing"/>
        <w:spacing w:line="480" w:lineRule="auto"/>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UNHCR</w:t>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t xml:space="preserve">United Nation High Commissioner for Refugees </w:t>
      </w:r>
    </w:p>
    <w:p w14:paraId="054DC10C"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UNICEF </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United Nation International Children’s Emergency Fund</w:t>
      </w:r>
    </w:p>
    <w:p w14:paraId="12F3AF6C"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UNIFTPA</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United Nations Interagency Framework Team for Preventive </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 xml:space="preserve">Action </w:t>
      </w:r>
    </w:p>
    <w:p w14:paraId="299D6F58" w14:textId="77777777" w:rsidR="00E2630C" w:rsidRPr="00E2630C" w:rsidRDefault="00E2630C" w:rsidP="00CD3724">
      <w:pPr>
        <w:pStyle w:val="NoSpacing"/>
        <w:spacing w:line="48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WFP </w:t>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t>World Food Programme</w:t>
      </w:r>
    </w:p>
    <w:p w14:paraId="17C543C9" w14:textId="77777777" w:rsidR="00E2630C" w:rsidRPr="00E2630C" w:rsidRDefault="00E2630C" w:rsidP="00CD3724">
      <w:pPr>
        <w:pStyle w:val="NoSpacing"/>
        <w:spacing w:line="480" w:lineRule="auto"/>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WHO</w:t>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r>
      <w:r w:rsidRPr="00E2630C">
        <w:rPr>
          <w:rFonts w:ascii="Times New Roman" w:eastAsia="Times New Roman" w:hAnsi="Times New Roman" w:cs="Times New Roman"/>
          <w:color w:val="000000" w:themeColor="text1"/>
          <w:sz w:val="24"/>
          <w:szCs w:val="24"/>
          <w:lang w:eastAsia="en-GB"/>
        </w:rPr>
        <w:tab/>
        <w:t xml:space="preserve">World Health Organisation </w:t>
      </w:r>
    </w:p>
    <w:p w14:paraId="53E9DD46" w14:textId="77777777" w:rsidR="00CD3724" w:rsidRPr="00E2630C" w:rsidRDefault="00CD3724" w:rsidP="00CD3724">
      <w:pPr>
        <w:pStyle w:val="NoSpacing"/>
        <w:spacing w:line="480" w:lineRule="auto"/>
        <w:rPr>
          <w:rFonts w:ascii="Times New Roman" w:eastAsia="Times New Roman" w:hAnsi="Times New Roman" w:cs="Times New Roman"/>
          <w:color w:val="000000" w:themeColor="text1"/>
          <w:sz w:val="24"/>
          <w:szCs w:val="24"/>
          <w:lang w:eastAsia="en-GB"/>
        </w:rPr>
      </w:pPr>
    </w:p>
    <w:p w14:paraId="1EE216EC" w14:textId="77777777" w:rsidR="00CD3724" w:rsidRDefault="00CD3724" w:rsidP="00E2630C">
      <w:pPr>
        <w:pStyle w:val="Heading1"/>
      </w:pPr>
    </w:p>
    <w:p w14:paraId="34535F73" w14:textId="77777777" w:rsidR="00E2630C" w:rsidRDefault="00E2630C" w:rsidP="00E2630C"/>
    <w:p w14:paraId="6FF994DF" w14:textId="77777777" w:rsidR="00E2630C" w:rsidRDefault="00E2630C" w:rsidP="00E2630C"/>
    <w:p w14:paraId="4DDAA3DD" w14:textId="7D8199E3" w:rsidR="00E2630C" w:rsidRPr="00E2630C" w:rsidRDefault="00E2630C" w:rsidP="00E2630C">
      <w:pPr>
        <w:sectPr w:rsidR="00E2630C" w:rsidRPr="00E2630C" w:rsidSect="00E2630C">
          <w:footerReference w:type="default" r:id="rId9"/>
          <w:type w:val="continuous"/>
          <w:pgSz w:w="11906" w:h="16838" w:code="9"/>
          <w:pgMar w:top="1440" w:right="1440" w:bottom="1440" w:left="2160" w:header="706" w:footer="706" w:gutter="0"/>
          <w:pgNumType w:fmt="lowerRoman" w:start="1"/>
          <w:cols w:space="708"/>
          <w:docGrid w:linePitch="360"/>
        </w:sectPr>
      </w:pPr>
    </w:p>
    <w:p w14:paraId="57CD4288" w14:textId="77777777" w:rsidR="00CD3724" w:rsidRPr="00E2630C" w:rsidRDefault="00CD3724" w:rsidP="00E2630C">
      <w:pPr>
        <w:pStyle w:val="Heading1"/>
      </w:pPr>
      <w:bookmarkStart w:id="8" w:name="_Toc182386208"/>
      <w:r w:rsidRPr="00E2630C">
        <w:lastRenderedPageBreak/>
        <w:t>CHAPTER ONE</w:t>
      </w:r>
      <w:bookmarkEnd w:id="8"/>
    </w:p>
    <w:p w14:paraId="787E2ECC" w14:textId="77777777" w:rsidR="00CD3724" w:rsidRPr="00E2630C" w:rsidRDefault="00CD3724" w:rsidP="00E2630C">
      <w:pPr>
        <w:pStyle w:val="Heading1"/>
      </w:pPr>
      <w:bookmarkStart w:id="9" w:name="_Toc182386209"/>
      <w:r w:rsidRPr="00E2630C">
        <w:t>INTRODUCTION</w:t>
      </w:r>
      <w:bookmarkEnd w:id="9"/>
    </w:p>
    <w:p w14:paraId="1BD64EAF" w14:textId="77777777" w:rsidR="00CD3724" w:rsidRPr="00E2630C" w:rsidRDefault="00CD3724" w:rsidP="00CD3724">
      <w:pPr>
        <w:pStyle w:val="NoSpacing"/>
        <w:rPr>
          <w:rFonts w:ascii="Times New Roman" w:hAnsi="Times New Roman" w:cs="Times New Roman"/>
          <w:color w:val="000000" w:themeColor="text1"/>
          <w:sz w:val="24"/>
          <w:szCs w:val="24"/>
        </w:rPr>
      </w:pPr>
    </w:p>
    <w:p w14:paraId="07954BBF" w14:textId="77777777" w:rsidR="00CD3724" w:rsidRPr="00E2630C" w:rsidRDefault="00CD3724" w:rsidP="00CD3724">
      <w:pPr>
        <w:pStyle w:val="Heading2"/>
      </w:pPr>
      <w:bookmarkStart w:id="10" w:name="_Toc182386210"/>
      <w:r w:rsidRPr="00E2630C">
        <w:t>1.1 Background to the Study</w:t>
      </w:r>
      <w:bookmarkEnd w:id="10"/>
    </w:p>
    <w:p w14:paraId="05878C66" w14:textId="11AD9CAF"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Chieftaincy is as old as humanity and the first form of governance among African states. Chieftaincy is not a human invention; it is ingrained in the social fabric of the people and is not readily eradicated (Dankwa et al., 2021). Chieftaincy is a disciplined administrative system accepted by most people with its myths and narratives of origin (Owusu-Mensah, 2014). It is socially constructed and referred to as an organized centralized authority in African traditional society with the chief as the symbolic head. As a public relations secretariat that serves as a conduit between the community and other communities as well as the federal government [unitary government], the chieftaincy institution is recognized </w:t>
      </w:r>
      <w:r w:rsidRPr="00E2630C">
        <w:rPr>
          <w:rFonts w:ascii="Times New Roman" w:eastAsia="Times New Roman" w:hAnsi="Times New Roman" w:cs="Times New Roman"/>
          <w:color w:val="000000" w:themeColor="text1"/>
          <w:sz w:val="24"/>
          <w:szCs w:val="24"/>
        </w:rPr>
        <w:t>(Aba &amp; Aminu, 2016)</w:t>
      </w:r>
      <w:r w:rsidRPr="00E2630C">
        <w:rPr>
          <w:rFonts w:ascii="Times New Roman" w:hAnsi="Times New Roman" w:cs="Times New Roman"/>
          <w:color w:val="000000" w:themeColor="text1"/>
          <w:sz w:val="24"/>
          <w:szCs w:val="24"/>
        </w:rPr>
        <w:t xml:space="preserve">. Traditional societies are believed to be separated into two primary social categories; a small minority of royals who make up the rulers and the remainder of the people known as the ruled or 'commoners' (Tonah, 2007, 2012). In the view of Brobbey (2008), chieftaincy </w:t>
      </w:r>
      <w:r w:rsidR="00BE29E0" w:rsidRPr="00E2630C">
        <w:rPr>
          <w:rFonts w:ascii="Times New Roman" w:hAnsi="Times New Roman" w:cs="Times New Roman"/>
          <w:color w:val="000000" w:themeColor="text1"/>
          <w:sz w:val="24"/>
          <w:szCs w:val="24"/>
        </w:rPr>
        <w:t xml:space="preserve">connotes </w:t>
      </w:r>
      <w:r w:rsidRPr="00E2630C">
        <w:rPr>
          <w:rFonts w:ascii="Times New Roman" w:hAnsi="Times New Roman" w:cs="Times New Roman"/>
          <w:color w:val="000000" w:themeColor="text1"/>
          <w:sz w:val="24"/>
          <w:szCs w:val="24"/>
        </w:rPr>
        <w:t>the institution through which the system of African traditional rule is conducted. It is defined as an institution</w:t>
      </w:r>
      <w:r w:rsidR="008A4D78"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t>that</w:t>
      </w:r>
      <w:r w:rsidR="008A4D78"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t>is durable collection of formal laws and informal rules, norms, customs, codes of conduct, and systematized practices that shape and oversee human interaction (</w:t>
      </w:r>
      <w:r w:rsidRPr="00E2630C">
        <w:rPr>
          <w:rFonts w:ascii="Times New Roman" w:hAnsi="Times New Roman" w:cs="Times New Roman"/>
          <w:color w:val="000000" w:themeColor="text1"/>
          <w:sz w:val="24"/>
          <w:szCs w:val="24"/>
          <w:lang w:eastAsia="en-GB"/>
        </w:rPr>
        <w:t>Ray and Eizlini (2004</w:t>
      </w:r>
      <w:r w:rsidRPr="00E2630C">
        <w:rPr>
          <w:rFonts w:ascii="Times New Roman" w:hAnsi="Times New Roman" w:cs="Times New Roman"/>
          <w:color w:val="000000" w:themeColor="text1"/>
          <w:sz w:val="24"/>
          <w:szCs w:val="24"/>
        </w:rPr>
        <w:t xml:space="preserve">). Chieftaincy is therefore the institutionalization of the traditional governance system that governs the people within an environment. </w:t>
      </w:r>
    </w:p>
    <w:p w14:paraId="3C21C666" w14:textId="6C15853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Despite the growth of state power and the strengthening of democratic rule, chieftaincy institutions continue to be extremely relevant. Majority of the people still revere their traditional rulers and </w:t>
      </w:r>
      <w:r w:rsidR="008A4D78" w:rsidRPr="00E2630C">
        <w:rPr>
          <w:rFonts w:ascii="Times New Roman" w:hAnsi="Times New Roman" w:cs="Times New Roman"/>
          <w:color w:val="000000" w:themeColor="text1"/>
          <w:sz w:val="24"/>
          <w:szCs w:val="24"/>
        </w:rPr>
        <w:t xml:space="preserve">their </w:t>
      </w:r>
      <w:r w:rsidRPr="00E2630C">
        <w:rPr>
          <w:rFonts w:ascii="Times New Roman" w:hAnsi="Times New Roman" w:cs="Times New Roman"/>
          <w:color w:val="000000" w:themeColor="text1"/>
          <w:sz w:val="24"/>
          <w:szCs w:val="24"/>
        </w:rPr>
        <w:t xml:space="preserve">allegiance to the chieftaincy institution remains undisputed throughout the country (Tonah, 2012). Ethnic groups that are centralized and </w:t>
      </w:r>
      <w:r w:rsidRPr="00E2630C">
        <w:rPr>
          <w:rFonts w:ascii="Times New Roman" w:hAnsi="Times New Roman" w:cs="Times New Roman"/>
          <w:color w:val="000000" w:themeColor="text1"/>
          <w:sz w:val="24"/>
          <w:szCs w:val="24"/>
        </w:rPr>
        <w:lastRenderedPageBreak/>
        <w:t xml:space="preserve">hierarchically structured, like the Nanumba, Akan, Ashanti, Mamprusi, Dagomba, and Gonja, are the best example of this. Eighty percent (80%) of Ghanaians swear allegiance to one or more chiefs, according to the Centre for Indigenous Knowledge and Organizational Development (CIKOD) (Owusu-Mensah, 2014). This suggests that chieftaincy is viewed by Ghanaians as the </w:t>
      </w:r>
      <w:r w:rsidR="00A70609" w:rsidRPr="00E2630C">
        <w:rPr>
          <w:rFonts w:ascii="Times New Roman" w:hAnsi="Times New Roman" w:cs="Times New Roman"/>
          <w:color w:val="000000" w:themeColor="text1"/>
          <w:sz w:val="24"/>
          <w:szCs w:val="24"/>
        </w:rPr>
        <w:t xml:space="preserve">gate </w:t>
      </w:r>
      <w:r w:rsidRPr="00E2630C">
        <w:rPr>
          <w:rFonts w:ascii="Times New Roman" w:hAnsi="Times New Roman" w:cs="Times New Roman"/>
          <w:color w:val="000000" w:themeColor="text1"/>
          <w:sz w:val="24"/>
          <w:szCs w:val="24"/>
        </w:rPr>
        <w:t>keeper of traditions and practice</w:t>
      </w:r>
      <w:r w:rsidR="00CE027D" w:rsidRPr="00E2630C">
        <w:rPr>
          <w:rFonts w:ascii="Times New Roman" w:hAnsi="Times New Roman" w:cs="Times New Roman"/>
          <w:color w:val="000000" w:themeColor="text1"/>
          <w:sz w:val="24"/>
          <w:szCs w:val="24"/>
        </w:rPr>
        <w:t>s</w:t>
      </w:r>
      <w:r w:rsidRPr="00E2630C">
        <w:rPr>
          <w:rFonts w:ascii="Times New Roman" w:hAnsi="Times New Roman" w:cs="Times New Roman"/>
          <w:color w:val="000000" w:themeColor="text1"/>
          <w:sz w:val="24"/>
          <w:szCs w:val="24"/>
        </w:rPr>
        <w:t xml:space="preserve"> as well as the archive of history </w:t>
      </w:r>
      <w:r w:rsidR="00E2630C" w:rsidRPr="00E2630C">
        <w:rPr>
          <w:rFonts w:ascii="Times New Roman" w:hAnsi="Times New Roman" w:cs="Times New Roman"/>
          <w:color w:val="000000" w:themeColor="text1"/>
          <w:sz w:val="24"/>
          <w:szCs w:val="24"/>
        </w:rPr>
        <w:t>in Ghana</w:t>
      </w:r>
      <w:r w:rsidRPr="00E2630C">
        <w:rPr>
          <w:rFonts w:ascii="Times New Roman" w:hAnsi="Times New Roman" w:cs="Times New Roman"/>
          <w:color w:val="000000" w:themeColor="text1"/>
          <w:sz w:val="24"/>
          <w:szCs w:val="24"/>
        </w:rPr>
        <w:t xml:space="preserve">. </w:t>
      </w:r>
    </w:p>
    <w:p w14:paraId="76C50A5F"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Like the rest of the country, the northern region of Ghana has long practiced chieftaincy before the advent of the Europeans. For example, chieftaincy dates back to the early century for ethnic groups such as the Gonja, the Dagomba, the Mamprusi, and the Nanumba (Awedoba, 2006). The chieftaincy system originated with these ethnic groupings and either by force or persuasion extended to other parts of the north (Awedoba, 2006). In areas of the north where chiefs were unknown or of lesser importance before the colonization, the Indirect Rule introduced by the British was also directly or indirectly responsible for fostering chieftaincy (Awedoba, 2006). Succession to the chiefly office is often patrilineal among the Dagombas, Kusasis, Manprusis, and Nanumbas in the north compared to the matrilineal system practice by the Akan. The symbol of authority for northern chiefs is the skin and it is for that reason the northern chiefs sit on a pile of skins, unlike their southern counterparts who sit on stools. Hence, it is not out of place to refer to the skin polities of the north when chiefs are enskinned (Awedoba, 2006).</w:t>
      </w:r>
    </w:p>
    <w:p w14:paraId="2DF4E543" w14:textId="2ED5CC9B"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Despite the importance of chieftaincy, it is at the center of a number of communal conflicts in Ghana, especially in Bimbilla in the Northern Region. These conflicts center around issues such as ethnicity, the succession to traditional political office, and land disputes (Agbevade, 2018). For example, there were about 600 land conflicts in Ghana including northern region (Oteng-Ababio, 2016) and the archives of the Ministry </w:t>
      </w:r>
      <w:r w:rsidRPr="00E2630C">
        <w:rPr>
          <w:rFonts w:ascii="Times New Roman" w:hAnsi="Times New Roman" w:cs="Times New Roman"/>
          <w:color w:val="000000" w:themeColor="text1"/>
          <w:sz w:val="24"/>
          <w:szCs w:val="24"/>
        </w:rPr>
        <w:lastRenderedPageBreak/>
        <w:t xml:space="preserve">of Chieftaincy and Culture point to about 232 reported chieftaincy conflicts across the country as of May 2010 (Aikins, 2011). Ghana has witnessed a number of chieftaincy conflicts including;  the Yendi chieftain conflict in 2002, the  Ga Mantse succession dispute in 2007, the Anlo conflict in 2007, the Adoagyiri in 2007, the one in Princess and Aketekyi towns' trouble in 2007, the  Tuobodom rift  in 2010, the one in Buipe, the Wa chieftaincy conflict, the Bawku chieftaincy conflict, the Bunkpurugu conflict, and most recently, the Bimbilla intra gate chieftaincy conflict, (Marfo et al., 2019) which is the central issue of this study. </w:t>
      </w:r>
    </w:p>
    <w:p w14:paraId="270C164E" w14:textId="5DBF10E5"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 number of lives and property has </w:t>
      </w:r>
      <w:r w:rsidR="00C224FF" w:rsidRPr="00E2630C">
        <w:rPr>
          <w:rFonts w:ascii="Times New Roman" w:hAnsi="Times New Roman" w:cs="Times New Roman"/>
          <w:color w:val="000000" w:themeColor="text1"/>
          <w:sz w:val="24"/>
          <w:szCs w:val="24"/>
        </w:rPr>
        <w:t>been lost</w:t>
      </w:r>
      <w:r w:rsidR="00084830"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t xml:space="preserve">in these conflicts. For instance, the intra chieftaincy succession between the Abudu and the Andani Royal Gates led to the death </w:t>
      </w:r>
      <w:r w:rsidR="00084830" w:rsidRPr="00E2630C">
        <w:rPr>
          <w:rFonts w:ascii="Times New Roman" w:hAnsi="Times New Roman" w:cs="Times New Roman"/>
          <w:color w:val="000000" w:themeColor="text1"/>
          <w:sz w:val="24"/>
          <w:szCs w:val="24"/>
        </w:rPr>
        <w:t xml:space="preserve"> of </w:t>
      </w:r>
      <w:r w:rsidRPr="00E2630C">
        <w:rPr>
          <w:rFonts w:ascii="Times New Roman" w:hAnsi="Times New Roman" w:cs="Times New Roman"/>
          <w:color w:val="000000" w:themeColor="text1"/>
          <w:sz w:val="24"/>
          <w:szCs w:val="24"/>
        </w:rPr>
        <w:t xml:space="preserve">the overlord Ya Na Yakubu Andani and 28 others during three days intensive violent clashes in Yendi (Issifu, 2015). More than 600 people are reported to have died in the brutal 1994 conflict between the Konkombas and the Nanumbas, who were deeply enmeshed in a struggle for supreme chiefships and land (Gasu, 2020). Tonah, </w:t>
      </w:r>
      <w:r w:rsidR="00C224FF" w:rsidRPr="00E2630C">
        <w:rPr>
          <w:rFonts w:ascii="Times New Roman" w:hAnsi="Times New Roman" w:cs="Times New Roman"/>
          <w:color w:val="000000" w:themeColor="text1"/>
          <w:sz w:val="24"/>
          <w:szCs w:val="24"/>
        </w:rPr>
        <w:t>(</w:t>
      </w:r>
      <w:r w:rsidRPr="00E2630C">
        <w:rPr>
          <w:rFonts w:ascii="Times New Roman" w:hAnsi="Times New Roman" w:cs="Times New Roman"/>
          <w:color w:val="000000" w:themeColor="text1"/>
          <w:sz w:val="24"/>
          <w:szCs w:val="24"/>
        </w:rPr>
        <w:t xml:space="preserve">2007) wrote that the clashes between the Nawuri and the Gonja at Kpandai in 1991 led to the death of 78 persons. Awedoba (2006) study found that the prolonged violent confrontations between the Kusasi and Mamprusi ethnic groups in Bawku which is grounded in chieftaincy and land ownerships has </w:t>
      </w:r>
      <w:r w:rsidR="00084830" w:rsidRPr="00E2630C">
        <w:rPr>
          <w:rFonts w:ascii="Times New Roman" w:hAnsi="Times New Roman" w:cs="Times New Roman"/>
          <w:color w:val="000000" w:themeColor="text1"/>
          <w:sz w:val="24"/>
          <w:szCs w:val="24"/>
        </w:rPr>
        <w:t xml:space="preserve">denied </w:t>
      </w:r>
      <w:r w:rsidRPr="00E2630C">
        <w:rPr>
          <w:rFonts w:ascii="Times New Roman" w:hAnsi="Times New Roman" w:cs="Times New Roman"/>
          <w:color w:val="000000" w:themeColor="text1"/>
          <w:sz w:val="24"/>
          <w:szCs w:val="24"/>
        </w:rPr>
        <w:t>Bawku and its enclave the needed peace. Hutchful et al. (2021) noted that these long and costly succession battles as occurred in Ghana, have washed-out the resources of communities and reduced them leaderless at the time when they need leaders.</w:t>
      </w:r>
    </w:p>
    <w:p w14:paraId="158E3F86" w14:textId="508CE646" w:rsidR="00CD3724" w:rsidRPr="00E2630C" w:rsidRDefault="00CD3724" w:rsidP="00CD3724">
      <w:pPr>
        <w:spacing w:after="0" w:line="480" w:lineRule="auto"/>
        <w:jc w:val="both"/>
        <w:rPr>
          <w:rFonts w:ascii="Times New Roman" w:hAnsi="Times New Roman" w:cs="Times New Roman"/>
          <w:iCs/>
          <w:color w:val="000000" w:themeColor="text1"/>
          <w:sz w:val="24"/>
          <w:szCs w:val="24"/>
        </w:rPr>
      </w:pPr>
      <w:r w:rsidRPr="00E2630C">
        <w:rPr>
          <w:rFonts w:ascii="Times New Roman" w:hAnsi="Times New Roman" w:cs="Times New Roman"/>
          <w:iCs/>
          <w:color w:val="000000" w:themeColor="text1"/>
          <w:sz w:val="24"/>
          <w:szCs w:val="24"/>
        </w:rPr>
        <w:t xml:space="preserve">The resurgence of conflicts of all forms globally, has attracted the interest of many researchers. However, Marfo et al. (2019) claimed that violent conflicts especially, chieftaincy conflicts often endanger human security and cause destruction to people and property. The situation is far more unstable in Africa. According to a UNDP Report </w:t>
      </w:r>
      <w:r w:rsidRPr="00E2630C">
        <w:rPr>
          <w:rFonts w:ascii="Times New Roman" w:hAnsi="Times New Roman" w:cs="Times New Roman"/>
          <w:iCs/>
          <w:color w:val="000000" w:themeColor="text1"/>
          <w:sz w:val="24"/>
          <w:szCs w:val="24"/>
        </w:rPr>
        <w:lastRenderedPageBreak/>
        <w:t xml:space="preserve">(2005), little over one-third of all conflicts between 1946 and 1989 occurred in low-income countries with their ramifications on human security. But according to the report, between 1990 and 2003, low-income developing nations made up more than half of all violent nations and territories; these nations also accounted for nearly 40% of all recent and forms of conflicts worldwide, with several of the bloodiest and longest-lasting taking place in Africa.  It is vital to carefully examine how these wars affect the state of human security on the continent due to their destructive nature and ongoing growth, particularly in Africa as in Ghana. Certainly, the essential essence of a society extends beyond mere military threats to national sovereignty. It encompasses factors such as the absence of violent conflicts, advocacy for human rights, effective governance, accessibility to education and healthcare, realization of individual potentials, poverty reduction, economic growth, and the preservation of a sustainable natural environment, as outlined in the UNDP Report of 1994. This explains why the </w:t>
      </w:r>
      <w:r w:rsidR="003A40CC" w:rsidRPr="00E2630C">
        <w:rPr>
          <w:rFonts w:ascii="Times New Roman" w:hAnsi="Times New Roman" w:cs="Times New Roman"/>
          <w:iCs/>
          <w:color w:val="000000" w:themeColor="text1"/>
          <w:sz w:val="24"/>
          <w:szCs w:val="24"/>
        </w:rPr>
        <w:t xml:space="preserve">destructive </w:t>
      </w:r>
      <w:r w:rsidRPr="00E2630C">
        <w:rPr>
          <w:rFonts w:ascii="Times New Roman" w:hAnsi="Times New Roman" w:cs="Times New Roman"/>
          <w:iCs/>
          <w:color w:val="000000" w:themeColor="text1"/>
          <w:sz w:val="24"/>
          <w:szCs w:val="24"/>
        </w:rPr>
        <w:t>Bimbilla chieftaincy conflict</w:t>
      </w:r>
      <w:r w:rsidR="003A40CC" w:rsidRPr="00E2630C">
        <w:rPr>
          <w:rFonts w:ascii="Times New Roman" w:hAnsi="Times New Roman" w:cs="Times New Roman"/>
          <w:iCs/>
          <w:color w:val="000000" w:themeColor="text1"/>
          <w:sz w:val="24"/>
          <w:szCs w:val="24"/>
        </w:rPr>
        <w:t xml:space="preserve">, the study focus, borne out of succession struggles </w:t>
      </w:r>
      <w:r w:rsidR="003A40CC" w:rsidRPr="00E2630C">
        <w:rPr>
          <w:rFonts w:ascii="Times New Roman" w:hAnsi="Times New Roman" w:cs="Times New Roman"/>
          <w:color w:val="000000" w:themeColor="text1"/>
          <w:sz w:val="24"/>
          <w:szCs w:val="24"/>
        </w:rPr>
        <w:t>(Tonah, 2012)</w:t>
      </w:r>
      <w:r w:rsidRPr="00E2630C">
        <w:rPr>
          <w:rFonts w:ascii="Times New Roman" w:hAnsi="Times New Roman" w:cs="Times New Roman"/>
          <w:iCs/>
          <w:color w:val="000000" w:themeColor="text1"/>
          <w:sz w:val="24"/>
          <w:szCs w:val="24"/>
        </w:rPr>
        <w:t xml:space="preserve">, is worth studying to unravel how it has undermined the various human security components </w:t>
      </w:r>
      <w:r w:rsidR="003A40CC" w:rsidRPr="00E2630C">
        <w:rPr>
          <w:rFonts w:ascii="Times New Roman" w:hAnsi="Times New Roman" w:cs="Times New Roman"/>
          <w:iCs/>
          <w:color w:val="000000" w:themeColor="text1"/>
          <w:sz w:val="24"/>
          <w:szCs w:val="24"/>
        </w:rPr>
        <w:t xml:space="preserve">of the people </w:t>
      </w:r>
      <w:r w:rsidRPr="00E2630C">
        <w:rPr>
          <w:rFonts w:ascii="Times New Roman" w:hAnsi="Times New Roman" w:cs="Times New Roman"/>
          <w:iCs/>
          <w:color w:val="000000" w:themeColor="text1"/>
          <w:sz w:val="24"/>
          <w:szCs w:val="24"/>
        </w:rPr>
        <w:t xml:space="preserve">over years.  </w:t>
      </w:r>
    </w:p>
    <w:p w14:paraId="4AEF96F3" w14:textId="77777777" w:rsidR="00C172F9" w:rsidRPr="00E2630C" w:rsidRDefault="00C172F9" w:rsidP="00CD3724">
      <w:pPr>
        <w:spacing w:after="0" w:line="480" w:lineRule="auto"/>
        <w:jc w:val="both"/>
        <w:rPr>
          <w:rFonts w:ascii="Times New Roman" w:hAnsi="Times New Roman" w:cs="Times New Roman"/>
          <w:iCs/>
          <w:color w:val="000000" w:themeColor="text1"/>
          <w:sz w:val="24"/>
          <w:szCs w:val="24"/>
        </w:rPr>
      </w:pPr>
    </w:p>
    <w:p w14:paraId="0D27B38D" w14:textId="77777777" w:rsidR="00CD3724" w:rsidRPr="00E2630C" w:rsidRDefault="00CD3724" w:rsidP="00E2630C">
      <w:pPr>
        <w:pStyle w:val="Heading2"/>
      </w:pPr>
      <w:bookmarkStart w:id="11" w:name="_Toc182386211"/>
      <w:r w:rsidRPr="00E2630C">
        <w:t>1.2 Problem Statement</w:t>
      </w:r>
      <w:bookmarkEnd w:id="11"/>
    </w:p>
    <w:p w14:paraId="471FE0B8" w14:textId="3BAB291D" w:rsidR="00CD3724" w:rsidRPr="00E2630C" w:rsidRDefault="00CD3724" w:rsidP="00CD3724">
      <w:pPr>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Ghana is perceived as a peaceful country in an otherwise volatile sub-region. However, </w:t>
      </w:r>
      <w:r w:rsidR="00084830" w:rsidRPr="00E2630C">
        <w:rPr>
          <w:rFonts w:ascii="Times New Roman" w:hAnsi="Times New Roman" w:cs="Times New Roman"/>
          <w:color w:val="000000" w:themeColor="text1"/>
          <w:sz w:val="24"/>
          <w:szCs w:val="24"/>
        </w:rPr>
        <w:t xml:space="preserve">certain parts of </w:t>
      </w:r>
      <w:r w:rsidRPr="00E2630C">
        <w:rPr>
          <w:rFonts w:ascii="Times New Roman" w:hAnsi="Times New Roman" w:cs="Times New Roman"/>
          <w:color w:val="000000" w:themeColor="text1"/>
          <w:sz w:val="24"/>
          <w:szCs w:val="24"/>
        </w:rPr>
        <w:t xml:space="preserve">the country is plagued by violent chieftaincy and ethnic conflicts (Marfo et al., 2019). Bukari et al. (2016) noted these conflicts have negative implications for economic and local-level development.  Bimbilla, the study community over the years has witnessed varying degrees of chieftaincy conflicts and </w:t>
      </w:r>
      <w:r w:rsidRPr="00E2630C">
        <w:rPr>
          <w:rFonts w:ascii="Times New Roman" w:hAnsi="Times New Roman" w:cs="Times New Roman"/>
          <w:color w:val="000000" w:themeColor="text1"/>
          <w:sz w:val="24"/>
          <w:szCs w:val="24"/>
          <w:lang w:val="en-US"/>
        </w:rPr>
        <w:t>has robbed the people</w:t>
      </w:r>
      <w:r w:rsidR="00E20953" w:rsidRPr="00E2630C">
        <w:rPr>
          <w:rFonts w:ascii="Times New Roman" w:hAnsi="Times New Roman" w:cs="Times New Roman"/>
          <w:color w:val="000000" w:themeColor="text1"/>
          <w:sz w:val="24"/>
          <w:szCs w:val="24"/>
          <w:lang w:val="en-US"/>
        </w:rPr>
        <w:t xml:space="preserve"> in</w:t>
      </w:r>
      <w:r w:rsidRPr="00E2630C">
        <w:rPr>
          <w:rFonts w:ascii="Times New Roman" w:hAnsi="Times New Roman" w:cs="Times New Roman"/>
          <w:color w:val="000000" w:themeColor="text1"/>
          <w:sz w:val="24"/>
          <w:szCs w:val="24"/>
          <w:lang w:val="en-US"/>
        </w:rPr>
        <w:t xml:space="preserve"> the area of peace and security (Awedoba, 2006, 2009;</w:t>
      </w:r>
      <w:r w:rsidRPr="00E2630C">
        <w:rPr>
          <w:rFonts w:ascii="Times New Roman" w:eastAsiaTheme="minorEastAsia" w:hAnsi="Times New Roman" w:cs="Times New Roman"/>
          <w:color w:val="000000" w:themeColor="text1"/>
          <w:kern w:val="24"/>
          <w:sz w:val="24"/>
          <w:szCs w:val="24"/>
        </w:rPr>
        <w:t xml:space="preserve"> Anamzoya and Tonah 2012; </w:t>
      </w:r>
      <w:r w:rsidRPr="00E2630C">
        <w:rPr>
          <w:rFonts w:ascii="Times New Roman" w:hAnsi="Times New Roman" w:cs="Times New Roman"/>
          <w:color w:val="000000" w:themeColor="text1"/>
          <w:sz w:val="24"/>
          <w:szCs w:val="24"/>
          <w:lang w:val="en-US"/>
        </w:rPr>
        <w:t>Marfo et al., 2019).</w:t>
      </w:r>
      <w:r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lang w:val="en-US"/>
        </w:rPr>
        <w:t xml:space="preserve">Competing claims among some members within one of the royal Gates </w:t>
      </w:r>
      <w:r w:rsidRPr="00E2630C">
        <w:rPr>
          <w:rFonts w:ascii="Times New Roman" w:hAnsi="Times New Roman" w:cs="Times New Roman"/>
          <w:color w:val="000000" w:themeColor="text1"/>
          <w:sz w:val="24"/>
          <w:szCs w:val="24"/>
          <w:lang w:val="en-US"/>
        </w:rPr>
        <w:lastRenderedPageBreak/>
        <w:t xml:space="preserve">(Gbuhumayilli) to the Nanum Skin have been cited as the principal causal factor of the conflict (Awedoba, 2006; </w:t>
      </w:r>
      <w:r w:rsidRPr="00E2630C">
        <w:rPr>
          <w:rFonts w:ascii="Times New Roman" w:eastAsiaTheme="minorEastAsia" w:hAnsi="Times New Roman" w:cs="Times New Roman"/>
          <w:color w:val="000000" w:themeColor="text1"/>
          <w:kern w:val="24"/>
          <w:sz w:val="24"/>
          <w:szCs w:val="24"/>
        </w:rPr>
        <w:t xml:space="preserve">Anamzoya and Tonah 2012; </w:t>
      </w:r>
      <w:r w:rsidRPr="00E2630C">
        <w:rPr>
          <w:rFonts w:ascii="Times New Roman" w:hAnsi="Times New Roman" w:cs="Times New Roman"/>
          <w:color w:val="000000" w:themeColor="text1"/>
          <w:sz w:val="24"/>
          <w:szCs w:val="24"/>
          <w:lang w:val="en-US"/>
        </w:rPr>
        <w:t>Marfo et al., 2019).</w:t>
      </w:r>
    </w:p>
    <w:p w14:paraId="2CFCCB09" w14:textId="3F8CD63E" w:rsidR="00CD3724" w:rsidRPr="00E2630C"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Awedoba (2009) study found that the benefits of the chieftaincy office to the incumbent are very attractive and remain a limited good and this has resulted in competition for chieftaincy titles as in the case of the Bimbilla chieftaincy conflict. </w:t>
      </w:r>
      <w:r w:rsidR="006634FD" w:rsidRPr="00E2630C">
        <w:rPr>
          <w:rFonts w:ascii="Times New Roman" w:hAnsi="Times New Roman" w:cs="Times New Roman"/>
          <w:color w:val="000000" w:themeColor="text1"/>
          <w:sz w:val="24"/>
          <w:szCs w:val="24"/>
        </w:rPr>
        <w:t xml:space="preserve">He also found that conflicting customs was a contributory factor to the chieftaincy conflict. </w:t>
      </w:r>
      <w:r w:rsidRPr="00E2630C">
        <w:rPr>
          <w:rFonts w:ascii="Times New Roman" w:hAnsi="Times New Roman" w:cs="Times New Roman"/>
          <w:color w:val="000000" w:themeColor="text1"/>
          <w:sz w:val="24"/>
          <w:szCs w:val="24"/>
        </w:rPr>
        <w:t>Anamzoya and Tonah (2012) examined the causes of the Bimbilla chieftaincy conflicts. The study concluded that the confusion surrounding the selection of the heir apparent of the Nanum Skin within one of the royal Gates - Gbuhumayilli was the cause of the current chieftaincy conflict. Marfo et al. (2019) study examined how chieftaincy conflicts undermine food crop production using the Bimbilla chieftaincy as a case. Their study found that food crop farmers were badly affected due to the burning of farms</w:t>
      </w:r>
      <w:r w:rsidR="00C224FF" w:rsidRPr="00E2630C">
        <w:rPr>
          <w:rFonts w:ascii="Times New Roman" w:hAnsi="Times New Roman" w:cs="Times New Roman"/>
          <w:color w:val="000000" w:themeColor="text1"/>
          <w:sz w:val="24"/>
          <w:szCs w:val="24"/>
        </w:rPr>
        <w:t xml:space="preserve"> </w:t>
      </w:r>
      <w:r w:rsidR="00587AF6" w:rsidRPr="00E2630C">
        <w:rPr>
          <w:rFonts w:ascii="Times New Roman" w:hAnsi="Times New Roman" w:cs="Times New Roman"/>
          <w:color w:val="000000" w:themeColor="text1"/>
          <w:sz w:val="24"/>
          <w:szCs w:val="24"/>
        </w:rPr>
        <w:t>and stock</w:t>
      </w:r>
      <w:r w:rsidR="00C224FF" w:rsidRPr="00E2630C">
        <w:rPr>
          <w:rFonts w:ascii="Times New Roman" w:hAnsi="Times New Roman" w:cs="Times New Roman"/>
          <w:color w:val="000000" w:themeColor="text1"/>
          <w:sz w:val="24"/>
          <w:szCs w:val="24"/>
        </w:rPr>
        <w:t xml:space="preserve"> </w:t>
      </w:r>
      <w:r w:rsidR="00587AF6" w:rsidRPr="00E2630C">
        <w:rPr>
          <w:rFonts w:ascii="Times New Roman" w:hAnsi="Times New Roman" w:cs="Times New Roman"/>
          <w:color w:val="000000" w:themeColor="text1"/>
          <w:sz w:val="24"/>
          <w:szCs w:val="24"/>
        </w:rPr>
        <w:t>and less farming activities borne out of fe</w:t>
      </w:r>
      <w:r w:rsidRPr="00E2630C">
        <w:rPr>
          <w:rFonts w:ascii="Times New Roman" w:hAnsi="Times New Roman" w:cs="Times New Roman"/>
          <w:color w:val="000000" w:themeColor="text1"/>
          <w:sz w:val="24"/>
          <w:szCs w:val="24"/>
        </w:rPr>
        <w:t>a</w:t>
      </w:r>
      <w:r w:rsidR="00587AF6" w:rsidRPr="00E2630C">
        <w:rPr>
          <w:rFonts w:ascii="Times New Roman" w:hAnsi="Times New Roman" w:cs="Times New Roman"/>
          <w:color w:val="000000" w:themeColor="text1"/>
          <w:sz w:val="24"/>
          <w:szCs w:val="24"/>
        </w:rPr>
        <w:t>r</w:t>
      </w:r>
      <w:r w:rsidRPr="00E2630C">
        <w:rPr>
          <w:rFonts w:ascii="Times New Roman" w:hAnsi="Times New Roman" w:cs="Times New Roman"/>
          <w:color w:val="000000" w:themeColor="text1"/>
          <w:sz w:val="24"/>
          <w:szCs w:val="24"/>
        </w:rPr>
        <w:t xml:space="preserve"> of attack</w:t>
      </w:r>
      <w:r w:rsidR="00587AF6"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t xml:space="preserve">Helpful as these studies are, the overall effects of the Bimbilla chieftaincy conflict on the human security of the people are less interrogated making the current study very necessary. As noted by Marfo et al. (2022), the human security cost of violent conflicts remains largely silent and incalculable in Ghana. By examining the broader human security implications of the Bimbilla chieftaincy conflict, a remedy could be suggested to improve the lives of the people in the study community. </w:t>
      </w:r>
      <w:bookmarkStart w:id="12" w:name="_Toc35237241"/>
      <w:r w:rsidRPr="00E2630C">
        <w:rPr>
          <w:rFonts w:ascii="Times New Roman" w:hAnsi="Times New Roman" w:cs="Times New Roman"/>
          <w:color w:val="000000" w:themeColor="text1"/>
          <w:sz w:val="24"/>
          <w:szCs w:val="24"/>
        </w:rPr>
        <w:t xml:space="preserve">This implies that a comprehensive comprehension beyond what is widely seen as obvious is required in order to attempt to comprehend the costs of chieftaincy conflict in modern Ghanaian communities and its implications for the nation's security. </w:t>
      </w:r>
    </w:p>
    <w:p w14:paraId="7905EA17" w14:textId="77777777" w:rsidR="00CD3724" w:rsidRPr="00E2630C" w:rsidRDefault="00CD3724" w:rsidP="00CD3724">
      <w:pPr>
        <w:pStyle w:val="NoSpacing"/>
        <w:rPr>
          <w:rFonts w:ascii="Times New Roman" w:hAnsi="Times New Roman" w:cs="Times New Roman"/>
          <w:color w:val="000000" w:themeColor="text1"/>
          <w:sz w:val="24"/>
          <w:szCs w:val="24"/>
        </w:rPr>
      </w:pPr>
    </w:p>
    <w:p w14:paraId="72F25BAE" w14:textId="77777777" w:rsidR="00CD3724" w:rsidRPr="00E2630C" w:rsidRDefault="00CD3724" w:rsidP="00CD3724">
      <w:pPr>
        <w:pStyle w:val="Heading2"/>
      </w:pPr>
      <w:bookmarkStart w:id="13" w:name="_Toc182386212"/>
      <w:r w:rsidRPr="00E2630C">
        <w:lastRenderedPageBreak/>
        <w:t>1.3 Research Objectives</w:t>
      </w:r>
      <w:bookmarkEnd w:id="13"/>
    </w:p>
    <w:p w14:paraId="56B40EA2" w14:textId="77777777" w:rsidR="00CD3724" w:rsidRPr="00E2630C" w:rsidRDefault="00CD3724" w:rsidP="00CD3724">
      <w:pPr>
        <w:pStyle w:val="Heading3"/>
      </w:pPr>
      <w:bookmarkStart w:id="14" w:name="_Toc182386213"/>
      <w:r w:rsidRPr="00E2630C">
        <w:t>1</w:t>
      </w:r>
      <w:bookmarkStart w:id="15" w:name="_Hlk157882795"/>
      <w:r w:rsidRPr="00E2630C">
        <w:t>.3.1 Main Research Objective</w:t>
      </w:r>
      <w:bookmarkStart w:id="16" w:name="_Toc35237237"/>
      <w:bookmarkEnd w:id="12"/>
      <w:bookmarkEnd w:id="14"/>
    </w:p>
    <w:p w14:paraId="54A23065" w14:textId="19F7D004" w:rsidR="00CD3724" w:rsidRPr="00E2630C" w:rsidRDefault="00CD3724" w:rsidP="00CD3724">
      <w:pPr>
        <w:spacing w:line="480" w:lineRule="auto"/>
        <w:rPr>
          <w:rFonts w:ascii="Times New Roman" w:hAnsi="Times New Roman" w:cs="Times New Roman"/>
          <w:b/>
          <w:color w:val="000000" w:themeColor="text1"/>
          <w:sz w:val="24"/>
          <w:szCs w:val="24"/>
        </w:rPr>
      </w:pPr>
      <w:r w:rsidRPr="00E2630C">
        <w:rPr>
          <w:rFonts w:ascii="Times New Roman" w:hAnsi="Times New Roman" w:cs="Times New Roman"/>
          <w:color w:val="000000" w:themeColor="text1"/>
          <w:sz w:val="24"/>
          <w:szCs w:val="24"/>
        </w:rPr>
        <w:t xml:space="preserve">The main research objective is to examine the implication of chieftaincy conflict on human Security in Bimbilla </w:t>
      </w:r>
      <w:r w:rsidR="000E5ADD" w:rsidRPr="00E2630C">
        <w:rPr>
          <w:rFonts w:ascii="Times New Roman" w:hAnsi="Times New Roman" w:cs="Times New Roman"/>
          <w:color w:val="000000" w:themeColor="text1"/>
          <w:sz w:val="24"/>
          <w:szCs w:val="24"/>
        </w:rPr>
        <w:t>Municipality</w:t>
      </w:r>
      <w:r w:rsidRPr="00E2630C">
        <w:rPr>
          <w:rFonts w:ascii="Times New Roman" w:hAnsi="Times New Roman" w:cs="Times New Roman"/>
          <w:color w:val="000000" w:themeColor="text1"/>
          <w:sz w:val="24"/>
          <w:szCs w:val="24"/>
        </w:rPr>
        <w:t xml:space="preserve"> in the Northern Region.</w:t>
      </w:r>
    </w:p>
    <w:p w14:paraId="6D2780D5" w14:textId="77777777" w:rsidR="00CD3724" w:rsidRPr="00E2630C" w:rsidRDefault="00CD3724" w:rsidP="00E2630C">
      <w:pPr>
        <w:pStyle w:val="Heading3"/>
      </w:pPr>
      <w:bookmarkStart w:id="17" w:name="_Toc182386214"/>
      <w:r w:rsidRPr="00E2630C">
        <w:t>1.3.2 Specific Research Objectives</w:t>
      </w:r>
      <w:bookmarkEnd w:id="17"/>
    </w:p>
    <w:p w14:paraId="1F866C08" w14:textId="77777777" w:rsidR="00CD3724" w:rsidRPr="00E2630C" w:rsidRDefault="00CD3724" w:rsidP="00CD3724">
      <w:pPr>
        <w:pStyle w:val="ListParagraph"/>
        <w:numPr>
          <w:ilvl w:val="0"/>
          <w:numId w:val="46"/>
        </w:numPr>
        <w:rPr>
          <w:rFonts w:cs="Times New Roman"/>
          <w:color w:val="000000" w:themeColor="text1"/>
          <w:szCs w:val="24"/>
        </w:rPr>
      </w:pPr>
      <w:r w:rsidRPr="00E2630C">
        <w:rPr>
          <w:rFonts w:cs="Times New Roman"/>
          <w:color w:val="000000" w:themeColor="text1"/>
          <w:szCs w:val="24"/>
        </w:rPr>
        <w:t>To assess the implication of the conflict on the economic security of the people in Bimbilla</w:t>
      </w:r>
    </w:p>
    <w:p w14:paraId="02EB441B" w14:textId="4DB5C558" w:rsidR="00CD3724" w:rsidRPr="00E2630C" w:rsidRDefault="00CD3724" w:rsidP="00CD3724">
      <w:pPr>
        <w:pStyle w:val="ListParagraph"/>
        <w:numPr>
          <w:ilvl w:val="0"/>
          <w:numId w:val="46"/>
        </w:numPr>
        <w:rPr>
          <w:rFonts w:cs="Times New Roman"/>
          <w:color w:val="000000" w:themeColor="text1"/>
          <w:szCs w:val="24"/>
        </w:rPr>
      </w:pPr>
      <w:r w:rsidRPr="00E2630C">
        <w:rPr>
          <w:rFonts w:cs="Times New Roman"/>
          <w:color w:val="000000" w:themeColor="text1"/>
          <w:szCs w:val="24"/>
        </w:rPr>
        <w:t xml:space="preserve">To explore the effects of chieftaincy conflict </w:t>
      </w:r>
      <w:r w:rsidR="00587AF6" w:rsidRPr="00E2630C">
        <w:rPr>
          <w:rFonts w:cs="Times New Roman"/>
          <w:color w:val="000000" w:themeColor="text1"/>
          <w:szCs w:val="24"/>
        </w:rPr>
        <w:t xml:space="preserve">on </w:t>
      </w:r>
      <w:r w:rsidRPr="00E2630C">
        <w:rPr>
          <w:rFonts w:cs="Times New Roman"/>
          <w:color w:val="000000" w:themeColor="text1"/>
          <w:szCs w:val="24"/>
        </w:rPr>
        <w:t xml:space="preserve">food security in the Bimbilla Municipality </w:t>
      </w:r>
    </w:p>
    <w:p w14:paraId="16A06114" w14:textId="77777777" w:rsidR="00CD3724" w:rsidRPr="00E2630C" w:rsidRDefault="00CD3724" w:rsidP="00CD3724">
      <w:pPr>
        <w:pStyle w:val="ListParagraph"/>
        <w:numPr>
          <w:ilvl w:val="0"/>
          <w:numId w:val="46"/>
        </w:numPr>
        <w:rPr>
          <w:rFonts w:cs="Times New Roman"/>
          <w:color w:val="000000" w:themeColor="text1"/>
          <w:szCs w:val="24"/>
        </w:rPr>
      </w:pPr>
      <w:r w:rsidRPr="00E2630C">
        <w:rPr>
          <w:rFonts w:cs="Times New Roman"/>
          <w:color w:val="000000" w:themeColor="text1"/>
          <w:szCs w:val="24"/>
        </w:rPr>
        <w:t xml:space="preserve">To assess the health security implication of the Bimbilla chieftaincy conflict </w:t>
      </w:r>
    </w:p>
    <w:p w14:paraId="21B9089F" w14:textId="77777777" w:rsidR="00CD3724" w:rsidRPr="00E2630C" w:rsidRDefault="00CD3724" w:rsidP="00CD3724">
      <w:pPr>
        <w:pStyle w:val="ListParagraph"/>
        <w:numPr>
          <w:ilvl w:val="0"/>
          <w:numId w:val="46"/>
        </w:numPr>
        <w:rPr>
          <w:rFonts w:cs="Times New Roman"/>
          <w:color w:val="000000" w:themeColor="text1"/>
          <w:szCs w:val="24"/>
        </w:rPr>
      </w:pPr>
      <w:r w:rsidRPr="00E2630C">
        <w:rPr>
          <w:rFonts w:cs="Times New Roman"/>
          <w:color w:val="000000" w:themeColor="text1"/>
          <w:szCs w:val="24"/>
        </w:rPr>
        <w:t>To investigate how the chieftaincy conflict has affected the environmental security of the Bimbilla community.</w:t>
      </w:r>
    </w:p>
    <w:p w14:paraId="748DDB0C" w14:textId="74BAB4CB" w:rsidR="00CD3724" w:rsidRDefault="00CD3724" w:rsidP="00A03794">
      <w:pPr>
        <w:pStyle w:val="ListParagraph"/>
        <w:numPr>
          <w:ilvl w:val="0"/>
          <w:numId w:val="46"/>
        </w:numPr>
        <w:rPr>
          <w:rFonts w:cs="Times New Roman"/>
          <w:color w:val="000000" w:themeColor="text1"/>
          <w:szCs w:val="24"/>
        </w:rPr>
      </w:pPr>
      <w:r w:rsidRPr="00E2630C">
        <w:rPr>
          <w:rFonts w:cs="Times New Roman"/>
          <w:color w:val="000000" w:themeColor="text1"/>
          <w:szCs w:val="24"/>
        </w:rPr>
        <w:t xml:space="preserve">To determine the extent to </w:t>
      </w:r>
      <w:r w:rsidR="00E2630C" w:rsidRPr="00E2630C">
        <w:rPr>
          <w:rFonts w:cs="Times New Roman"/>
          <w:color w:val="000000" w:themeColor="text1"/>
          <w:szCs w:val="24"/>
        </w:rPr>
        <w:t>which the</w:t>
      </w:r>
      <w:r w:rsidR="002F5488" w:rsidRPr="00E2630C">
        <w:rPr>
          <w:rFonts w:cs="Times New Roman"/>
          <w:color w:val="000000" w:themeColor="text1"/>
          <w:szCs w:val="24"/>
        </w:rPr>
        <w:t xml:space="preserve"> chieftaincy conflict has affected </w:t>
      </w:r>
      <w:r w:rsidRPr="00E2630C">
        <w:rPr>
          <w:rFonts w:cs="Times New Roman"/>
          <w:color w:val="000000" w:themeColor="text1"/>
          <w:szCs w:val="24"/>
        </w:rPr>
        <w:t xml:space="preserve">personal security of the people </w:t>
      </w:r>
      <w:r w:rsidR="002F5488" w:rsidRPr="00E2630C">
        <w:rPr>
          <w:rFonts w:cs="Times New Roman"/>
          <w:color w:val="000000" w:themeColor="text1"/>
          <w:szCs w:val="24"/>
        </w:rPr>
        <w:t>in Bimbilla</w:t>
      </w:r>
      <w:r w:rsidR="00E2630C">
        <w:rPr>
          <w:rFonts w:cs="Times New Roman"/>
          <w:color w:val="000000" w:themeColor="text1"/>
          <w:szCs w:val="24"/>
        </w:rPr>
        <w:t>.</w:t>
      </w:r>
    </w:p>
    <w:p w14:paraId="39B6B905" w14:textId="77777777" w:rsidR="00E2630C" w:rsidRPr="00E2630C" w:rsidRDefault="00E2630C" w:rsidP="00E2630C">
      <w:pPr>
        <w:pStyle w:val="ListParagraph"/>
        <w:rPr>
          <w:rFonts w:cs="Times New Roman"/>
          <w:color w:val="000000" w:themeColor="text1"/>
          <w:szCs w:val="24"/>
        </w:rPr>
      </w:pPr>
    </w:p>
    <w:p w14:paraId="01195A11" w14:textId="77777777" w:rsidR="00CD3724" w:rsidRPr="00E2630C" w:rsidRDefault="00CD3724" w:rsidP="00CD3724">
      <w:pPr>
        <w:pStyle w:val="Heading2"/>
      </w:pPr>
      <w:bookmarkStart w:id="18" w:name="_Toc182386215"/>
      <w:bookmarkEnd w:id="15"/>
      <w:r w:rsidRPr="00E2630C">
        <w:t>1.4 Research Questions</w:t>
      </w:r>
      <w:bookmarkEnd w:id="16"/>
      <w:bookmarkEnd w:id="18"/>
    </w:p>
    <w:p w14:paraId="44A0F7A5" w14:textId="77777777" w:rsidR="00CD3724" w:rsidRPr="00E2630C" w:rsidRDefault="00CD3724" w:rsidP="0049497D">
      <w:pPr>
        <w:pStyle w:val="Heading3"/>
      </w:pPr>
      <w:bookmarkStart w:id="19" w:name="_Toc35237238"/>
      <w:bookmarkStart w:id="20" w:name="_Toc182386216"/>
      <w:r w:rsidRPr="00E2630C">
        <w:t>1.4.1 Main Research Question</w:t>
      </w:r>
      <w:bookmarkStart w:id="21" w:name="_Toc35237243"/>
      <w:bookmarkEnd w:id="19"/>
      <w:bookmarkEnd w:id="20"/>
    </w:p>
    <w:p w14:paraId="6E495AFE" w14:textId="040D5152" w:rsidR="00CD3724" w:rsidRPr="00E2630C" w:rsidRDefault="00CD3724" w:rsidP="00CD3724">
      <w:pPr>
        <w:tabs>
          <w:tab w:val="left" w:pos="1080"/>
        </w:tabs>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What implications does the Bimbil</w:t>
      </w:r>
      <w:r w:rsidR="000E5ADD" w:rsidRPr="00E2630C">
        <w:rPr>
          <w:rFonts w:ascii="Times New Roman" w:hAnsi="Times New Roman" w:cs="Times New Roman"/>
          <w:color w:val="000000" w:themeColor="text1"/>
          <w:sz w:val="24"/>
          <w:szCs w:val="24"/>
        </w:rPr>
        <w:t>l</w:t>
      </w:r>
      <w:r w:rsidRPr="00E2630C">
        <w:rPr>
          <w:rFonts w:ascii="Times New Roman" w:hAnsi="Times New Roman" w:cs="Times New Roman"/>
          <w:color w:val="000000" w:themeColor="text1"/>
          <w:sz w:val="24"/>
          <w:szCs w:val="24"/>
        </w:rPr>
        <w:t>a chieftaincy conflict have on the human Security of the people?</w:t>
      </w:r>
    </w:p>
    <w:p w14:paraId="0F34B6B7" w14:textId="77777777" w:rsidR="00CD3724" w:rsidRPr="00E2630C" w:rsidRDefault="00CD3724" w:rsidP="00CD3724">
      <w:pPr>
        <w:tabs>
          <w:tab w:val="left" w:pos="1080"/>
        </w:tabs>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b/>
          <w:bCs/>
          <w:color w:val="000000" w:themeColor="text1"/>
          <w:sz w:val="24"/>
          <w:szCs w:val="24"/>
          <w:lang w:val="en-US"/>
        </w:rPr>
        <w:t xml:space="preserve"> Specifically:</w:t>
      </w:r>
    </w:p>
    <w:p w14:paraId="74524871" w14:textId="77777777" w:rsidR="00CD3724" w:rsidRPr="00E2630C" w:rsidRDefault="00CD3724" w:rsidP="00CD3724">
      <w:pPr>
        <w:numPr>
          <w:ilvl w:val="0"/>
          <w:numId w:val="20"/>
        </w:numPr>
        <w:tabs>
          <w:tab w:val="left" w:pos="1080"/>
        </w:tabs>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lang w:val="en-US"/>
        </w:rPr>
        <w:t>What effects does the Bimbilla chieftaincy conflict have on the economic security of the people?</w:t>
      </w:r>
    </w:p>
    <w:p w14:paraId="13B21F93" w14:textId="77777777" w:rsidR="00CD3724" w:rsidRPr="00E2630C" w:rsidRDefault="00CD3724" w:rsidP="00CD3724">
      <w:pPr>
        <w:numPr>
          <w:ilvl w:val="0"/>
          <w:numId w:val="20"/>
        </w:numPr>
        <w:tabs>
          <w:tab w:val="left" w:pos="1080"/>
        </w:tabs>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lang w:val="en-US"/>
        </w:rPr>
        <w:t>How has the chieftaincy conflict affected the food security in the Bimbilla community?</w:t>
      </w:r>
    </w:p>
    <w:p w14:paraId="3371FC15" w14:textId="77777777" w:rsidR="00CD3724" w:rsidRPr="00E2630C" w:rsidRDefault="00CD3724" w:rsidP="00CD3724">
      <w:pPr>
        <w:numPr>
          <w:ilvl w:val="0"/>
          <w:numId w:val="20"/>
        </w:numPr>
        <w:tabs>
          <w:tab w:val="left" w:pos="1080"/>
        </w:tabs>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lang w:val="en-US"/>
        </w:rPr>
        <w:lastRenderedPageBreak/>
        <w:t xml:space="preserve">What have been the health security implications of the </w:t>
      </w:r>
      <w:r w:rsidR="00587AF6" w:rsidRPr="00E2630C">
        <w:rPr>
          <w:rFonts w:ascii="Times New Roman" w:hAnsi="Times New Roman" w:cs="Times New Roman"/>
          <w:color w:val="000000" w:themeColor="text1"/>
          <w:sz w:val="24"/>
          <w:szCs w:val="24"/>
          <w:lang w:val="en-US"/>
        </w:rPr>
        <w:t xml:space="preserve">Bimbilla </w:t>
      </w:r>
      <w:r w:rsidRPr="00E2630C">
        <w:rPr>
          <w:rFonts w:ascii="Times New Roman" w:hAnsi="Times New Roman" w:cs="Times New Roman"/>
          <w:color w:val="000000" w:themeColor="text1"/>
          <w:sz w:val="24"/>
          <w:szCs w:val="24"/>
          <w:lang w:val="en-US"/>
        </w:rPr>
        <w:t xml:space="preserve">chieftaincy conflict? </w:t>
      </w:r>
    </w:p>
    <w:p w14:paraId="36E07584" w14:textId="77777777" w:rsidR="00CD3724" w:rsidRPr="00E2630C" w:rsidRDefault="00CD3724" w:rsidP="00CD3724">
      <w:pPr>
        <w:numPr>
          <w:ilvl w:val="0"/>
          <w:numId w:val="20"/>
        </w:numPr>
        <w:tabs>
          <w:tab w:val="left" w:pos="1080"/>
        </w:tabs>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lang w:val="en-US"/>
        </w:rPr>
        <w:t>How has the chieftaincy conflict affected the environmental security of the Bimbilla community?</w:t>
      </w:r>
    </w:p>
    <w:p w14:paraId="5C091228" w14:textId="5AB5A10A" w:rsidR="00CD3724" w:rsidRPr="0049497D" w:rsidRDefault="00CD3724" w:rsidP="00CD3724">
      <w:pPr>
        <w:numPr>
          <w:ilvl w:val="0"/>
          <w:numId w:val="20"/>
        </w:numPr>
        <w:tabs>
          <w:tab w:val="left" w:pos="1080"/>
        </w:tabs>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lang w:val="en-US"/>
        </w:rPr>
        <w:t xml:space="preserve">How has the personal security of the people been affected by the chieftaincy conflict? </w:t>
      </w:r>
    </w:p>
    <w:p w14:paraId="7779B9AC" w14:textId="77777777" w:rsidR="0049497D" w:rsidRDefault="0049497D" w:rsidP="00CD3724">
      <w:pPr>
        <w:pStyle w:val="Heading2"/>
      </w:pPr>
    </w:p>
    <w:p w14:paraId="2315E989" w14:textId="7AFDD8F9" w:rsidR="00CD3724" w:rsidRPr="00E2630C" w:rsidRDefault="00CD3724" w:rsidP="0049497D">
      <w:pPr>
        <w:pStyle w:val="Heading2"/>
      </w:pPr>
      <w:bookmarkStart w:id="22" w:name="_Toc182386217"/>
      <w:r w:rsidRPr="00E2630C">
        <w:t>1.5 Significance of the Study</w:t>
      </w:r>
      <w:bookmarkEnd w:id="21"/>
      <w:bookmarkEnd w:id="22"/>
    </w:p>
    <w:p w14:paraId="1AACF48E" w14:textId="2A894C36" w:rsidR="00587AF6" w:rsidRDefault="00587AF6" w:rsidP="0049497D">
      <w:pPr>
        <w:spacing w:line="480" w:lineRule="auto"/>
        <w:contextualSpacing/>
        <w:jc w:val="both"/>
        <w:rPr>
          <w:rFonts w:ascii="Times New Roman" w:eastAsiaTheme="minorEastAsia" w:hAnsi="Times New Roman" w:cs="Times New Roman"/>
          <w:color w:val="000000" w:themeColor="text1"/>
          <w:kern w:val="24"/>
          <w:sz w:val="24"/>
          <w:szCs w:val="24"/>
          <w:lang w:eastAsia="en-GB"/>
        </w:rPr>
      </w:pPr>
      <w:r w:rsidRPr="00E2630C">
        <w:rPr>
          <w:rFonts w:ascii="Times New Roman" w:eastAsiaTheme="minorEastAsia" w:hAnsi="Times New Roman" w:cs="Times New Roman"/>
          <w:color w:val="000000" w:themeColor="text1"/>
          <w:kern w:val="24"/>
          <w:sz w:val="24"/>
          <w:szCs w:val="24"/>
          <w:lang w:val="en-US" w:eastAsia="en-GB"/>
        </w:rPr>
        <w:t xml:space="preserve">Marfo et al. (2022) study examined the effects of farmer-herder conflicts on human security. </w:t>
      </w:r>
      <w:r w:rsidR="00CD3724" w:rsidRPr="00E2630C">
        <w:rPr>
          <w:rFonts w:ascii="Times New Roman" w:eastAsiaTheme="minorEastAsia" w:hAnsi="Times New Roman" w:cs="Times New Roman"/>
          <w:color w:val="000000" w:themeColor="text1"/>
          <w:kern w:val="24"/>
          <w:sz w:val="24"/>
          <w:szCs w:val="24"/>
          <w:lang w:val="en-US" w:eastAsia="en-GB"/>
        </w:rPr>
        <w:t>The study was however conducted in the Ashanti Region and did not broadly examined the overall ramification of such a conflict on human security. Though important, this has created a scholarly gap in the literature. The findings of this current study will help critical stakeholders (government, chieftaincy institution</w:t>
      </w:r>
      <w:r w:rsidR="00A755F4" w:rsidRPr="00E2630C">
        <w:rPr>
          <w:rFonts w:ascii="Times New Roman" w:eastAsiaTheme="minorEastAsia" w:hAnsi="Times New Roman" w:cs="Times New Roman"/>
          <w:color w:val="000000" w:themeColor="text1"/>
          <w:kern w:val="24"/>
          <w:sz w:val="24"/>
          <w:szCs w:val="24"/>
          <w:lang w:val="en-US" w:eastAsia="en-GB"/>
        </w:rPr>
        <w:t>s, NGOs, police, military, etc)</w:t>
      </w:r>
      <w:r w:rsidR="00CD3724" w:rsidRPr="00E2630C">
        <w:rPr>
          <w:rFonts w:ascii="Times New Roman" w:eastAsiaTheme="minorEastAsia" w:hAnsi="Times New Roman" w:cs="Times New Roman"/>
          <w:color w:val="000000" w:themeColor="text1"/>
          <w:kern w:val="24"/>
          <w:sz w:val="24"/>
          <w:szCs w:val="24"/>
          <w:lang w:val="en-US" w:eastAsia="en-GB"/>
        </w:rPr>
        <w:t xml:space="preserve"> </w:t>
      </w:r>
      <w:r w:rsidR="00CD3724" w:rsidRPr="00E2630C">
        <w:rPr>
          <w:rFonts w:ascii="Times New Roman" w:eastAsiaTheme="minorEastAsia" w:hAnsi="Times New Roman" w:cs="Times New Roman"/>
          <w:color w:val="000000" w:themeColor="text1"/>
          <w:kern w:val="24"/>
          <w:sz w:val="24"/>
          <w:szCs w:val="24"/>
          <w:lang w:eastAsia="en-GB"/>
        </w:rPr>
        <w:t>to design the necessary approach towards both short and long-term resolution to chieftaincy conflicts in Ghana</w:t>
      </w:r>
      <w:r w:rsidR="00A755F4" w:rsidRPr="00E2630C">
        <w:rPr>
          <w:rFonts w:ascii="Times New Roman" w:eastAsiaTheme="minorEastAsia" w:hAnsi="Times New Roman" w:cs="Times New Roman"/>
          <w:color w:val="000000" w:themeColor="text1"/>
          <w:kern w:val="24"/>
          <w:sz w:val="24"/>
          <w:szCs w:val="24"/>
          <w:lang w:eastAsia="en-GB"/>
        </w:rPr>
        <w:t>.</w:t>
      </w:r>
      <w:r w:rsidR="00CD3724" w:rsidRPr="00E2630C">
        <w:rPr>
          <w:rFonts w:ascii="Times New Roman" w:eastAsiaTheme="minorEastAsia" w:hAnsi="Times New Roman" w:cs="Times New Roman"/>
          <w:color w:val="000000" w:themeColor="text1"/>
          <w:kern w:val="24"/>
          <w:sz w:val="24"/>
          <w:szCs w:val="24"/>
          <w:lang w:eastAsia="en-GB"/>
        </w:rPr>
        <w:t xml:space="preserve"> </w:t>
      </w:r>
    </w:p>
    <w:p w14:paraId="703D8B5B" w14:textId="77777777" w:rsidR="0049497D" w:rsidRPr="0049497D" w:rsidRDefault="0049497D" w:rsidP="0049497D">
      <w:pPr>
        <w:pStyle w:val="NoSpacing"/>
        <w:rPr>
          <w:sz w:val="2"/>
          <w:szCs w:val="2"/>
          <w:lang w:eastAsia="en-GB"/>
        </w:rPr>
      </w:pPr>
    </w:p>
    <w:p w14:paraId="2FAA39B6" w14:textId="43D8BB27" w:rsidR="00524BFA" w:rsidRDefault="00291FCC" w:rsidP="0049497D">
      <w:pPr>
        <w:spacing w:before="240" w:after="0" w:line="480" w:lineRule="auto"/>
        <w:contextualSpacing/>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 </w:t>
      </w:r>
      <w:r w:rsidR="00524BFA" w:rsidRPr="00E2630C">
        <w:rPr>
          <w:rFonts w:ascii="Times New Roman" w:eastAsia="Times New Roman" w:hAnsi="Times New Roman" w:cs="Times New Roman"/>
          <w:color w:val="000000" w:themeColor="text1"/>
          <w:sz w:val="24"/>
          <w:szCs w:val="24"/>
          <w:lang w:eastAsia="en-GB"/>
        </w:rPr>
        <w:t xml:space="preserve">study </w:t>
      </w:r>
      <w:r w:rsidRPr="00E2630C">
        <w:rPr>
          <w:rFonts w:ascii="Times New Roman" w:eastAsia="Times New Roman" w:hAnsi="Times New Roman" w:cs="Times New Roman"/>
          <w:color w:val="000000" w:themeColor="text1"/>
          <w:sz w:val="24"/>
          <w:szCs w:val="24"/>
          <w:lang w:eastAsia="en-GB"/>
        </w:rPr>
        <w:t xml:space="preserve">has contributed to the methodology on chieftaincy conflicts and their implication on human security. The existing scholarly  works (Awedoba, 2006, 2009; Anamzoya and Tonah, 2012; Marfo et at., 2019, Marfo et al., 2022) </w:t>
      </w:r>
      <w:r w:rsidR="00A755F4" w:rsidRPr="00E2630C">
        <w:rPr>
          <w:rFonts w:ascii="Times New Roman" w:eastAsia="Times New Roman" w:hAnsi="Times New Roman" w:cs="Times New Roman"/>
          <w:color w:val="000000" w:themeColor="text1"/>
          <w:sz w:val="24"/>
          <w:szCs w:val="24"/>
          <w:lang w:eastAsia="en-GB"/>
        </w:rPr>
        <w:t xml:space="preserve">among other </w:t>
      </w:r>
      <w:r w:rsidRPr="00E2630C">
        <w:rPr>
          <w:rFonts w:ascii="Times New Roman" w:eastAsia="Times New Roman" w:hAnsi="Times New Roman" w:cs="Times New Roman"/>
          <w:color w:val="000000" w:themeColor="text1"/>
          <w:sz w:val="24"/>
          <w:szCs w:val="24"/>
          <w:lang w:eastAsia="en-GB"/>
        </w:rPr>
        <w:t xml:space="preserve">are basically </w:t>
      </w:r>
      <w:r w:rsidR="00A755F4" w:rsidRPr="00E2630C">
        <w:rPr>
          <w:rFonts w:ascii="Times New Roman" w:eastAsia="Times New Roman" w:hAnsi="Times New Roman" w:cs="Times New Roman"/>
          <w:color w:val="000000" w:themeColor="text1"/>
          <w:sz w:val="24"/>
          <w:szCs w:val="24"/>
          <w:lang w:eastAsia="en-GB"/>
        </w:rPr>
        <w:t xml:space="preserve">qualitative and or </w:t>
      </w:r>
      <w:r w:rsidRPr="00E2630C">
        <w:rPr>
          <w:rFonts w:ascii="Times New Roman" w:eastAsia="Times New Roman" w:hAnsi="Times New Roman" w:cs="Times New Roman"/>
          <w:color w:val="000000" w:themeColor="text1"/>
          <w:sz w:val="24"/>
          <w:szCs w:val="24"/>
          <w:lang w:eastAsia="en-GB"/>
        </w:rPr>
        <w:t xml:space="preserve">limited to descriptive statistics without necessarily running a regression analysis to establish the otherwise relationship between essential human security variables and chieftaincy conflicts in terms of effects. This makes the </w:t>
      </w:r>
      <w:r w:rsidR="00524BFA" w:rsidRPr="00E2630C">
        <w:rPr>
          <w:rFonts w:ascii="Times New Roman" w:eastAsia="Times New Roman" w:hAnsi="Times New Roman" w:cs="Times New Roman"/>
          <w:color w:val="000000" w:themeColor="text1"/>
          <w:sz w:val="24"/>
          <w:szCs w:val="24"/>
          <w:lang w:eastAsia="en-GB"/>
        </w:rPr>
        <w:t xml:space="preserve">current study a novelty one. </w:t>
      </w:r>
    </w:p>
    <w:p w14:paraId="6C908EC2" w14:textId="77777777" w:rsidR="0049497D" w:rsidRPr="00E2630C" w:rsidRDefault="0049497D" w:rsidP="0049497D">
      <w:pPr>
        <w:pStyle w:val="NoSpacing"/>
        <w:rPr>
          <w:lang w:eastAsia="en-GB"/>
        </w:rPr>
      </w:pPr>
    </w:p>
    <w:p w14:paraId="3074BBC8" w14:textId="77777777" w:rsidR="00CD3724" w:rsidRPr="00E2630C" w:rsidRDefault="00CD3724" w:rsidP="00CD3724">
      <w:pPr>
        <w:spacing w:after="0" w:line="480" w:lineRule="auto"/>
        <w:contextualSpacing/>
        <w:jc w:val="both"/>
        <w:rPr>
          <w:rFonts w:ascii="Times New Roman" w:eastAsiaTheme="minorEastAsia" w:hAnsi="Times New Roman" w:cs="Times New Roman"/>
          <w:color w:val="000000" w:themeColor="text1"/>
          <w:kern w:val="24"/>
          <w:sz w:val="24"/>
          <w:szCs w:val="24"/>
          <w:lang w:eastAsia="en-GB"/>
        </w:rPr>
      </w:pPr>
      <w:r w:rsidRPr="00E2630C">
        <w:rPr>
          <w:rFonts w:ascii="Times New Roman" w:eastAsia="Times New Roman" w:hAnsi="Times New Roman" w:cs="Times New Roman"/>
          <w:color w:val="000000" w:themeColor="text1"/>
          <w:sz w:val="24"/>
          <w:szCs w:val="24"/>
          <w:lang w:eastAsia="en-GB"/>
        </w:rPr>
        <w:t xml:space="preserve">Besides, </w:t>
      </w:r>
      <w:r w:rsidRPr="00E2630C">
        <w:rPr>
          <w:rFonts w:ascii="Times New Roman" w:eastAsiaTheme="minorEastAsia" w:hAnsi="Times New Roman" w:cs="Times New Roman"/>
          <w:color w:val="000000" w:themeColor="text1"/>
          <w:kern w:val="24"/>
          <w:sz w:val="24"/>
          <w:szCs w:val="24"/>
          <w:lang w:eastAsia="en-GB"/>
        </w:rPr>
        <w:t>the findings will serve as reference material for students and practitioners</w:t>
      </w:r>
      <w:r w:rsidR="00CE197B" w:rsidRPr="00E2630C">
        <w:rPr>
          <w:rFonts w:ascii="Times New Roman" w:eastAsiaTheme="minorEastAsia" w:hAnsi="Times New Roman" w:cs="Times New Roman"/>
          <w:color w:val="000000" w:themeColor="text1"/>
          <w:kern w:val="24"/>
          <w:sz w:val="24"/>
          <w:szCs w:val="24"/>
          <w:lang w:eastAsia="en-GB"/>
        </w:rPr>
        <w:t xml:space="preserve"> and a </w:t>
      </w:r>
      <w:r w:rsidR="00524BFA" w:rsidRPr="00E2630C">
        <w:rPr>
          <w:rFonts w:ascii="Times New Roman" w:eastAsiaTheme="minorEastAsia" w:hAnsi="Times New Roman" w:cs="Times New Roman"/>
          <w:color w:val="000000" w:themeColor="text1"/>
          <w:kern w:val="24"/>
          <w:sz w:val="24"/>
          <w:szCs w:val="24"/>
          <w:lang w:eastAsia="en-GB"/>
        </w:rPr>
        <w:t>guide to NGOs</w:t>
      </w:r>
      <w:r w:rsidRPr="00E2630C">
        <w:rPr>
          <w:rFonts w:ascii="Times New Roman" w:eastAsiaTheme="minorEastAsia" w:hAnsi="Times New Roman" w:cs="Times New Roman"/>
          <w:color w:val="000000" w:themeColor="text1"/>
          <w:kern w:val="24"/>
          <w:sz w:val="24"/>
          <w:szCs w:val="24"/>
          <w:lang w:eastAsia="en-GB"/>
        </w:rPr>
        <w:t xml:space="preserve"> interested in conflict, peace, security, and develop</w:t>
      </w:r>
      <w:r w:rsidR="00524BFA" w:rsidRPr="00E2630C">
        <w:rPr>
          <w:rFonts w:ascii="Times New Roman" w:eastAsiaTheme="minorEastAsia" w:hAnsi="Times New Roman" w:cs="Times New Roman"/>
          <w:color w:val="000000" w:themeColor="text1"/>
          <w:kern w:val="24"/>
          <w:sz w:val="24"/>
          <w:szCs w:val="24"/>
          <w:lang w:eastAsia="en-GB"/>
        </w:rPr>
        <w:t xml:space="preserve">ment of </w:t>
      </w:r>
      <w:r w:rsidR="00524BFA" w:rsidRPr="00E2630C">
        <w:rPr>
          <w:rFonts w:ascii="Times New Roman" w:eastAsiaTheme="minorEastAsia" w:hAnsi="Times New Roman" w:cs="Times New Roman"/>
          <w:color w:val="000000" w:themeColor="text1"/>
          <w:kern w:val="24"/>
          <w:sz w:val="24"/>
          <w:szCs w:val="24"/>
          <w:lang w:eastAsia="en-GB"/>
        </w:rPr>
        <w:lastRenderedPageBreak/>
        <w:t xml:space="preserve">communities plagued by </w:t>
      </w:r>
      <w:r w:rsidRPr="00E2630C">
        <w:rPr>
          <w:rFonts w:ascii="Times New Roman" w:eastAsiaTheme="minorEastAsia" w:hAnsi="Times New Roman" w:cs="Times New Roman"/>
          <w:color w:val="000000" w:themeColor="text1"/>
          <w:kern w:val="24"/>
          <w:sz w:val="24"/>
          <w:szCs w:val="24"/>
          <w:lang w:eastAsia="en-GB"/>
        </w:rPr>
        <w:t>chieftaincy and related conflict</w:t>
      </w:r>
      <w:r w:rsidR="00CE197B" w:rsidRPr="00E2630C">
        <w:rPr>
          <w:rFonts w:ascii="Times New Roman" w:eastAsiaTheme="minorEastAsia" w:hAnsi="Times New Roman" w:cs="Times New Roman"/>
          <w:color w:val="000000" w:themeColor="text1"/>
          <w:kern w:val="24"/>
          <w:sz w:val="24"/>
          <w:szCs w:val="24"/>
          <w:lang w:eastAsia="en-GB"/>
        </w:rPr>
        <w:t>s</w:t>
      </w:r>
      <w:r w:rsidR="00524BFA" w:rsidRPr="00E2630C">
        <w:rPr>
          <w:rFonts w:ascii="Times New Roman" w:eastAsiaTheme="minorEastAsia" w:hAnsi="Times New Roman" w:cs="Times New Roman"/>
          <w:color w:val="000000" w:themeColor="text1"/>
          <w:kern w:val="24"/>
          <w:sz w:val="24"/>
          <w:szCs w:val="24"/>
          <w:lang w:eastAsia="en-GB"/>
        </w:rPr>
        <w:t xml:space="preserve">. </w:t>
      </w:r>
      <w:r w:rsidR="00CE197B" w:rsidRPr="00E2630C">
        <w:rPr>
          <w:rFonts w:ascii="Times New Roman" w:eastAsiaTheme="minorEastAsia" w:hAnsi="Times New Roman" w:cs="Times New Roman"/>
          <w:color w:val="000000" w:themeColor="text1"/>
          <w:kern w:val="24"/>
          <w:sz w:val="24"/>
          <w:szCs w:val="24"/>
          <w:lang w:eastAsia="en-GB"/>
        </w:rPr>
        <w:t xml:space="preserve">The knowledge gain </w:t>
      </w:r>
      <w:r w:rsidR="00A755F4" w:rsidRPr="00E2630C">
        <w:rPr>
          <w:rFonts w:ascii="Times New Roman" w:eastAsiaTheme="minorEastAsia" w:hAnsi="Times New Roman" w:cs="Times New Roman"/>
          <w:color w:val="000000" w:themeColor="text1"/>
          <w:kern w:val="24"/>
          <w:sz w:val="24"/>
          <w:szCs w:val="24"/>
          <w:lang w:eastAsia="en-GB"/>
        </w:rPr>
        <w:t>will shape their</w:t>
      </w:r>
      <w:r w:rsidR="00CE197B" w:rsidRPr="00E2630C">
        <w:rPr>
          <w:rFonts w:ascii="Times New Roman" w:eastAsiaTheme="minorEastAsia" w:hAnsi="Times New Roman" w:cs="Times New Roman"/>
          <w:color w:val="000000" w:themeColor="text1"/>
          <w:kern w:val="24"/>
          <w:sz w:val="24"/>
          <w:szCs w:val="24"/>
          <w:lang w:eastAsia="en-GB"/>
        </w:rPr>
        <w:t xml:space="preserve"> world</w:t>
      </w:r>
      <w:r w:rsidR="00A755F4" w:rsidRPr="00E2630C">
        <w:rPr>
          <w:rFonts w:ascii="Times New Roman" w:eastAsiaTheme="minorEastAsia" w:hAnsi="Times New Roman" w:cs="Times New Roman"/>
          <w:color w:val="000000" w:themeColor="text1"/>
          <w:kern w:val="24"/>
          <w:sz w:val="24"/>
          <w:szCs w:val="24"/>
          <w:lang w:eastAsia="en-GB"/>
        </w:rPr>
        <w:t xml:space="preserve">view </w:t>
      </w:r>
      <w:r w:rsidR="00CE197B" w:rsidRPr="00E2630C">
        <w:rPr>
          <w:rFonts w:ascii="Times New Roman" w:eastAsiaTheme="minorEastAsia" w:hAnsi="Times New Roman" w:cs="Times New Roman"/>
          <w:color w:val="000000" w:themeColor="text1"/>
          <w:kern w:val="24"/>
          <w:sz w:val="24"/>
          <w:szCs w:val="24"/>
          <w:lang w:eastAsia="en-GB"/>
        </w:rPr>
        <w:t xml:space="preserve">as to </w:t>
      </w:r>
      <w:r w:rsidR="00A755F4" w:rsidRPr="00E2630C">
        <w:rPr>
          <w:rFonts w:ascii="Times New Roman" w:eastAsiaTheme="minorEastAsia" w:hAnsi="Times New Roman" w:cs="Times New Roman"/>
          <w:color w:val="000000" w:themeColor="text1"/>
          <w:kern w:val="24"/>
          <w:sz w:val="24"/>
          <w:szCs w:val="24"/>
          <w:lang w:eastAsia="en-GB"/>
        </w:rPr>
        <w:t>how chieftaincy conflicts differentially</w:t>
      </w:r>
      <w:r w:rsidR="00CE197B" w:rsidRPr="00E2630C">
        <w:rPr>
          <w:rFonts w:ascii="Times New Roman" w:eastAsiaTheme="minorEastAsia" w:hAnsi="Times New Roman" w:cs="Times New Roman"/>
          <w:color w:val="000000" w:themeColor="text1"/>
          <w:kern w:val="24"/>
          <w:sz w:val="24"/>
          <w:szCs w:val="24"/>
          <w:lang w:eastAsia="en-GB"/>
        </w:rPr>
        <w:t xml:space="preserve"> impact human security and the need for pragmatic approach to chieftaincy conflicts in the country</w:t>
      </w:r>
    </w:p>
    <w:p w14:paraId="0954B822" w14:textId="77777777" w:rsidR="00CD3724" w:rsidRPr="00E2630C" w:rsidRDefault="00CD3724" w:rsidP="00CD3724">
      <w:pPr>
        <w:spacing w:after="0" w:line="216" w:lineRule="auto"/>
        <w:contextualSpacing/>
        <w:jc w:val="both"/>
        <w:rPr>
          <w:rFonts w:ascii="Times New Roman" w:eastAsiaTheme="minorEastAsia" w:hAnsi="Times New Roman" w:cs="Times New Roman"/>
          <w:color w:val="000000" w:themeColor="text1"/>
          <w:kern w:val="24"/>
          <w:sz w:val="24"/>
          <w:szCs w:val="24"/>
          <w:lang w:eastAsia="en-GB"/>
        </w:rPr>
      </w:pPr>
    </w:p>
    <w:p w14:paraId="1228A6FA" w14:textId="77777777" w:rsidR="00CD3724" w:rsidRPr="00E2630C" w:rsidRDefault="00CD3724" w:rsidP="00CD3724">
      <w:pPr>
        <w:spacing w:after="0" w:line="216" w:lineRule="auto"/>
        <w:contextualSpacing/>
        <w:jc w:val="both"/>
        <w:rPr>
          <w:rFonts w:ascii="Times New Roman" w:eastAsiaTheme="minorEastAsia" w:hAnsi="Times New Roman" w:cs="Times New Roman"/>
          <w:color w:val="000000" w:themeColor="text1"/>
          <w:kern w:val="24"/>
          <w:sz w:val="24"/>
          <w:szCs w:val="24"/>
          <w:lang w:eastAsia="en-GB"/>
        </w:rPr>
      </w:pPr>
    </w:p>
    <w:p w14:paraId="3C9A8842" w14:textId="77777777" w:rsidR="00CD3724" w:rsidRPr="00E2630C" w:rsidRDefault="00CD3724" w:rsidP="0049497D">
      <w:pPr>
        <w:pStyle w:val="Heading2"/>
      </w:pPr>
      <w:bookmarkStart w:id="23" w:name="_Toc182386218"/>
      <w:r w:rsidRPr="00E2630C">
        <w:t>1.6 Scope of the Study</w:t>
      </w:r>
      <w:bookmarkEnd w:id="23"/>
    </w:p>
    <w:p w14:paraId="0F6A11BD" w14:textId="775CA72C" w:rsidR="00CD3724" w:rsidRPr="00E2630C" w:rsidRDefault="00524BFA"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study has </w:t>
      </w:r>
      <w:r w:rsidR="0011600E" w:rsidRPr="00E2630C">
        <w:rPr>
          <w:rFonts w:ascii="Times New Roman" w:hAnsi="Times New Roman" w:cs="Times New Roman"/>
          <w:color w:val="000000" w:themeColor="text1"/>
          <w:sz w:val="24"/>
          <w:szCs w:val="24"/>
        </w:rPr>
        <w:t xml:space="preserve">a </w:t>
      </w:r>
      <w:r w:rsidRPr="00E2630C">
        <w:rPr>
          <w:rFonts w:ascii="Times New Roman" w:hAnsi="Times New Roman" w:cs="Times New Roman"/>
          <w:color w:val="000000" w:themeColor="text1"/>
          <w:sz w:val="24"/>
          <w:szCs w:val="24"/>
        </w:rPr>
        <w:t xml:space="preserve">contextual scope. It </w:t>
      </w:r>
      <w:r w:rsidR="0011600E" w:rsidRPr="00E2630C">
        <w:rPr>
          <w:rFonts w:ascii="Times New Roman" w:hAnsi="Times New Roman" w:cs="Times New Roman"/>
          <w:color w:val="000000" w:themeColor="text1"/>
          <w:sz w:val="24"/>
          <w:szCs w:val="24"/>
        </w:rPr>
        <w:t xml:space="preserve">is </w:t>
      </w:r>
      <w:r w:rsidRPr="00E2630C">
        <w:rPr>
          <w:rFonts w:ascii="Times New Roman" w:hAnsi="Times New Roman" w:cs="Times New Roman"/>
          <w:color w:val="000000" w:themeColor="text1"/>
          <w:sz w:val="24"/>
          <w:szCs w:val="24"/>
        </w:rPr>
        <w:t xml:space="preserve">focused </w:t>
      </w:r>
      <w:r w:rsidR="00CD3724" w:rsidRPr="00E2630C">
        <w:rPr>
          <w:rFonts w:ascii="Times New Roman" w:hAnsi="Times New Roman" w:cs="Times New Roman"/>
          <w:color w:val="000000" w:themeColor="text1"/>
          <w:sz w:val="24"/>
          <w:szCs w:val="24"/>
        </w:rPr>
        <w:t>on Bimbilla chieftaincy in Ghana's Northern Region. This issue is distinct in two respects: first, it is an intra-gate conflict; second, it exposes an underlying power struggle between two influential kingmakers since the creation of the Bimbilla chiefdom</w:t>
      </w:r>
      <w:r w:rsidRPr="00E2630C">
        <w:rPr>
          <w:rFonts w:ascii="Times New Roman" w:hAnsi="Times New Roman" w:cs="Times New Roman"/>
          <w:color w:val="000000" w:themeColor="text1"/>
          <w:sz w:val="24"/>
          <w:szCs w:val="24"/>
        </w:rPr>
        <w:t>.</w:t>
      </w:r>
      <w:r w:rsidR="00CD3724" w:rsidRPr="00E2630C">
        <w:rPr>
          <w:rFonts w:ascii="Times New Roman" w:hAnsi="Times New Roman" w:cs="Times New Roman"/>
          <w:color w:val="000000" w:themeColor="text1"/>
          <w:sz w:val="24"/>
          <w:szCs w:val="24"/>
        </w:rPr>
        <w:t xml:space="preserve"> Two princes from the same gate are engaged in a chieftaincy dispute in Bimbilla. They both assert that they were slain by the proper authorities and are Bimbilla Naa, the overlord of the Nanumba people </w:t>
      </w:r>
      <w:r w:rsidR="00CD3724" w:rsidRPr="00E2630C">
        <w:rPr>
          <w:rFonts w:ascii="Times New Roman" w:eastAsia="Times New Roman" w:hAnsi="Times New Roman" w:cs="Times New Roman"/>
          <w:color w:val="000000" w:themeColor="text1"/>
          <w:sz w:val="24"/>
          <w:szCs w:val="24"/>
        </w:rPr>
        <w:t>(Anamzoya &amp; Steve, 2012)</w:t>
      </w:r>
      <w:r w:rsidR="00CD3724" w:rsidRPr="00E2630C">
        <w:rPr>
          <w:rFonts w:ascii="Times New Roman" w:hAnsi="Times New Roman" w:cs="Times New Roman"/>
          <w:color w:val="000000" w:themeColor="text1"/>
          <w:sz w:val="24"/>
          <w:szCs w:val="24"/>
        </w:rPr>
        <w:t>. The Bimbilla chieftaincy involves people of the same ethnic group (Nanumbas). The Andani gate and the Nakpa Naa gate are involved in the intra-ethnic succession dispute.  In this context, the study aims to investigate the cost of the conflict on human security, with particular attention to how it has impacted economic, food, environmental, health, and personal security.</w:t>
      </w:r>
    </w:p>
    <w:p w14:paraId="76757F1A" w14:textId="77777777" w:rsidR="000E5ADD" w:rsidRPr="00E2630C" w:rsidRDefault="000E5ADD" w:rsidP="00CD3724">
      <w:pPr>
        <w:spacing w:after="0" w:line="480" w:lineRule="auto"/>
        <w:jc w:val="both"/>
        <w:rPr>
          <w:rFonts w:ascii="Times New Roman" w:hAnsi="Times New Roman" w:cs="Times New Roman"/>
          <w:color w:val="000000" w:themeColor="text1"/>
          <w:sz w:val="24"/>
          <w:szCs w:val="24"/>
        </w:rPr>
      </w:pPr>
    </w:p>
    <w:p w14:paraId="73373741" w14:textId="77777777" w:rsidR="00CD3724" w:rsidRPr="00E2630C" w:rsidRDefault="00CD3724" w:rsidP="0049497D">
      <w:pPr>
        <w:pStyle w:val="Heading2"/>
      </w:pPr>
      <w:bookmarkStart w:id="24" w:name="_Toc182386219"/>
      <w:r w:rsidRPr="00E2630C">
        <w:t>1.7 Organization of the Thesis</w:t>
      </w:r>
      <w:bookmarkEnd w:id="24"/>
      <w:r w:rsidRPr="00E2630C">
        <w:t xml:space="preserve"> </w:t>
      </w:r>
    </w:p>
    <w:p w14:paraId="4F7B6FFB" w14:textId="0DCBBCD8" w:rsidR="00CD3724" w:rsidRDefault="00CD3724" w:rsidP="005D020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This research was organized in five chapters for clearer and orderly presentation. Chapter one gave a background to the study. The problem statement, research questions and objectives together with the theoretical and conceptual framework of the study were handled under chapter one. Some terms that were relevant to the study were also operationalized in chapter one. Additionally, profile of the study area, justification and the scope as well as limitations and organization of the study were captured in this chapter. Chapter two of this study covered a review of literature. It explored scholarly debates on the topic. This was extensively done to put the study in a proper context. </w:t>
      </w:r>
      <w:r w:rsidRPr="00E2630C">
        <w:rPr>
          <w:rFonts w:ascii="Times New Roman" w:hAnsi="Times New Roman" w:cs="Times New Roman"/>
          <w:color w:val="000000" w:themeColor="text1"/>
          <w:sz w:val="24"/>
          <w:szCs w:val="24"/>
        </w:rPr>
        <w:lastRenderedPageBreak/>
        <w:t>The work of chapter two brought to bear on the study previous works done in relation to it.  The research methodology, research design, sampling details, primary data collection techniques, review of secondary data, techniques of data analysis and presentation were examined in chapter three. This chapter also outlined the research process. Thus, chapter three looked at the procedures used in doing the study as well as ethical considerations in the study.  In chapter four, analysis of data was done and findings presented. The concluding chapter, chapter five presented summaries of the main findings and revisited the research problem, questions and objectives. Subsequently, findings presented were discussed to address the research problem. Conclusions were drawn and recommendations to the study made.</w:t>
      </w:r>
    </w:p>
    <w:p w14:paraId="5C186FA0" w14:textId="307F4011" w:rsidR="0049497D" w:rsidRDefault="0049497D" w:rsidP="005D0204">
      <w:pPr>
        <w:spacing w:line="480" w:lineRule="auto"/>
        <w:jc w:val="both"/>
        <w:rPr>
          <w:rFonts w:ascii="Times New Roman" w:hAnsi="Times New Roman" w:cs="Times New Roman"/>
          <w:color w:val="000000" w:themeColor="text1"/>
          <w:sz w:val="24"/>
          <w:szCs w:val="24"/>
        </w:rPr>
      </w:pPr>
    </w:p>
    <w:p w14:paraId="1CC99815" w14:textId="0FAA540B" w:rsidR="0049497D" w:rsidRDefault="0049497D" w:rsidP="005D0204">
      <w:pPr>
        <w:spacing w:line="480" w:lineRule="auto"/>
        <w:jc w:val="both"/>
        <w:rPr>
          <w:rFonts w:ascii="Times New Roman" w:hAnsi="Times New Roman" w:cs="Times New Roman"/>
          <w:color w:val="000000" w:themeColor="text1"/>
          <w:sz w:val="24"/>
          <w:szCs w:val="24"/>
        </w:rPr>
      </w:pPr>
    </w:p>
    <w:p w14:paraId="1466D934" w14:textId="13F33B69" w:rsidR="0049497D" w:rsidRDefault="0049497D" w:rsidP="005D0204">
      <w:pPr>
        <w:spacing w:line="480" w:lineRule="auto"/>
        <w:jc w:val="both"/>
        <w:rPr>
          <w:rFonts w:ascii="Times New Roman" w:hAnsi="Times New Roman" w:cs="Times New Roman"/>
          <w:color w:val="000000" w:themeColor="text1"/>
          <w:sz w:val="24"/>
          <w:szCs w:val="24"/>
        </w:rPr>
      </w:pPr>
    </w:p>
    <w:p w14:paraId="753AD973" w14:textId="2BBE0EA9" w:rsidR="0049497D" w:rsidRDefault="0049497D" w:rsidP="005D0204">
      <w:pPr>
        <w:spacing w:line="480" w:lineRule="auto"/>
        <w:jc w:val="both"/>
        <w:rPr>
          <w:rFonts w:ascii="Times New Roman" w:hAnsi="Times New Roman" w:cs="Times New Roman"/>
          <w:color w:val="000000" w:themeColor="text1"/>
          <w:sz w:val="24"/>
          <w:szCs w:val="24"/>
        </w:rPr>
      </w:pPr>
    </w:p>
    <w:p w14:paraId="354544CF" w14:textId="7CC50007" w:rsidR="0049497D" w:rsidRDefault="0049497D" w:rsidP="005D0204">
      <w:pPr>
        <w:spacing w:line="480" w:lineRule="auto"/>
        <w:jc w:val="both"/>
        <w:rPr>
          <w:rFonts w:ascii="Times New Roman" w:hAnsi="Times New Roman" w:cs="Times New Roman"/>
          <w:color w:val="000000" w:themeColor="text1"/>
          <w:sz w:val="24"/>
          <w:szCs w:val="24"/>
        </w:rPr>
      </w:pPr>
    </w:p>
    <w:p w14:paraId="2C9F016F" w14:textId="7AA764DC" w:rsidR="0049497D" w:rsidRDefault="0049497D" w:rsidP="005D0204">
      <w:pPr>
        <w:spacing w:line="480" w:lineRule="auto"/>
        <w:jc w:val="both"/>
        <w:rPr>
          <w:rFonts w:ascii="Times New Roman" w:hAnsi="Times New Roman" w:cs="Times New Roman"/>
          <w:color w:val="000000" w:themeColor="text1"/>
          <w:sz w:val="24"/>
          <w:szCs w:val="24"/>
        </w:rPr>
      </w:pPr>
    </w:p>
    <w:p w14:paraId="02D546BC" w14:textId="4700AA85" w:rsidR="0049497D" w:rsidRDefault="0049497D" w:rsidP="005D0204">
      <w:pPr>
        <w:spacing w:line="480" w:lineRule="auto"/>
        <w:jc w:val="both"/>
        <w:rPr>
          <w:rFonts w:ascii="Times New Roman" w:hAnsi="Times New Roman" w:cs="Times New Roman"/>
          <w:color w:val="000000" w:themeColor="text1"/>
          <w:sz w:val="24"/>
          <w:szCs w:val="24"/>
        </w:rPr>
      </w:pPr>
    </w:p>
    <w:p w14:paraId="7F9A8AC0" w14:textId="77777777" w:rsidR="0049497D" w:rsidRPr="00E2630C" w:rsidRDefault="0049497D" w:rsidP="005D0204">
      <w:pPr>
        <w:spacing w:line="480" w:lineRule="auto"/>
        <w:jc w:val="both"/>
        <w:rPr>
          <w:rFonts w:ascii="Times New Roman" w:hAnsi="Times New Roman" w:cs="Times New Roman"/>
          <w:color w:val="000000" w:themeColor="text1"/>
          <w:sz w:val="24"/>
          <w:szCs w:val="24"/>
        </w:rPr>
      </w:pPr>
    </w:p>
    <w:p w14:paraId="4D83D7BC" w14:textId="77777777" w:rsidR="00CD3724" w:rsidRPr="00E2630C" w:rsidRDefault="00CD3724" w:rsidP="00E2630C">
      <w:pPr>
        <w:pStyle w:val="Heading1"/>
      </w:pPr>
      <w:bookmarkStart w:id="25" w:name="_Toc182386220"/>
      <w:r w:rsidRPr="00E2630C">
        <w:lastRenderedPageBreak/>
        <w:t>CHAPTER TWO</w:t>
      </w:r>
      <w:bookmarkEnd w:id="25"/>
    </w:p>
    <w:p w14:paraId="55F8222F" w14:textId="77777777" w:rsidR="00CD3724" w:rsidRPr="00E2630C" w:rsidRDefault="00CD3724" w:rsidP="00E2630C">
      <w:pPr>
        <w:pStyle w:val="Heading1"/>
      </w:pPr>
      <w:bookmarkStart w:id="26" w:name="_Toc182386221"/>
      <w:r w:rsidRPr="00E2630C">
        <w:t>LITERATURE REVIEW</w:t>
      </w:r>
      <w:bookmarkEnd w:id="26"/>
    </w:p>
    <w:p w14:paraId="2B444B94" w14:textId="77777777" w:rsidR="00CD3724" w:rsidRPr="00E2630C" w:rsidRDefault="00CD3724" w:rsidP="0049497D">
      <w:pPr>
        <w:pStyle w:val="Heading2"/>
      </w:pPr>
      <w:bookmarkStart w:id="27" w:name="_Toc182386222"/>
      <w:r w:rsidRPr="00E2630C">
        <w:t>2.1 Introduction</w:t>
      </w:r>
      <w:bookmarkEnd w:id="27"/>
      <w:r w:rsidRPr="00E2630C">
        <w:t xml:space="preserve"> </w:t>
      </w:r>
    </w:p>
    <w:p w14:paraId="761432D2"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This chapter reviews relevant scholarly works on conflict and human security with a focus on the Bimbilla chieftaincy conflict. In this regard, certain key terms and concepts including; conflict, chief and chieftaincy conflicts; structure of Bimbilla chieftaincy, causes of chieftaincy conflict in the northern region, human security, key indicators of human security; personal security, health security, food security, environmental security, economic security. The review equally covers human security-related concepts, the chapter critiques relevant theories on conflict and human security. The chapter also focuses on the conceptual framework explaining chieftaincy conflicts and their human security implications. This study provides an inside into the security implication of the Bimbilla chieftaincy conflict. Thus, by highlighting the relevant research and theoretical perspectives, the study will help provide a better understanding of chieftaincy conflicts and their human security implications.</w:t>
      </w:r>
    </w:p>
    <w:p w14:paraId="7FEE9C1E" w14:textId="77777777" w:rsidR="00CD3724" w:rsidRPr="00E2630C" w:rsidRDefault="00CD3724" w:rsidP="0049497D">
      <w:pPr>
        <w:pStyle w:val="NoSpacing"/>
      </w:pPr>
    </w:p>
    <w:p w14:paraId="7FE83896" w14:textId="77777777" w:rsidR="00CD3724" w:rsidRPr="00E2630C" w:rsidRDefault="00CD3724" w:rsidP="0049497D">
      <w:pPr>
        <w:pStyle w:val="Heading2"/>
      </w:pPr>
      <w:bookmarkStart w:id="28" w:name="_Toc182386223"/>
      <w:r w:rsidRPr="00E2630C">
        <w:t>2.2 Chief</w:t>
      </w:r>
      <w:bookmarkEnd w:id="28"/>
    </w:p>
    <w:p w14:paraId="0ACFBEEB"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colonial officials invented the idea of a chief. Seidu (2016) identified the current traditional leaders as chiefs or warrant chiefs in their demand for a defining term for them to facilitate simple governance within the local government structure. From pre-colonial times to the present day, chiefs have preserved their traditional titles such as "Hene" for the Akan, "Nii" for the Ga, "Togbe" for the Ewe, and "Naa" for the Mole-Dagbani People (Seidu, 2016). When the British combined all traditional leaders under the general title of chief, the hierarchical system that existed among various levels of traditional authority for example, "Omanhene" for paramount chief, "Ohene" for chief, and "Odekro" for village chief among the Akan was ignored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lastRenderedPageBreak/>
        <w:t xml:space="preserve">As a result, the idea of the chief was neither unified in power nor inevitably complimentary to the new changes. Acemoglu et al. (2013) defines a chief as a member of one of the reigning families who holds official recognition from the federal government. Similarly, </w:t>
      </w:r>
      <w:r w:rsidRPr="00E2630C">
        <w:rPr>
          <w:rFonts w:ascii="Times New Roman" w:eastAsia="Times New Roman" w:hAnsi="Times New Roman" w:cs="Times New Roman"/>
          <w:color w:val="000000" w:themeColor="text1"/>
          <w:sz w:val="24"/>
          <w:szCs w:val="24"/>
        </w:rPr>
        <w:t xml:space="preserve">Mawuko-Yevugah &amp; Attipoe (2021) </w:t>
      </w:r>
      <w:r w:rsidRPr="00E2630C">
        <w:rPr>
          <w:rFonts w:ascii="Times New Roman" w:hAnsi="Times New Roman" w:cs="Times New Roman"/>
          <w:color w:val="000000" w:themeColor="text1"/>
          <w:sz w:val="24"/>
          <w:szCs w:val="24"/>
        </w:rPr>
        <w:t xml:space="preserve">states that a chief is a person chosen or elected in accordance with custom and acknowledged by the national government as having authority and carrying out government-assigned or tradition-derived tasks within a designated area. Contrary to the view of Acemoglu et al. (2013), the current chieftaincy enskinment does not necessarily need the recognition of the central government but rather depends much on the kingmakers and elders in the society. The emphasis on selection based on community tradition, ruling families, and official acknowledgment is a key component of these definitions. Because it can promote a cordial relationship between the government and the chieftaincy institution, this connection between tradition and government is essential. Although the government is not supposed to get involved in chieftaincy matters, it cannot ignore the fact that the chieftaincy institution is confined to the boundaries of the contemporary western democratic system. Given that a person nominated, chosen, and installed as a chief is supposed to be gazzeted, this likely explains why the definition of a chief as provided by the various positions involves the element of recognition.  In the modern period, when chiefs must work with the government to deliver much-needed development to their communities, this notion has taken on even greater significance. Indeed, this shows that in order to bring such development initiatives to their communities, chiefs must influence governments </w:t>
      </w:r>
      <w:r w:rsidRPr="00E2630C">
        <w:rPr>
          <w:rFonts w:ascii="Times New Roman" w:eastAsia="Times New Roman" w:hAnsi="Times New Roman" w:cs="Times New Roman"/>
          <w:color w:val="000000" w:themeColor="text1"/>
          <w:sz w:val="24"/>
          <w:szCs w:val="24"/>
        </w:rPr>
        <w:t>(Honyenuga &amp; Wutoh, 2019)</w:t>
      </w:r>
      <w:r w:rsidRPr="00E2630C">
        <w:rPr>
          <w:rFonts w:ascii="Times New Roman" w:hAnsi="Times New Roman" w:cs="Times New Roman"/>
          <w:color w:val="000000" w:themeColor="text1"/>
          <w:sz w:val="24"/>
          <w:szCs w:val="24"/>
        </w:rPr>
        <w:t>.</w:t>
      </w:r>
    </w:p>
    <w:p w14:paraId="5EDBEA8D"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 chief is defined as someone who comes from a suitable family and lineage, has been duly nominated, elected, or selected, and has been enstooled, enskinned, or installed as a chief or queen mother in accordance with the applicable customary law and usage. </w:t>
      </w:r>
      <w:r w:rsidRPr="00E2630C">
        <w:rPr>
          <w:rFonts w:ascii="Times New Roman" w:hAnsi="Times New Roman" w:cs="Times New Roman"/>
          <w:color w:val="000000" w:themeColor="text1"/>
          <w:sz w:val="24"/>
          <w:szCs w:val="24"/>
        </w:rPr>
        <w:lastRenderedPageBreak/>
        <w:t>This definition is shared by the Chieftaincy Act, 2008 (Act 759) and the 1992 Constitution of Ghana (Article 277). According to Nlerum (2010), the term "chief" refers to the person who holds a traditional title and is chosen by their people to exert power over them in a town or community. The fact that chieftaincy is closely associated with a family, hereditary, or suitable lineage is a fundamental component of these interpretations. These definitions have a flaw in that they fail to acknowledge the role that government plays in chieftaincy matters. It is appropriate to note that administrative or professional titles like chief director, chief engineer, chief consultant, chief inspector, chief justice, and chief architect are not included by the definition of a chief established by the 1992 Republican Constitution of Ghana and Nlerum (2010). Hence, the definitions by Nlerum (2010) and the 1992 Republic Constitution of Ghana have a similar understanding of chief and therefore both definitions have the same short coming. In order to exercise traditional authority, a chief must get power by ascription; however, the community must approve of inheritance and the enthronement of the skin or stool. For this study, a chief is conceptualised as the traditional political agent, who can exercise and extend his authority over populations within the intimate jurisdiction of the community and recognized by the people and the state. As a result, in a pre-existing social system, a chief gains authority. The chief is a political figure who wants to use his influence for economic, military, and ideological purposes. In this instance, the chief's network of followers and political body serve as his agents (Earle, 2011). It consists of the warriors of the chief, priests, managers, and other individuals engaged in income collection and power strategy support. Chiefs at all levels, including paramount, divisional, and village chiefs, are referred to by the general title "chief."</w:t>
      </w:r>
    </w:p>
    <w:p w14:paraId="35C2115E" w14:textId="77777777" w:rsidR="00CD3724" w:rsidRPr="00E2630C" w:rsidRDefault="00CD3724" w:rsidP="00CD3724">
      <w:pPr>
        <w:pStyle w:val="NoSpacing"/>
        <w:rPr>
          <w:rFonts w:ascii="Times New Roman" w:hAnsi="Times New Roman" w:cs="Times New Roman"/>
          <w:color w:val="000000" w:themeColor="text1"/>
          <w:sz w:val="24"/>
          <w:szCs w:val="24"/>
        </w:rPr>
      </w:pPr>
    </w:p>
    <w:p w14:paraId="71211D6F" w14:textId="77777777" w:rsidR="00CD3724" w:rsidRPr="00E2630C" w:rsidRDefault="00CD3724" w:rsidP="0049497D">
      <w:pPr>
        <w:pStyle w:val="Heading2"/>
      </w:pPr>
      <w:bookmarkStart w:id="29" w:name="_Toc182386224"/>
      <w:r w:rsidRPr="00E2630C">
        <w:lastRenderedPageBreak/>
        <w:t>2.3 The History and Position of Chiefs</w:t>
      </w:r>
      <w:bookmarkEnd w:id="29"/>
    </w:p>
    <w:p w14:paraId="1E7326CF"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Three main periods can be distinguished in the history and role of chiefs: pre-colonial, colonial, and post-colonial/modern.</w:t>
      </w:r>
    </w:p>
    <w:p w14:paraId="42A493DD" w14:textId="77777777" w:rsidR="00CD3724" w:rsidRPr="00E2630C" w:rsidRDefault="00CD3724" w:rsidP="0049497D">
      <w:pPr>
        <w:pStyle w:val="Heading3"/>
      </w:pPr>
      <w:bookmarkStart w:id="30" w:name="_Toc182386225"/>
      <w:r w:rsidRPr="00E2630C">
        <w:t>2.3.1 Chiefs in the Pre-Colonial Period</w:t>
      </w:r>
      <w:bookmarkEnd w:id="30"/>
    </w:p>
    <w:p w14:paraId="3EC955C2"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Wherever it existed, principal positions, particularly in centralized regimes, were governed by particular institutionalized customs pertaining to assuming office and carrying out duties. According to Aikins (2011), the office was frequently held by members of particular lineages that were related to the founding fathers. But in situations where there were several contenders for the chieftaincy, qualifications and merit took precedence over genetics as determining factors. A system of rotation, whereby the successor would be chosen from the rival houses in turn, was preferred in situations when no single family or lineage could prove uncontested claims (Baffoe, 2017).</w:t>
      </w:r>
    </w:p>
    <w:p w14:paraId="4CEBD076" w14:textId="77777777" w:rsidR="00CD3724" w:rsidRPr="00E2630C" w:rsidRDefault="00CD3724" w:rsidP="00CD3724">
      <w:pPr>
        <w:spacing w:after="0" w:line="480" w:lineRule="auto"/>
        <w:jc w:val="both"/>
        <w:rPr>
          <w:rFonts w:ascii="Times New Roman" w:hAnsi="Times New Roman" w:cs="Times New Roman"/>
          <w:b/>
          <w:color w:val="000000" w:themeColor="text1"/>
          <w:sz w:val="24"/>
          <w:szCs w:val="24"/>
        </w:rPr>
      </w:pPr>
      <w:r w:rsidRPr="00E2630C">
        <w:rPr>
          <w:rFonts w:ascii="Times New Roman" w:hAnsi="Times New Roman" w:cs="Times New Roman"/>
          <w:color w:val="000000" w:themeColor="text1"/>
          <w:sz w:val="24"/>
          <w:szCs w:val="24"/>
        </w:rPr>
        <w:t xml:space="preserve">The chief served as the old state's political, social, legal, and military leader. As political head, he was responsible for the maintenance of good order in his state (Nlerum, 2010). The chief served as a go-between for his people's spiritual energies and as a protector of their core beliefs. He oversaw market tolls, tributes, court penalties, and other income (Belden, 2010). Additionally, he served as the last arbiter in the administration of justice. Thus, it is evident that chiefs enjoyed a high degree of autonomy during the pre-colonial period. On the other hand, the chief made decisions based on the counsel of a council that has been referred to as an inner or privy council. These institutional checks and the queen's mother protected against autocratic impulses in cases where the system worked well (Belden, 2010). For breaking the state's rules, taboos, or trust, as well as for being incompetent, the chief of most ethnic groups was subject to destooling or dethronement </w:t>
      </w:r>
      <w:r w:rsidRPr="00E2630C">
        <w:rPr>
          <w:rFonts w:ascii="Times New Roman" w:eastAsia="Times New Roman" w:hAnsi="Times New Roman" w:cs="Times New Roman"/>
          <w:color w:val="000000" w:themeColor="text1"/>
          <w:sz w:val="24"/>
          <w:szCs w:val="24"/>
        </w:rPr>
        <w:t>(Adjaye &amp; Buba, 2006; Aikins, 2011)</w:t>
      </w:r>
      <w:r w:rsidRPr="00E2630C">
        <w:rPr>
          <w:rFonts w:ascii="Times New Roman" w:hAnsi="Times New Roman" w:cs="Times New Roman"/>
          <w:color w:val="000000" w:themeColor="text1"/>
          <w:sz w:val="24"/>
          <w:szCs w:val="24"/>
        </w:rPr>
        <w:t xml:space="preserve">. In the pre-colonial era, chiefs had </w:t>
      </w:r>
      <w:r w:rsidRPr="00E2630C">
        <w:rPr>
          <w:rFonts w:ascii="Times New Roman" w:hAnsi="Times New Roman" w:cs="Times New Roman"/>
          <w:color w:val="000000" w:themeColor="text1"/>
          <w:sz w:val="24"/>
          <w:szCs w:val="24"/>
        </w:rPr>
        <w:lastRenderedPageBreak/>
        <w:t>real authority inside their territories. They were monarchs whose legislative, executive, and judicial powers came from long-standing, well-established, and highly esteemed traditions and practices among the populace in their respective domains of jurisdiction. Most of the chiefs were of the monarchical, associational, or consular types, and they combined temporal and spiritual powers. These highly regarded and efficient methods were comparable to the power of any monarchy in any region with a well-functioning political structure. Indeed, the old rulers in theory and practice were more or less governors of their territory albeit their authority was constrained by certain norms and traditions (Nlerum, 2010).</w:t>
      </w:r>
    </w:p>
    <w:p w14:paraId="0DA928AB" w14:textId="77777777" w:rsidR="00CD3724" w:rsidRPr="00E2630C" w:rsidRDefault="00CD3724" w:rsidP="0049497D">
      <w:pPr>
        <w:pStyle w:val="Heading3"/>
      </w:pPr>
      <w:bookmarkStart w:id="31" w:name="_Toc182386226"/>
      <w:r w:rsidRPr="00E2630C">
        <w:t>2.3.2 Chiefs under Colonialism</w:t>
      </w:r>
      <w:bookmarkEnd w:id="31"/>
    </w:p>
    <w:p w14:paraId="2D89EDE1"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British were faced with the financial and practical challenges of managing numerous colonies since they were annexing large areas of land. Unable and unwilling to invest the essential resources to run their colonies efficiently, the British turned to an already recognized policy of Indirect Rule after its successful execution in Nigeria by Lord Lugard </w:t>
      </w:r>
      <w:r w:rsidRPr="00E2630C">
        <w:rPr>
          <w:rFonts w:ascii="Times New Roman" w:eastAsia="Times New Roman" w:hAnsi="Times New Roman" w:cs="Times New Roman"/>
          <w:color w:val="000000" w:themeColor="text1"/>
          <w:sz w:val="24"/>
          <w:szCs w:val="24"/>
        </w:rPr>
        <w:t>(Adjaye &amp; Buba, 2006; Aikins, 2011; Keese, 2011)</w:t>
      </w:r>
      <w:r w:rsidRPr="00E2630C">
        <w:rPr>
          <w:rFonts w:ascii="Times New Roman" w:hAnsi="Times New Roman" w:cs="Times New Roman"/>
          <w:color w:val="000000" w:themeColor="text1"/>
          <w:sz w:val="24"/>
          <w:szCs w:val="24"/>
        </w:rPr>
        <w:t xml:space="preserve">. They concluded that using the leaders of the native people to control them would be a prudent and affordable course of action after realizing that the traditional rulers possessed the majority of the economic resources (Aikins, 2011). In the process of installing the colonial government, chiefs and their councils, notably in Southern and Northern Ghana came to dominate local administration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As was previously said, the name "chief" originated with colonialism, and the colonial government was successful in uniting local leaders under a single title in order to subjugate them into serving the colonial government. When faced with acephalous societies, colonial administrators were quick to establish and install chiefs by warrants, picking local people at random and promoting them to the position of chief. Through a system commonly referred to </w:t>
      </w:r>
      <w:r w:rsidRPr="00E2630C">
        <w:rPr>
          <w:rFonts w:ascii="Times New Roman" w:hAnsi="Times New Roman" w:cs="Times New Roman"/>
          <w:color w:val="000000" w:themeColor="text1"/>
          <w:sz w:val="24"/>
          <w:szCs w:val="24"/>
        </w:rPr>
        <w:lastRenderedPageBreak/>
        <w:t xml:space="preserve">the Warrant Chiefs, the colonialists rebuilt tradition by borrowing the imported construct of chief from Nigeria, where they lacked traditional and historic authority (Mbah, 2013). In contrast to pre-colonial times when the authority of the traditional leader and his position were guarded and negotiated by locally established processes, many colonial chiefs lacked legitimacy </w:t>
      </w:r>
      <w:r w:rsidRPr="00E2630C">
        <w:rPr>
          <w:rFonts w:ascii="Times New Roman" w:eastAsia="Times New Roman" w:hAnsi="Times New Roman" w:cs="Times New Roman"/>
          <w:color w:val="000000" w:themeColor="text1"/>
          <w:sz w:val="24"/>
          <w:szCs w:val="24"/>
        </w:rPr>
        <w:t>(Adjaye &amp; Buba, 2006; Crook et al., 2010; Keese, 2011; Nlerum, 2010)</w:t>
      </w:r>
      <w:r w:rsidRPr="00E2630C">
        <w:rPr>
          <w:rFonts w:ascii="Times New Roman" w:hAnsi="Times New Roman" w:cs="Times New Roman"/>
          <w:color w:val="000000" w:themeColor="text1"/>
          <w:sz w:val="24"/>
          <w:szCs w:val="24"/>
        </w:rPr>
        <w:t xml:space="preserve">. </w:t>
      </w:r>
    </w:p>
    <w:p w14:paraId="1F77AEB3"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Chiefs maintained legal powers and control over land allocation and local taxation, so keeping some degree of autonomy, especially in topics that were viewed as coming under the sphere of customary law, as interpreted by Native Courts (Belden, 2010; Owusu-Mensah, 2014). The idea of a dual system originated from the degree of separation between the central government and local administration, even though the borders of these administrative regions were not well defined. It appeared as if the colonialists were concerned with preserving the moral and spiritual significance of the chiefly office of the natives, but in reality, the purpose was to erode traditional systems (Keese, 2011). Because of this arrangement, the British were able to maintain effective control over every aspect of life without using a lot of colonial officials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w:t>
      </w:r>
    </w:p>
    <w:p w14:paraId="4D75DA53"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ability of colonial administrators to subjugate large and expansive regions was thus enabled by chiefs. As was to be expected, chiefs were placed in an awkward and unfavorable position as they were both the colonial government's auxiliary and the conduit between the two administrative centers. Their relationship with the seats of colonial administration grew increasingly ambivalent as they were the object of local resentment (Nlerum, 2010). Thus, the colonial government was successful in isolating chiefs using the divide and conquer tactic. Due to their problems, a large number of </w:t>
      </w:r>
      <w:r w:rsidRPr="00E2630C">
        <w:rPr>
          <w:rFonts w:ascii="Times New Roman" w:hAnsi="Times New Roman" w:cs="Times New Roman"/>
          <w:color w:val="000000" w:themeColor="text1"/>
          <w:sz w:val="24"/>
          <w:szCs w:val="24"/>
        </w:rPr>
        <w:lastRenderedPageBreak/>
        <w:t xml:space="preserve">chiefs were either collaborators or were destooled by the colonial government. For instance, there were 109 instances of destoolment in the Akan-speaking regions of Ghana alone between 1904 and 1926. According to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among the 109, there were roughly 14 occurrences of destoolment between 1942 and 1946 that involved prominent Ashanti chiefs, such as the Dwabenhene, Agonahene, Adansihene, Bekwaehene, Offinsohene, Kumawuhene, Tekyimanhene, Edwesohene, and Dormaahene.</w:t>
      </w:r>
    </w:p>
    <w:p w14:paraId="3D457F10"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Concerning the chief power, the Supreme Court Ordinance of 1876 kept chiefs in a difficult situation, by introducing an alien judicial system based on the English example which sought to cripple chiefs. On the other hand, it was thought that the 1878 Native Jurisdiction Ordinance was not too harsh on chiefs. The Ordinance defined the chiefs' authority in both civil and criminal cases, without claiming to grant any control over them. However, the 1878 ordinance was never put into effect (Kimble, 1963). The 1883 Native Jurisdiction Ordinance repealed and reinstituted the 1878 Ordinance, with one significant change that made native tribunal rulings appealable to British courts. As a result, the British courts gained more authority, which the chiefs eventually came to rely upon for validation of their legal jurisdiction.</w:t>
      </w:r>
    </w:p>
    <w:p w14:paraId="2E286BA5"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Up to 1927, native jurisdiction was based on the 1883 Native Jurisdiction Ordinance. This ordinance to some extent laid the foundation for the cooperation of chiefs and the educated elites when the Aborigine Rights Protection Society (A. R. P. S) came into being. In April 1927, the Native Administration Ordinance (NAO) was introduced to improve the forty-four-year Native Jurisdiction Ordinance utilizing minor amendments (Kimble, 1963). By this Ordinance, the official emphasis had changed from defining and controlling the powers of the chiefs to boosting up the chieftaincy institution that then seemed an important organ to the colonial Administration. The nature of </w:t>
      </w:r>
      <w:r w:rsidRPr="00E2630C">
        <w:rPr>
          <w:rFonts w:ascii="Times New Roman" w:hAnsi="Times New Roman" w:cs="Times New Roman"/>
          <w:color w:val="000000" w:themeColor="text1"/>
          <w:sz w:val="24"/>
          <w:szCs w:val="24"/>
        </w:rPr>
        <w:lastRenderedPageBreak/>
        <w:t>chieftaincy itself was considerably modified (Kimble, 1963). Nonetheless, the 1944 Ghanaian Native Authorities Ordinance (NAO) solidified the authority of chiefs' delimitation. As a result, although though the Ghana Ordinance claimed that chiefs might play a significant role in colonial governance, in practice the colonial government limited chiefs to ceremonial and traditional functions. Thus development further reduced their autonomy (Keese, 2011; Nlerum, 2010).</w:t>
      </w:r>
    </w:p>
    <w:p w14:paraId="5FB662D2"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Chieftaincy came to an end with the 1948 Watson Commission report, which determined that chiefs stood in the way of the people's desire for independence as a political goal. While the Coussey Commission later painted chiefs in a positive light, the autonomy they had enjoyed before to colonization had virtually disappeared. The Coussey Commission came to the conclusion that the Chieftaincy institution as a whole is so interwoven with the local communities' social fabric that its elimination would be catastrophic. Chiefs' authority was being eroded and their institution was becoming more and more marginalized, despite the suggestion that a new local administration structure consist of one-third chief membership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w:t>
      </w:r>
    </w:p>
    <w:p w14:paraId="72F9EFDF" w14:textId="77777777" w:rsidR="00CD3724" w:rsidRPr="00E2630C" w:rsidRDefault="00CD3724" w:rsidP="00CD3724">
      <w:pPr>
        <w:spacing w:after="0" w:line="480" w:lineRule="auto"/>
        <w:jc w:val="both"/>
        <w:rPr>
          <w:rFonts w:ascii="Times New Roman" w:hAnsi="Times New Roman" w:cs="Times New Roman"/>
          <w:b/>
          <w:color w:val="000000" w:themeColor="text1"/>
          <w:sz w:val="24"/>
          <w:szCs w:val="24"/>
        </w:rPr>
      </w:pPr>
      <w:r w:rsidRPr="00E2630C">
        <w:rPr>
          <w:rFonts w:ascii="Times New Roman" w:hAnsi="Times New Roman" w:cs="Times New Roman"/>
          <w:color w:val="000000" w:themeColor="text1"/>
          <w:sz w:val="24"/>
          <w:szCs w:val="24"/>
        </w:rPr>
        <w:t xml:space="preserve">Chiefs have relied on the central government to acknowledge their legitimacy as representatives of their people and to grant them political and economic favors in the best interests of the people they represent ever since the colonial era. In the intricate and delicate power struggle between the local and central authority forces, the former had already lost out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The colonial era witnessed the initiation of state manipulation of the chieftain office, as the British used an indirect rule system that gradually reduced the chiefs' autonomy and made them subservient to Britain's imperial power </w:t>
      </w:r>
      <w:r w:rsidRPr="00E2630C">
        <w:rPr>
          <w:rFonts w:ascii="Times New Roman" w:eastAsia="Times New Roman" w:hAnsi="Times New Roman" w:cs="Times New Roman"/>
          <w:color w:val="000000" w:themeColor="text1"/>
          <w:sz w:val="24"/>
          <w:szCs w:val="24"/>
        </w:rPr>
        <w:t>(Awuah-Nyamekye &amp; Appiah, 2022)</w:t>
      </w:r>
      <w:r w:rsidRPr="00E2630C">
        <w:rPr>
          <w:rFonts w:ascii="Times New Roman" w:hAnsi="Times New Roman" w:cs="Times New Roman"/>
          <w:color w:val="000000" w:themeColor="text1"/>
          <w:sz w:val="24"/>
          <w:szCs w:val="24"/>
        </w:rPr>
        <w:t xml:space="preserve">. The colonial administration, therefore, set the chieftaincy institution in a condition of severe confrontation between </w:t>
      </w:r>
      <w:r w:rsidRPr="00E2630C">
        <w:rPr>
          <w:rFonts w:ascii="Times New Roman" w:hAnsi="Times New Roman" w:cs="Times New Roman"/>
          <w:color w:val="000000" w:themeColor="text1"/>
          <w:sz w:val="24"/>
          <w:szCs w:val="24"/>
        </w:rPr>
        <w:lastRenderedPageBreak/>
        <w:t>the chiefs and the government and their subjects, especially with the institutionalization of warrant chiefs.</w:t>
      </w:r>
    </w:p>
    <w:p w14:paraId="79743931" w14:textId="77777777" w:rsidR="00CD3724" w:rsidRPr="00E2630C" w:rsidRDefault="00CD3724" w:rsidP="0049497D">
      <w:pPr>
        <w:pStyle w:val="Heading3"/>
      </w:pPr>
      <w:bookmarkStart w:id="32" w:name="_Toc182386227"/>
      <w:r w:rsidRPr="00E2630C">
        <w:t>2.3.3 Post-Colonial Chiefs</w:t>
      </w:r>
      <w:bookmarkEnd w:id="32"/>
    </w:p>
    <w:p w14:paraId="7AC2FE50"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Ghana saw two fronts in the fight for political freedom: the outside world and the inside world. Because they believed their influence would be diminished after independence, the majority of chiefs opposed it (Adjaye &amp; Misawa, 2006). The Convention Peoples Party (CPP) split from the United Gold Coast Convention (UGCC), the former home of the elite, in 1949, marking the height of the confrontation between the chiefs and the educated elite, who was in fact already on its way to becoming the new ruling class. The famous comment by Nkrumah concerning chieftaincy explains this relationship extremely well: "Those of our chiefs who are with us, we do honour them and those who join forces with the imperialists, there shall come a time when they will run and leave their sandals behind them" (Knierzinger, 2011:8).</w:t>
      </w:r>
    </w:p>
    <w:p w14:paraId="25A34A76"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Ghanaian Constitution of 1957 placed a strong emphasis on the central government's power to support or revoke the status of chiefs and thus made no statutory distinction between paramount and common chiefs, giving it the power to promote or depose any chief. The House of Chiefs' assent was less significant, despite the fact that the government may consult with them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The Constitutional (Amendment) Act of 1959, introduced by the Convention People's Party (CPP) Government led by Dr. Kwame Nkrumah, allowed the government to intervene in chieftaincy affairs, specifically through the Minister of Local Government. According to </w:t>
      </w:r>
      <w:r w:rsidRPr="00E2630C">
        <w:rPr>
          <w:rFonts w:ascii="Times New Roman" w:eastAsia="Times New Roman" w:hAnsi="Times New Roman" w:cs="Times New Roman"/>
          <w:color w:val="000000" w:themeColor="text1"/>
          <w:sz w:val="24"/>
          <w:szCs w:val="24"/>
        </w:rPr>
        <w:t>Awuah-Nyamekye and Appiah (2022)</w:t>
      </w:r>
      <w:r w:rsidRPr="00E2630C">
        <w:rPr>
          <w:rFonts w:ascii="Times New Roman" w:hAnsi="Times New Roman" w:cs="Times New Roman"/>
          <w:color w:val="000000" w:themeColor="text1"/>
          <w:sz w:val="24"/>
          <w:szCs w:val="24"/>
        </w:rPr>
        <w:t xml:space="preserve">, this amendment ignored the clauses contained in the Independence Constitution. For example, the Chiefs (Recognition) Bill, passed by the government on February 13, 1959, legalized all of the previous acts. This included the following: (1) a chief could be ordered into internal exile; (2) a chief </w:t>
      </w:r>
      <w:r w:rsidRPr="00E2630C">
        <w:rPr>
          <w:rFonts w:ascii="Times New Roman" w:hAnsi="Times New Roman" w:cs="Times New Roman"/>
          <w:color w:val="000000" w:themeColor="text1"/>
          <w:sz w:val="24"/>
          <w:szCs w:val="24"/>
        </w:rPr>
        <w:lastRenderedPageBreak/>
        <w:t xml:space="preserve">could lose his position without being formally destooled if the government so desired; and (3) no destooling or enstoolment was effective if the government did not agree. This measure represented a complete reworking of the chieftaincy's foundation. Customary rules like enstoolment or destoolment procedures, which generally entailed a large degree of participation of the population concerned, were now virtually forbidden (Knierzinger, 2011). The chief's political and economic autonomy continued to erode as a result of the political independence. The prospect of destoolment loomed over any leader suspected of sympathizing with or supporting the resistance. It must be remembered that whereas chiefs had been cowed into faithful cooperation with the central government, as an institution, chieftaincy was not extinct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w:t>
      </w:r>
    </w:p>
    <w:p w14:paraId="046C4D0A"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Chiefs were nevertheless the focus of manipulation and revolutionary efforts. One instance of this is when, in 1959, the government purposefully gave Effiduasehene, a devoted member of the CPP, the position of co-equal with the Mamponghene, his purported ruler. Chiefs were frequently viewed as acquiescing in or endorsing the policies of the federal government. Ironically, in all of these, the central government reorganized and controlled the chieftaincy institution a practice similar to the one for which the colonial authority had previously faced criticism </w:t>
      </w:r>
      <w:r w:rsidRPr="00E2630C">
        <w:rPr>
          <w:rFonts w:ascii="Times New Roman" w:eastAsia="Times New Roman" w:hAnsi="Times New Roman" w:cs="Times New Roman"/>
          <w:color w:val="000000" w:themeColor="text1"/>
          <w:sz w:val="24"/>
          <w:szCs w:val="24"/>
        </w:rPr>
        <w:t>(Awuah-Nyamekye &amp; Appiah, 2022)</w:t>
      </w:r>
      <w:r w:rsidRPr="00E2630C">
        <w:rPr>
          <w:rFonts w:ascii="Times New Roman" w:hAnsi="Times New Roman" w:cs="Times New Roman"/>
          <w:color w:val="000000" w:themeColor="text1"/>
          <w:sz w:val="24"/>
          <w:szCs w:val="24"/>
        </w:rPr>
        <w:t xml:space="preserve">. Not only did the central government possess the ability to elevate or depose individual chiefs, but it also assumed the role of the ultimate arbiter in problems pertaining to the chiefs. Despite objections that no government, whether colonial or sovereign, could create or abolish a chief and that customary law was the exclusive source of authority on matters pertaining to chiefs, this process went ahead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w:t>
      </w:r>
    </w:p>
    <w:p w14:paraId="49D426A3"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Article 13 of the Ghanaian 1960 Constitution states that "chieftaincy should be guaranteed and preserved," but Act 81 of 1961, which defines a chief as "an individual who has been nominated, elected and installed as a chief per customary law, and is recognized as a chief by the Minister responsible for Local Government," renders the article of the 1960 Republican Constitution meaningless. Furthermore, the establishment of the House of Chiefs gave the government the authority to grant or revoke recognition to a chief. In addition, the house had the authority to destool or deskin a chief and even manage his money. As an illustration, the Ashanti Lands Bill transferred the Kumasi stool lands and their income from the Asantehene to the central government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Everything mentioned above was blatantly contradictory and institutionally manipulative </w:t>
      </w:r>
      <w:r w:rsidRPr="00E2630C">
        <w:rPr>
          <w:rFonts w:ascii="Times New Roman" w:eastAsia="Times New Roman" w:hAnsi="Times New Roman" w:cs="Times New Roman"/>
          <w:color w:val="000000" w:themeColor="text1"/>
          <w:sz w:val="24"/>
          <w:szCs w:val="24"/>
        </w:rPr>
        <w:t>(Awuah-Nyamekye &amp; Appiah, 2022)</w:t>
      </w:r>
      <w:r w:rsidRPr="00E2630C">
        <w:rPr>
          <w:rFonts w:ascii="Times New Roman" w:hAnsi="Times New Roman" w:cs="Times New Roman"/>
          <w:color w:val="000000" w:themeColor="text1"/>
          <w:sz w:val="24"/>
          <w:szCs w:val="24"/>
        </w:rPr>
        <w:t xml:space="preserve">. It is important to remember that chiefs were not seen favorably. Ghana's post-Nkrumah era has seen the central government continue to manipulate and restrict paramount authority. Naturally, there was a significant shift after Nkrumah's overthrow in 1966, and the chiefs had to change course if they wanted to avoid being removed from office. Decree 112 of the National Liberation Council (NLC) revoked the positions of chiefs who had been in place due to the CPP. For instance, the sub-chiefs who had previously been elevated to paramount chief status were once more demoted. Destooled were well over a hundred chiefs. Naturally, the Okyenhene at the time was one of the destooled, and the formerly Okyenhene who had long opposed the CPP regime was enstooled once more (Knierzinger, 2011). It's interesting to note that neither the NLC administration nor the government that followed under Busia eliminated the authority Nkrumah had used to suppress the chiefs the power to withhold recognition from them (Knierzinger, 2011). Chiefs will continue to experience a delimitation in their autonomy, despite the </w:t>
      </w:r>
      <w:r w:rsidRPr="00E2630C">
        <w:rPr>
          <w:rFonts w:ascii="Times New Roman" w:hAnsi="Times New Roman" w:cs="Times New Roman"/>
          <w:color w:val="000000" w:themeColor="text1"/>
          <w:sz w:val="24"/>
          <w:szCs w:val="24"/>
        </w:rPr>
        <w:lastRenderedPageBreak/>
        <w:t xml:space="preserve">1992 Constitution's theoretical description of the government's reserved ability to recognize or de-recognize newly appointed chiefs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w:t>
      </w:r>
    </w:p>
    <w:p w14:paraId="6ADB2948"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It is evident that throughout the previous 120 years, a sequence of judicial acts and local government reform has all but abolished the independence and authority of the chief in Ghana. In a similar vein, chiefs' direct access to local funds has been severely compromised. Local councils now have access to local taxation and revenue sources. Only after being gazetted as such may a chief claim to be the paramount chief. In addition, since the adoption of the Stool Lands Amendment Act in Ghana, as a case in point, the management of stool lands has transferred into the hands of the central government. Moreover, chiefs have no actual authority because local administration is overseen by district and regional administrators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w:t>
      </w:r>
    </w:p>
    <w:p w14:paraId="74CBA8D6"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In many parts of the country, leaders are targets of contempt, derision, and popular discontent (Nlerum, 2010). Their acts of corruption and bribery have drawn harsh criticism. They are customarily accused of encroaching on Ghanaian stool lands, of which they are the custodians. If one were to take a casual peek at Ghanaian newspapers, they would be astounded by the sheer number of stories regarding disputes over chieftaincy successions, accusations against chiefs, and violent altercations amongst those vying for main posts. A more negative perception of chieftaincy has recently surfaced in relation to the deliberate attempts and motivations of various interest groups, including as state, federal, and local/regional governments, to impose a false sense of identity or acceptance of chieftaincy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The majority of Ghanaian academics studying chieftaincy assert that there is a resurgence of interest in the practice, and polls indicate that when it comes to resolving disputes, more Ghanaians trust the chieftaincy system than the legal system.</w:t>
      </w:r>
    </w:p>
    <w:p w14:paraId="44191958"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On the other hand, the transition of the chieftaincy had occurred rather than its demise. Rather of clearing any uncertainties and ambivalence, this procedure has highlighted the primary office. Chiefs are turning into more and more focal centers for the expression of ethnic and local pride. They are the perfect example of taking pride in their hometown and its history. They preserve local values in addition to serving as archives for the history and spirituality of the area. Chieftaincy proponents stress that chieftaincy is a real-life illustration of African alternatives to Western political structures. Chiefs also serve as the conduits and channel for regional development initiatives. However, the colonial image of chiefs as upholders of customs that are rather unpleasant continue in some areas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w:t>
      </w:r>
    </w:p>
    <w:p w14:paraId="11EE2BB3" w14:textId="77777777" w:rsidR="00CD3724" w:rsidRPr="00E2630C" w:rsidRDefault="00CD3724" w:rsidP="0049497D">
      <w:pPr>
        <w:pStyle w:val="NoSpacing"/>
      </w:pPr>
    </w:p>
    <w:p w14:paraId="790F26A0" w14:textId="77777777" w:rsidR="00CD3724" w:rsidRPr="00E2630C" w:rsidRDefault="00CD3724" w:rsidP="0049497D">
      <w:pPr>
        <w:pStyle w:val="Heading2"/>
      </w:pPr>
      <w:bookmarkStart w:id="33" w:name="_Toc182386228"/>
      <w:r w:rsidRPr="00E2630C">
        <w:t>2.4 Chieftaincy</w:t>
      </w:r>
      <w:bookmarkEnd w:id="33"/>
    </w:p>
    <w:p w14:paraId="5549B598"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Chieftaincy conjures up a lot of different problems and ideas. The term "chieftaincy" has a long and contentious history of use, which frequently causes confusion. The idea is related to chiefs, but most people don't know what it means beyond that. The term "institution" and the concept are frequently used together, as in chieftaincy institution. Most of the time, it appears that this has larger ramifications in terms of both personnel and scale. The word "institution" seems to be added to indicate that there is an organization of some kind, most likely an African traditional group. The chieftaincy institution is the organization tasked with overseeing chieftaincy operations. Thus, there is a chance that the word will be misapplied. In fact, it is impossible to claim that chieftaincy is associated with something physical or real, that is, with a structured activity like the kind of organization that is known in the West. Regardless of how non-Africans see or understand chieftaincy, the abundance of traditional knowledge suffices to comprehend what it means in Ghana. Because of this, different scholars have defined chieftaincy in different ways. Aapengnuo (2013) defined chieftaincy as a well-</w:t>
      </w:r>
      <w:r w:rsidRPr="00E2630C">
        <w:rPr>
          <w:rFonts w:ascii="Times New Roman" w:hAnsi="Times New Roman" w:cs="Times New Roman"/>
          <w:color w:val="000000" w:themeColor="text1"/>
          <w:sz w:val="24"/>
          <w:szCs w:val="24"/>
        </w:rPr>
        <w:lastRenderedPageBreak/>
        <w:t xml:space="preserve">organized, centralized authority that is widely accepted along with its origin stories and myths of power, which are socially constructed in order to seize political power and resources in a particular locality. In this instance, the chieftaincy is seen as the keeper of customary power, which gets its legitimacy from an origin myth that grants it temporal authority. Considering the foregoing, it can be said that Muslim clerics frequently accompanied small groups of slave raiders that brought chieftaincy to Africa (Aapengnuo, 2013). </w:t>
      </w:r>
    </w:p>
    <w:p w14:paraId="07C87099"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Chieftaincy, according to (Nlerum, 2010), also refers to the different political rulers and traditional leaders who hold political power at the national and sub-national levels. Here, the chieftaincy is both a historical artifact and a living component of the people's legacy. According to the concept given above, chieftaincy serves as a storehouse of local and national political authority and is highly respected, particularly in areas where chiefs have made names for themselves by driving development. In fact, chieftaincy operates as a hub for energizing community development and as a conduit between the local populace and the national government (Nlerum, 2010).</w:t>
      </w:r>
    </w:p>
    <w:p w14:paraId="2F945208"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According to </w:t>
      </w:r>
      <w:r w:rsidRPr="00E2630C">
        <w:rPr>
          <w:rFonts w:ascii="Times New Roman" w:eastAsia="Times New Roman" w:hAnsi="Times New Roman" w:cs="Times New Roman"/>
          <w:color w:val="000000" w:themeColor="text1"/>
          <w:sz w:val="24"/>
          <w:szCs w:val="24"/>
        </w:rPr>
        <w:t>Awuah-Nyamekye &amp; Appiah (2022)</w:t>
      </w:r>
      <w:r w:rsidRPr="00E2630C">
        <w:rPr>
          <w:rFonts w:ascii="Times New Roman" w:hAnsi="Times New Roman" w:cs="Times New Roman"/>
          <w:color w:val="000000" w:themeColor="text1"/>
          <w:sz w:val="24"/>
          <w:szCs w:val="24"/>
        </w:rPr>
        <w:t xml:space="preserve">, a chieftaincy is a kind of political organization or government in which the head of state is referred to as a chief. The concept aims to imply that one significant and obvious aspect of the political structure is the chieftaincy. On the other hand, it should be noted that while chieftaincy histories vary from community to society, they are not all the same in Ghana. There is proof that certain Ghanaian cultures existed in headless or acephalous groups without centralized political heads prior to colonization, rather than having a centralized administrative structure headed by chiefs </w:t>
      </w:r>
      <w:r w:rsidRPr="00E2630C">
        <w:rPr>
          <w:rFonts w:ascii="Times New Roman" w:eastAsia="Times New Roman" w:hAnsi="Times New Roman" w:cs="Times New Roman"/>
          <w:color w:val="000000" w:themeColor="text1"/>
          <w:sz w:val="24"/>
          <w:szCs w:val="24"/>
        </w:rPr>
        <w:t>(Awuah-Nyamekye &amp; Appiah, 2022)</w:t>
      </w:r>
      <w:r w:rsidRPr="00E2630C">
        <w:rPr>
          <w:rFonts w:ascii="Times New Roman" w:hAnsi="Times New Roman" w:cs="Times New Roman"/>
          <w:color w:val="000000" w:themeColor="text1"/>
          <w:sz w:val="24"/>
          <w:szCs w:val="24"/>
        </w:rPr>
        <w:t>.</w:t>
      </w:r>
    </w:p>
    <w:p w14:paraId="681BDC70"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Marfo and Musah (2018)</w:t>
      </w:r>
      <w:r w:rsidRPr="00E2630C">
        <w:rPr>
          <w:rFonts w:ascii="Times New Roman" w:hAnsi="Times New Roman" w:cs="Times New Roman"/>
          <w:color w:val="000000" w:themeColor="text1"/>
          <w:sz w:val="24"/>
          <w:szCs w:val="24"/>
        </w:rPr>
        <w:t xml:space="preserve"> defines chieftaincy as the traditional or indigenous political structures that select and install morally upright leaders in accordance with the provisions of their local laws and customs. This definition's primary goals are the maintenance of the people's traditions and customs as well as the use of their laws and conventions to resolve disputes within and between community members. Here, the chieftaincy serves as the guardian of the customs, traditions, and civilizations of the people.</w:t>
      </w:r>
    </w:p>
    <w:p w14:paraId="0FE4A53C"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According to Earle (2011), a chief's network of supporters and political institution, the chieftaincy, serves as an agent for the chief's local territory. According to this concept, the chieftaincy comprises priests, the soldiers of the chief, managers, supporters, and other individuals engaged in revenue collection. Even though chieftaincy is founded on kinship and rank, it is best characterized as patriarchal because of a fealty pattern that dates back to the early days of feudalism. Furthermore, chieftaincy is very adaptive and varied, as a result, in many locations, it has taken historically variable forms, defined by unique styles of leadership (Earle, 2011).</w:t>
      </w:r>
    </w:p>
    <w:p w14:paraId="51A39B87"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According to Crook et al. (2010), chieftaincy encompasses all social and political power structures that historically originated in pre-colonial communities and were assimilated by British colonial control. Chieftaincy is inherently diverse and dynamic, as evidenced by the definitions given above. Thus, despite its indigenous roots, chieftaincy has undergone numerous changes throughout the colonial and post-colonial eras (Crook et al., 2010). Gyapong (2006) defines chieftaincy as an organized form of government in which the chief serves as the symbolic head of an indigenous African society. According to this concept, chieftaincy was vested with significant power in chiefs throughout the pre-colonial era and is predicated on the unanimous consent of the </w:t>
      </w:r>
      <w:r w:rsidRPr="00E2630C">
        <w:rPr>
          <w:rFonts w:ascii="Times New Roman" w:hAnsi="Times New Roman" w:cs="Times New Roman"/>
          <w:color w:val="000000" w:themeColor="text1"/>
          <w:sz w:val="24"/>
          <w:szCs w:val="24"/>
        </w:rPr>
        <w:lastRenderedPageBreak/>
        <w:t>people. As was previously said, throughout the majority of Africa, the first person to conquer or annex a certain geographic area becomes the chief over the people who subsequently occupy that locality. One individual usurps the authority of the chieftaincy and assumes all judicial, legislative, executive, and administrative functions.</w:t>
      </w:r>
    </w:p>
    <w:p w14:paraId="0C9274BF"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As a result of the foregoing, chieftaincy may be defined as an establishment or body that is decided upon by social arrangements to regulate the relationships between members of a certain group of people. In this instance, chieftaincy functions as a conduit for government policy to reach the local populace while also being acknowledged and respected as the embodiment of regional custom, mediator, and patron within traditional African society. Additionally, chieftaincy serves as an example of the traditional form of government system that developed from the people's history, customs, and culture </w:t>
      </w:r>
      <w:r w:rsidRPr="00E2630C">
        <w:rPr>
          <w:rFonts w:ascii="Times New Roman" w:eastAsia="Times New Roman" w:hAnsi="Times New Roman" w:cs="Times New Roman"/>
          <w:color w:val="000000" w:themeColor="text1"/>
          <w:sz w:val="24"/>
          <w:szCs w:val="24"/>
        </w:rPr>
        <w:t>(Ukase &amp; Abraham, 2016)</w:t>
      </w:r>
      <w:r w:rsidRPr="00E2630C">
        <w:rPr>
          <w:rFonts w:ascii="Times New Roman" w:hAnsi="Times New Roman" w:cs="Times New Roman"/>
          <w:color w:val="000000" w:themeColor="text1"/>
          <w:sz w:val="24"/>
          <w:szCs w:val="24"/>
        </w:rPr>
        <w:t>.</w:t>
      </w:r>
    </w:p>
    <w:p w14:paraId="699569AC" w14:textId="77777777" w:rsidR="00CD3724" w:rsidRPr="00E2630C" w:rsidRDefault="00CD3724" w:rsidP="0049497D">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Chieftaincy has been significantly shaped by opposing forces exerted by colonial and post-colonial authorities alike, leading to its subordination to both the local and central governments. Chieftaincy has to be understood within the framework of the nature of local state interactions, and in this setting, chieftaincy has been robust and adaptive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In most African countries, including Ghana, the position of chieftaincy is inherited from a specific family or lineage. Its purpose is to uphold customary laws, beliefs, and standards that govern civil behavior within traditional governance. Gender is a distinctive aspect of chieftaincy in Africa, especially in Ghana.</w:t>
      </w:r>
    </w:p>
    <w:p w14:paraId="2403E4B8"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One of the enduring institutions of African cultural heritage, the chieftaincy is ingrained in ethnic consciousness within communities and allows for the exercise of authority and leadership (Gyapong, 2006). However, the institution is more deeply ingrained in certain communities than others </w:t>
      </w:r>
      <w:r w:rsidRPr="00E2630C">
        <w:rPr>
          <w:rFonts w:ascii="Times New Roman" w:eastAsia="Times New Roman" w:hAnsi="Times New Roman" w:cs="Times New Roman"/>
          <w:color w:val="000000" w:themeColor="text1"/>
          <w:sz w:val="24"/>
          <w:szCs w:val="24"/>
        </w:rPr>
        <w:t>(Awedoba, 2006; Awuah-Nyamekye &amp; Appiah, 2022)</w:t>
      </w:r>
      <w:r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lastRenderedPageBreak/>
        <w:t xml:space="preserve">Cheka (2021) states that the chieftaincy, or traditional institution, is seen as an entity that arises from indigenous authority and derives its legitimacy, entirely or in part, from the shared tribal, ethnic, and cultural values of a group of people. These conventional institutions have governance structures that are either centralized or decentralized. The acephalous communities are stateless societies, in contrast to the centralized system, which shows the consolidation of political power in the hands of a single ruler (a centralized authority) with an administrative apparatus or bureaucracy (Abdullah et al., 2023). They are otherwise called egalitarian or non-stratified civilizations </w:t>
      </w:r>
      <w:r w:rsidRPr="00E2630C">
        <w:rPr>
          <w:rFonts w:ascii="Times New Roman" w:eastAsia="Times New Roman" w:hAnsi="Times New Roman" w:cs="Times New Roman"/>
          <w:color w:val="000000" w:themeColor="text1"/>
          <w:sz w:val="24"/>
          <w:szCs w:val="24"/>
        </w:rPr>
        <w:t>(Prah &amp; Yeboah, 2011a)</w:t>
      </w:r>
      <w:r w:rsidRPr="00E2630C">
        <w:rPr>
          <w:rFonts w:ascii="Times New Roman" w:hAnsi="Times New Roman" w:cs="Times New Roman"/>
          <w:color w:val="000000" w:themeColor="text1"/>
          <w:sz w:val="24"/>
          <w:szCs w:val="24"/>
        </w:rPr>
        <w:t xml:space="preserve">.  Decentralized systems include the Ibo village assembly in Nigeria, the gada (age-set) system of the Oromo in Ethiopia, and the council of elders found among the Kikuyu and Maasai (Kenya). Centralized systems include the Abyssinia (Ethiopia), Buganda (Uganda), and Ashanti (Ghana) (Economic Commission for Africa (ECA), 2007). According to </w:t>
      </w:r>
      <w:r w:rsidRPr="00E2630C">
        <w:rPr>
          <w:rFonts w:ascii="Times New Roman" w:eastAsia="Times New Roman" w:hAnsi="Times New Roman" w:cs="Times New Roman"/>
          <w:color w:val="000000" w:themeColor="text1"/>
          <w:sz w:val="24"/>
          <w:szCs w:val="24"/>
        </w:rPr>
        <w:t>Mawuko-Yevugah and Attipoe (2021)</w:t>
      </w:r>
      <w:r w:rsidRPr="00E2630C">
        <w:rPr>
          <w:rFonts w:ascii="Times New Roman" w:hAnsi="Times New Roman" w:cs="Times New Roman"/>
          <w:color w:val="000000" w:themeColor="text1"/>
          <w:sz w:val="24"/>
          <w:szCs w:val="24"/>
        </w:rPr>
        <w:t>, chieftaincy refers to the traditional or indigenous political arrangements by which morally upright leaders are chosen and installed in accordance with the provisions of their native customs and laws. This definition supports the claim made by ECA (2007). The primary idea enshrined in these definitions is the maintenance of the people's customs and traditions, as well as the handling of disputes within the community in accordance with those conventions and laws. The chieftaincy in this instance could be viewed as the defender of the customs, traditions, and behaviors of the populace. Chieftaincy is the noun form derived from the term "chief," (Brobbey, 2008). According to Brobbey (2008), the term "chief" generally refers to the head, leader, or one in control of any group or organization.</w:t>
      </w:r>
    </w:p>
    <w:p w14:paraId="446A3CA3"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According to Brobbey (2008), chieftaincy is also used to refer to the institution that oversees the African traditional rule system. According to </w:t>
      </w:r>
      <w:r w:rsidRPr="00E2630C">
        <w:rPr>
          <w:rFonts w:ascii="Times New Roman" w:eastAsia="Times New Roman" w:hAnsi="Times New Roman" w:cs="Times New Roman"/>
          <w:color w:val="000000" w:themeColor="text1"/>
          <w:sz w:val="24"/>
          <w:szCs w:val="24"/>
        </w:rPr>
        <w:t>Ray and Eizlini (2011)</w:t>
      </w:r>
      <w:r w:rsidRPr="00E2630C">
        <w:rPr>
          <w:rFonts w:ascii="Times New Roman" w:hAnsi="Times New Roman" w:cs="Times New Roman"/>
          <w:color w:val="000000" w:themeColor="text1"/>
          <w:sz w:val="24"/>
          <w:szCs w:val="24"/>
        </w:rPr>
        <w:t xml:space="preserve">, a </w:t>
      </w:r>
      <w:r w:rsidRPr="00E2630C">
        <w:rPr>
          <w:rFonts w:ascii="Times New Roman" w:hAnsi="Times New Roman" w:cs="Times New Roman"/>
          <w:color w:val="000000" w:themeColor="text1"/>
          <w:sz w:val="24"/>
          <w:szCs w:val="24"/>
        </w:rPr>
        <w:lastRenderedPageBreak/>
        <w:t xml:space="preserve">chieftaincy is a lasting system of official and informal laws, norms, customs, codes of conduct, and organized activities that shape and govern human interaction. As a result, chieftaincy is one of the most significant and ancient institutions in Ghana today, signifying the sacred and socio-political authority that chiefs, queen mothers, and priests hold throughout the nation. The legal and constitutional standing of chieftaincy in Ghana provides further motivation for studying chieftaincy. For example, the Chieftaincy Act of 2008 (Act 759) establishes standards for the National House of Chiefs, Regional Houses of Chiefs, and Traditional Councils, among other Chieftaincy institutions.   </w:t>
      </w:r>
    </w:p>
    <w:p w14:paraId="3AA5123B"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As per the 1992 Constitution of Ghana, the institution of chieftaincy, along with its customary councils established by usage and customary law, acknowledges the formation of a National House of Chiefs consisting of elected representatives from Regional Houses of Chiefs (which are likewise recognized) and specifies their specific roles with specific terms of reference emphasizing their advisory nature. Chiefs are protected from partisan politics by the constitution, although they are not shielded from public office appointments. According to the applicable customary law and practice, a person who has been legitimately nominated, chosen, or selected and who has been enstooled, enskinned, or installed as a chief or queen mother is referred to as a chief. This individual must also come from a suitable family and lineage.</w:t>
      </w:r>
    </w:p>
    <w:p w14:paraId="69B9332E" w14:textId="77777777" w:rsidR="00CD3724" w:rsidRPr="00E2630C" w:rsidRDefault="00CD3724" w:rsidP="0049497D">
      <w:pPr>
        <w:pStyle w:val="NoSpacing"/>
      </w:pPr>
    </w:p>
    <w:p w14:paraId="00ED4C13" w14:textId="77777777" w:rsidR="00CD3724" w:rsidRPr="00E2630C" w:rsidRDefault="00CD3724" w:rsidP="0049497D">
      <w:pPr>
        <w:pStyle w:val="Heading2"/>
      </w:pPr>
      <w:bookmarkStart w:id="34" w:name="_Toc182386229"/>
      <w:r w:rsidRPr="00E2630C">
        <w:t>2.5 The Ghanaian Chieftaincy</w:t>
      </w:r>
      <w:bookmarkEnd w:id="34"/>
    </w:p>
    <w:p w14:paraId="2A8C18A5" w14:textId="0657566D"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institution of chieftaincy has been a part of Ghanaian society for numerous centuries and continues to be its central focus. According to </w:t>
      </w:r>
      <w:r w:rsidRPr="00E2630C">
        <w:rPr>
          <w:rFonts w:ascii="Times New Roman" w:eastAsia="Times New Roman" w:hAnsi="Times New Roman" w:cs="Times New Roman"/>
          <w:color w:val="000000" w:themeColor="text1"/>
          <w:sz w:val="24"/>
          <w:szCs w:val="24"/>
        </w:rPr>
        <w:t>Mawuko-Yevugah &amp; Attipoe (2021)</w:t>
      </w:r>
      <w:r w:rsidRPr="00E2630C">
        <w:rPr>
          <w:rFonts w:ascii="Times New Roman" w:hAnsi="Times New Roman" w:cs="Times New Roman"/>
          <w:color w:val="000000" w:themeColor="text1"/>
          <w:sz w:val="24"/>
          <w:szCs w:val="24"/>
        </w:rPr>
        <w:t xml:space="preserve">, chieftaincy is the cornerstone of Ghana's social structure, and chiefs are regarded as the culture's guardians. The institution's history varies depending on the nation's cities and areas. While the matrilineal Akan-speaking people appeared to have </w:t>
      </w:r>
      <w:r w:rsidRPr="00E2630C">
        <w:rPr>
          <w:rFonts w:ascii="Times New Roman" w:hAnsi="Times New Roman" w:cs="Times New Roman"/>
          <w:color w:val="000000" w:themeColor="text1"/>
          <w:sz w:val="24"/>
          <w:szCs w:val="24"/>
        </w:rPr>
        <w:lastRenderedPageBreak/>
        <w:t xml:space="preserve">developed their institutions from the beginning of their polities, the Guan-speaking people appeared to have adapted the Akan model of leadership (Donkor, 2023). For those who speak Akan, this isn't the case. The institution of chieftaincy in its current form is a relatively new phenomenon for many other areas, the result of colonial imposition as part of the British indirect rule system. However, certain chiefdoms in northern Ghana, such as Dagbon and Mamprugu, had centralized states with clearly defined rules of succession and </w:t>
      </w:r>
      <w:r w:rsidR="0049497D" w:rsidRPr="00E2630C">
        <w:rPr>
          <w:rFonts w:ascii="Times New Roman" w:hAnsi="Times New Roman" w:cs="Times New Roman"/>
          <w:color w:val="000000" w:themeColor="text1"/>
          <w:sz w:val="24"/>
          <w:szCs w:val="24"/>
        </w:rPr>
        <w:t>titles (</w:t>
      </w:r>
      <w:r w:rsidRPr="00E2630C">
        <w:rPr>
          <w:rFonts w:ascii="Times New Roman" w:hAnsi="Times New Roman" w:cs="Times New Roman"/>
          <w:color w:val="000000" w:themeColor="text1"/>
          <w:sz w:val="24"/>
          <w:szCs w:val="24"/>
        </w:rPr>
        <w:t xml:space="preserve">Bukari, 2016). The institution of the chieftaincy is highly esteemed and respected. It is the living manifestation of both the spirit of the departed and the spirit of the living. It is a potent stimulant for harmony and social cohesiveness and gives a person a fresh sense of belonging. It also reflects society in the generations that follow. In areas like marriage resolution and domestic dispute resolution, female traditional leaders perform a crucial complementary role to their male counterparts, who frequently assume a dominant position (Boafo-Arthur, 2003; Odotei, 2006). According to Odotei (2006), queen moms are acknowledged as the mothers of the kings in many African cultures, including Ghana. However, men have historically held the majority of the highest traditional leadership roles. According to Boafo-Arthur (2003), the chiefs in Ashanti, for example, have established a conclave of male authoritarianism that subjugates their female counterparts, despite the queen-mother holding a highly vital position. Even in traditional political structures where men predominate, women continue to play important responsibilities. For example, a woman holds the Gundu Naa traditional political post in Dagbon.  In Ghana, the chieftaincy is the primary institution upon which traditional governance is centered. The title 'chief’ is used for a ruler in the conventional arrangement. The village or town's chief is its most senior citizen (Dankwa et al., 2021). The chief is in charge of other office-bearers in the town or village as he is the monarch. The authority descends till it </w:t>
      </w:r>
      <w:r w:rsidRPr="00E2630C">
        <w:rPr>
          <w:rFonts w:ascii="Times New Roman" w:hAnsi="Times New Roman" w:cs="Times New Roman"/>
          <w:color w:val="000000" w:themeColor="text1"/>
          <w:sz w:val="24"/>
          <w:szCs w:val="24"/>
        </w:rPr>
        <w:lastRenderedPageBreak/>
        <w:t xml:space="preserve">reaches the common person or subject. Every town has a chief in charge, while the paramount chief governs the entire traditional region and his divisional chiefs oversee the divisions beneath them. Accordingly, every division consists of a few towns and villages, each ruled by a chief (K. N. Bukari, 2016). All Ghanaians firmly assert allegiance to stools or skins of one degree or another under the current chieftaincy institution's structure </w:t>
      </w:r>
      <w:r w:rsidRPr="00E2630C">
        <w:rPr>
          <w:rFonts w:ascii="Times New Roman" w:eastAsia="Times New Roman" w:hAnsi="Times New Roman" w:cs="Times New Roman"/>
          <w:color w:val="000000" w:themeColor="text1"/>
          <w:sz w:val="24"/>
          <w:szCs w:val="24"/>
        </w:rPr>
        <w:t>(Marfo &amp; Musah, 2018)</w:t>
      </w:r>
      <w:r w:rsidRPr="00E2630C">
        <w:rPr>
          <w:rFonts w:ascii="Times New Roman" w:hAnsi="Times New Roman" w:cs="Times New Roman"/>
          <w:color w:val="000000" w:themeColor="text1"/>
          <w:sz w:val="24"/>
          <w:szCs w:val="24"/>
        </w:rPr>
        <w:t xml:space="preserve">. A chief's authority is expressed through symbols. For instance, leaders in Ghana's southern region hold wooden swords, some of which are plated in gold, and they sit on wooden seats. According to </w:t>
      </w:r>
      <w:r w:rsidRPr="00E2630C">
        <w:rPr>
          <w:rFonts w:ascii="Times New Roman" w:eastAsia="Times New Roman" w:hAnsi="Times New Roman" w:cs="Times New Roman"/>
          <w:color w:val="000000" w:themeColor="text1"/>
          <w:sz w:val="24"/>
          <w:szCs w:val="24"/>
        </w:rPr>
        <w:t>Asante &amp; Blewushie (2021)</w:t>
      </w:r>
      <w:r w:rsidRPr="00E2630C">
        <w:rPr>
          <w:rFonts w:ascii="Times New Roman" w:hAnsi="Times New Roman" w:cs="Times New Roman"/>
          <w:color w:val="000000" w:themeColor="text1"/>
          <w:sz w:val="24"/>
          <w:szCs w:val="24"/>
        </w:rPr>
        <w:t xml:space="preserve"> (2009), linguists employed by them perform formal obligations for their staffs (Simensen, 1975). On the other hand, chiefs in Northern Ghana sat on horse skins. Moreover, they typically handle horse tail whisks. The institution of the chieftaincy is crucial to Ghana's socio-political issues.</w:t>
      </w:r>
    </w:p>
    <w:p w14:paraId="5B9A3E12" w14:textId="77777777" w:rsidR="00CD3724" w:rsidRPr="00E2630C" w:rsidRDefault="00CD3724" w:rsidP="00CD3724">
      <w:pPr>
        <w:pStyle w:val="NoSpacing"/>
        <w:rPr>
          <w:rFonts w:ascii="Times New Roman" w:hAnsi="Times New Roman" w:cs="Times New Roman"/>
          <w:color w:val="000000" w:themeColor="text1"/>
          <w:sz w:val="24"/>
          <w:szCs w:val="24"/>
        </w:rPr>
      </w:pPr>
    </w:p>
    <w:p w14:paraId="474C0C7F" w14:textId="77777777" w:rsidR="00CD3724" w:rsidRPr="00E2630C" w:rsidRDefault="00CD3724" w:rsidP="0049497D">
      <w:pPr>
        <w:pStyle w:val="Heading2"/>
      </w:pPr>
      <w:bookmarkStart w:id="35" w:name="_Toc182386230"/>
      <w:r w:rsidRPr="00E2630C">
        <w:t>2.6 Structure and Legal Mandate of Chieftaincy Institution in Ghana</w:t>
      </w:r>
      <w:bookmarkEnd w:id="35"/>
    </w:p>
    <w:p w14:paraId="4B883F19"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Chieftaincy within the structures of contemporary states represents much diversity, which innovatively develops changing relationships with the state. Chiefs are powerful political figures, originated in prehistory, and continue to be resilient in modern states. Although chiefs in modern states function within a state-structure context, they rely on highly individualized and informal relationships that allow for the most flexibility in political movement and adjustment to opportunities that vary from the illegal to the legal (Earle, 2011). The 1992 Constitution's Section 58 acknowledges Ghana's chiefs' hierarchical system, which is depicted here.</w:t>
      </w:r>
    </w:p>
    <w:p w14:paraId="03CB4D39" w14:textId="77777777" w:rsidR="005D0204" w:rsidRPr="00E2630C" w:rsidRDefault="005D0204" w:rsidP="00CD3724">
      <w:pPr>
        <w:spacing w:line="480" w:lineRule="auto"/>
        <w:jc w:val="both"/>
        <w:rPr>
          <w:rFonts w:ascii="Times New Roman" w:hAnsi="Times New Roman" w:cs="Times New Roman"/>
          <w:color w:val="000000" w:themeColor="text1"/>
          <w:sz w:val="24"/>
          <w:szCs w:val="24"/>
        </w:rPr>
      </w:pPr>
    </w:p>
    <w:p w14:paraId="782BB2BF" w14:textId="77777777" w:rsidR="005D0204" w:rsidRPr="00E2630C" w:rsidRDefault="005D0204" w:rsidP="00CD3724">
      <w:pPr>
        <w:spacing w:line="480" w:lineRule="auto"/>
        <w:jc w:val="both"/>
        <w:rPr>
          <w:rFonts w:ascii="Times New Roman" w:hAnsi="Times New Roman" w:cs="Times New Roman"/>
          <w:color w:val="000000" w:themeColor="text1"/>
          <w:sz w:val="24"/>
          <w:szCs w:val="24"/>
        </w:rPr>
      </w:pPr>
    </w:p>
    <w:p w14:paraId="0E8CDA86" w14:textId="77777777" w:rsidR="005D0204" w:rsidRPr="00E2630C" w:rsidRDefault="005D0204" w:rsidP="00CD3724">
      <w:pPr>
        <w:spacing w:line="480" w:lineRule="auto"/>
        <w:jc w:val="both"/>
        <w:rPr>
          <w:rFonts w:ascii="Times New Roman" w:hAnsi="Times New Roman" w:cs="Times New Roman"/>
          <w:color w:val="000000" w:themeColor="text1"/>
          <w:sz w:val="24"/>
          <w:szCs w:val="24"/>
        </w:rPr>
      </w:pPr>
    </w:p>
    <w:p w14:paraId="44E98F8D" w14:textId="77777777" w:rsidR="00CD3724" w:rsidRPr="00E2630C" w:rsidRDefault="00CD3724" w:rsidP="00CD3724">
      <w:pPr>
        <w:spacing w:line="480" w:lineRule="auto"/>
        <w:jc w:val="center"/>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w:lastRenderedPageBreak/>
        <mc:AlternateContent>
          <mc:Choice Requires="wps">
            <w:drawing>
              <wp:anchor distT="0" distB="0" distL="114300" distR="114300" simplePos="0" relativeHeight="251663360" behindDoc="0" locked="0" layoutInCell="1" allowOverlap="1" wp14:anchorId="1FA373BB" wp14:editId="5C9B9E4E">
                <wp:simplePos x="0" y="0"/>
                <wp:positionH relativeFrom="column">
                  <wp:posOffset>1534795</wp:posOffset>
                </wp:positionH>
                <wp:positionV relativeFrom="paragraph">
                  <wp:posOffset>-155575</wp:posOffset>
                </wp:positionV>
                <wp:extent cx="2895600" cy="478155"/>
                <wp:effectExtent l="12700" t="12700" r="0" b="4445"/>
                <wp:wrapNone/>
                <wp:docPr id="34228559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95600" cy="478155"/>
                        </a:xfrm>
                        <a:prstGeom prst="rect">
                          <a:avLst/>
                        </a:prstGeom>
                      </wps:spPr>
                      <wps:style>
                        <a:lnRef idx="2">
                          <a:schemeClr val="dk1"/>
                        </a:lnRef>
                        <a:fillRef idx="1">
                          <a:schemeClr val="lt1"/>
                        </a:fillRef>
                        <a:effectRef idx="0">
                          <a:schemeClr val="dk1"/>
                        </a:effectRef>
                        <a:fontRef idx="minor">
                          <a:schemeClr val="dk1"/>
                        </a:fontRef>
                      </wps:style>
                      <wps:txbx>
                        <w:txbxContent>
                          <w:p w14:paraId="4DA09D02" w14:textId="77777777" w:rsidR="0067586A" w:rsidRPr="00AD334E" w:rsidRDefault="0067586A" w:rsidP="00CD3724">
                            <w:pPr>
                              <w:jc w:val="center"/>
                              <w:rPr>
                                <w:rFonts w:ascii="Times New Roman" w:hAnsi="Times New Roman" w:cs="Times New Roman"/>
                                <w:b/>
                              </w:rPr>
                            </w:pPr>
                            <w:r w:rsidRPr="00AD334E">
                              <w:rPr>
                                <w:rFonts w:ascii="Times New Roman" w:hAnsi="Times New Roman" w:cs="Times New Roman"/>
                                <w:b/>
                              </w:rPr>
                              <w:t>ASANTEHENE AND PARAMOUNT CHIEFS</w:t>
                            </w:r>
                          </w:p>
                          <w:p w14:paraId="25B43C88" w14:textId="77777777" w:rsidR="0067586A" w:rsidRDefault="0067586A" w:rsidP="00CD372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A373BB" id="Rectangle 56" o:spid="_x0000_s1026" style="position:absolute;left:0;text-align:left;margin-left:120.85pt;margin-top:-12.25pt;width:228pt;height:37.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" fillcolor="white [3201]" strokecolor="black [3200]" strokeweight="1pt">
                <v:path arrowok="t"/>
                <v:textbox>
                  <w:txbxContent>
                    <w:p w14:paraId="4DA09D02" w14:textId="77777777" w:rsidR="0067586A" w:rsidRPr="00AD334E" w:rsidRDefault="0067586A" w:rsidP="00CD3724">
                      <w:pPr>
                        <w:jc w:val="center"/>
                        <w:rPr>
                          <w:rFonts w:ascii="Times New Roman" w:hAnsi="Times New Roman" w:cs="Times New Roman"/>
                          <w:b/>
                        </w:rPr>
                      </w:pPr>
                      <w:r w:rsidRPr="00AD334E">
                        <w:rPr>
                          <w:rFonts w:ascii="Times New Roman" w:hAnsi="Times New Roman" w:cs="Times New Roman"/>
                          <w:b/>
                        </w:rPr>
                        <w:t>ASANTEHENE AND PARAMOUNT CHIEFS</w:t>
                      </w:r>
                    </w:p>
                    <w:p w14:paraId="25B43C88" w14:textId="77777777" w:rsidR="0067586A" w:rsidRDefault="0067586A" w:rsidP="00CD3724">
                      <w:pPr>
                        <w:jc w:val="center"/>
                      </w:pPr>
                    </w:p>
                  </w:txbxContent>
                </v:textbox>
              </v:rect>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59264" behindDoc="0" locked="0" layoutInCell="1" allowOverlap="1" wp14:anchorId="5914FA37" wp14:editId="14CFEEB1">
                <wp:simplePos x="0" y="0"/>
                <wp:positionH relativeFrom="column">
                  <wp:posOffset>2828925</wp:posOffset>
                </wp:positionH>
                <wp:positionV relativeFrom="paragraph">
                  <wp:posOffset>297815</wp:posOffset>
                </wp:positionV>
                <wp:extent cx="9525" cy="266700"/>
                <wp:effectExtent l="63500" t="0" r="66675" b="25400"/>
                <wp:wrapNone/>
                <wp:docPr id="184527386" name="Straight Arrow Connector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2667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0FF46FD2" id="_x0000_t32" coordsize="21600,21600" o:spt="32" o:oned="t" path="m,l21600,21600e" filled="f">
                <v:path arrowok="t" fillok="f" o:connecttype="none"/>
                <o:lock v:ext="edit" shapetype="t"/>
              </v:shapetype>
              <v:shape id="Straight Arrow Connector 55" o:spid="_x0000_s1026" type="#_x0000_t32" style="position:absolute;margin-left:222.75pt;margin-top:23.45pt;width:.75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" strokecolor="black [3200]" strokeweight=".5pt">
                <v:stroke endarrow="open" joinstyle="miter"/>
                <o:lock v:ext="edit" shapetype="f"/>
              </v:shape>
            </w:pict>
          </mc:Fallback>
        </mc:AlternateContent>
      </w:r>
    </w:p>
    <w:p w14:paraId="4F34FC86" w14:textId="77777777" w:rsidR="00CD3724" w:rsidRPr="00E2630C" w:rsidRDefault="00CD3724" w:rsidP="00CD3724">
      <w:pPr>
        <w:spacing w:line="480" w:lineRule="auto"/>
        <w:jc w:val="center"/>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4384" behindDoc="0" locked="0" layoutInCell="1" allowOverlap="1" wp14:anchorId="0804C68F" wp14:editId="3A420FA7">
                <wp:simplePos x="0" y="0"/>
                <wp:positionH relativeFrom="column">
                  <wp:posOffset>1562100</wp:posOffset>
                </wp:positionH>
                <wp:positionV relativeFrom="paragraph">
                  <wp:posOffset>94615</wp:posOffset>
                </wp:positionV>
                <wp:extent cx="2895600" cy="361950"/>
                <wp:effectExtent l="12700" t="12700" r="0" b="6350"/>
                <wp:wrapNone/>
                <wp:docPr id="616929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95600" cy="361950"/>
                        </a:xfrm>
                        <a:prstGeom prst="rect">
                          <a:avLst/>
                        </a:prstGeom>
                      </wps:spPr>
                      <wps:style>
                        <a:lnRef idx="2">
                          <a:schemeClr val="dk1"/>
                        </a:lnRef>
                        <a:fillRef idx="1">
                          <a:schemeClr val="lt1"/>
                        </a:fillRef>
                        <a:effectRef idx="0">
                          <a:schemeClr val="dk1"/>
                        </a:effectRef>
                        <a:fontRef idx="minor">
                          <a:schemeClr val="dk1"/>
                        </a:fontRef>
                      </wps:style>
                      <wps:txbx>
                        <w:txbxContent>
                          <w:p w14:paraId="4F3081CE" w14:textId="77777777" w:rsidR="0067586A" w:rsidRPr="00AD334E" w:rsidRDefault="0067586A" w:rsidP="00CD3724">
                            <w:pPr>
                              <w:jc w:val="center"/>
                              <w:rPr>
                                <w:rFonts w:ascii="Times New Roman" w:hAnsi="Times New Roman" w:cs="Times New Roman"/>
                                <w:b/>
                                <w:sz w:val="24"/>
                                <w:szCs w:val="24"/>
                              </w:rPr>
                            </w:pPr>
                            <w:r w:rsidRPr="00AD334E">
                              <w:rPr>
                                <w:rFonts w:ascii="Times New Roman" w:hAnsi="Times New Roman" w:cs="Times New Roman"/>
                                <w:b/>
                                <w:sz w:val="24"/>
                                <w:szCs w:val="24"/>
                              </w:rPr>
                              <w:t>DIVISIONAL CHIEFS</w:t>
                            </w:r>
                          </w:p>
                          <w:p w14:paraId="12F0A484" w14:textId="77777777" w:rsidR="0067586A" w:rsidRPr="00AD334E" w:rsidRDefault="0067586A" w:rsidP="00CD3724">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04C68F" id="Rectangle 54" o:spid="_x0000_s1027" style="position:absolute;left:0;text-align:left;margin-left:123pt;margin-top:7.45pt;width:228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" fillcolor="white [3201]" strokecolor="black [3200]" strokeweight="1pt">
                <v:path arrowok="t"/>
                <v:textbox>
                  <w:txbxContent>
                    <w:p w14:paraId="4F3081CE" w14:textId="77777777" w:rsidR="0067586A" w:rsidRPr="00AD334E" w:rsidRDefault="0067586A" w:rsidP="00CD3724">
                      <w:pPr>
                        <w:jc w:val="center"/>
                        <w:rPr>
                          <w:rFonts w:ascii="Times New Roman" w:hAnsi="Times New Roman" w:cs="Times New Roman"/>
                          <w:b/>
                          <w:sz w:val="24"/>
                          <w:szCs w:val="24"/>
                        </w:rPr>
                      </w:pPr>
                      <w:r w:rsidRPr="00AD334E">
                        <w:rPr>
                          <w:rFonts w:ascii="Times New Roman" w:hAnsi="Times New Roman" w:cs="Times New Roman"/>
                          <w:b/>
                          <w:sz w:val="24"/>
                          <w:szCs w:val="24"/>
                        </w:rPr>
                        <w:t>DIVISIONAL CHIEFS</w:t>
                      </w:r>
                    </w:p>
                    <w:p w14:paraId="12F0A484" w14:textId="77777777" w:rsidR="0067586A" w:rsidRPr="00AD334E" w:rsidRDefault="0067586A" w:rsidP="00CD3724">
                      <w:pPr>
                        <w:jc w:val="center"/>
                        <w:rPr>
                          <w:rFonts w:ascii="Times New Roman" w:hAnsi="Times New Roman" w:cs="Times New Roman"/>
                          <w:sz w:val="24"/>
                          <w:szCs w:val="24"/>
                        </w:rPr>
                      </w:pPr>
                    </w:p>
                  </w:txbxContent>
                </v:textbox>
              </v:rect>
            </w:pict>
          </mc:Fallback>
        </mc:AlternateContent>
      </w:r>
    </w:p>
    <w:p w14:paraId="3EC87486" w14:textId="77777777" w:rsidR="00CD3724" w:rsidRPr="00E2630C" w:rsidRDefault="00CD3724" w:rsidP="00CD3724">
      <w:pPr>
        <w:spacing w:line="480" w:lineRule="auto"/>
        <w:jc w:val="center"/>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5408" behindDoc="0" locked="0" layoutInCell="1" allowOverlap="1" wp14:anchorId="135F39E2" wp14:editId="473C6021">
                <wp:simplePos x="0" y="0"/>
                <wp:positionH relativeFrom="column">
                  <wp:posOffset>1552575</wp:posOffset>
                </wp:positionH>
                <wp:positionV relativeFrom="paragraph">
                  <wp:posOffset>283845</wp:posOffset>
                </wp:positionV>
                <wp:extent cx="2895600" cy="361950"/>
                <wp:effectExtent l="12700" t="12700" r="0" b="6350"/>
                <wp:wrapNone/>
                <wp:docPr id="408776175"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95600" cy="361950"/>
                        </a:xfrm>
                        <a:prstGeom prst="rect">
                          <a:avLst/>
                        </a:prstGeom>
                      </wps:spPr>
                      <wps:style>
                        <a:lnRef idx="2">
                          <a:schemeClr val="dk1"/>
                        </a:lnRef>
                        <a:fillRef idx="1">
                          <a:schemeClr val="lt1"/>
                        </a:fillRef>
                        <a:effectRef idx="0">
                          <a:schemeClr val="dk1"/>
                        </a:effectRef>
                        <a:fontRef idx="minor">
                          <a:schemeClr val="dk1"/>
                        </a:fontRef>
                      </wps:style>
                      <wps:txbx>
                        <w:txbxContent>
                          <w:p w14:paraId="2AC3B10F" w14:textId="77777777" w:rsidR="0067586A" w:rsidRPr="00AD334E" w:rsidRDefault="0067586A" w:rsidP="00CD3724">
                            <w:pPr>
                              <w:jc w:val="center"/>
                              <w:rPr>
                                <w:rFonts w:ascii="Times New Roman" w:hAnsi="Times New Roman" w:cs="Times New Roman"/>
                                <w:b/>
                                <w:sz w:val="24"/>
                                <w:szCs w:val="24"/>
                              </w:rPr>
                            </w:pPr>
                            <w:r w:rsidRPr="00AD334E">
                              <w:rPr>
                                <w:rFonts w:ascii="Times New Roman" w:hAnsi="Times New Roman" w:cs="Times New Roman"/>
                                <w:b/>
                                <w:sz w:val="24"/>
                                <w:szCs w:val="24"/>
                              </w:rPr>
                              <w:t>SUB- DIVISIONAL CHIEFS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5F39E2" id="Rectangle 53" o:spid="_x0000_s1028" style="position:absolute;left:0;text-align:left;margin-left:122.25pt;margin-top:22.35pt;width:228pt;height:2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" fillcolor="white [3201]" strokecolor="black [3200]" strokeweight="1pt">
                <v:path arrowok="t"/>
                <v:textbox>
                  <w:txbxContent>
                    <w:p w14:paraId="2AC3B10F" w14:textId="77777777" w:rsidR="0067586A" w:rsidRPr="00AD334E" w:rsidRDefault="0067586A" w:rsidP="00CD3724">
                      <w:pPr>
                        <w:jc w:val="center"/>
                        <w:rPr>
                          <w:rFonts w:ascii="Times New Roman" w:hAnsi="Times New Roman" w:cs="Times New Roman"/>
                          <w:b/>
                          <w:sz w:val="24"/>
                          <w:szCs w:val="24"/>
                        </w:rPr>
                      </w:pPr>
                      <w:r w:rsidRPr="00AD334E">
                        <w:rPr>
                          <w:rFonts w:ascii="Times New Roman" w:hAnsi="Times New Roman" w:cs="Times New Roman"/>
                          <w:b/>
                          <w:sz w:val="24"/>
                          <w:szCs w:val="24"/>
                        </w:rPr>
                        <w:t>SUB- DIVISIONAL CHIEFS</w:t>
                      </w:r>
                    </w:p>
                  </w:txbxContent>
                </v:textbox>
              </v:rect>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297" distR="114297" simplePos="0" relativeHeight="251660288" behindDoc="0" locked="0" layoutInCell="1" allowOverlap="1" wp14:anchorId="7240A156" wp14:editId="347A47CB">
                <wp:simplePos x="0" y="0"/>
                <wp:positionH relativeFrom="column">
                  <wp:posOffset>2847974</wp:posOffset>
                </wp:positionH>
                <wp:positionV relativeFrom="paragraph">
                  <wp:posOffset>3810</wp:posOffset>
                </wp:positionV>
                <wp:extent cx="0" cy="257175"/>
                <wp:effectExtent l="76200" t="0" r="63500" b="22225"/>
                <wp:wrapNone/>
                <wp:docPr id="231460812" name="Straight Arrow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71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D9E8D24" id="Straight Arrow Connector 52" o:spid="_x0000_s1026" type="#_x0000_t32" style="position:absolute;margin-left:224.25pt;margin-top:.3pt;width:0;height:20.25pt;z-index:25166028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" strokecolor="black [3200]" strokeweight=".5pt">
                <v:stroke endarrow="open" joinstyle="miter"/>
                <o:lock v:ext="edit" shapetype="f"/>
              </v:shape>
            </w:pict>
          </mc:Fallback>
        </mc:AlternateContent>
      </w:r>
    </w:p>
    <w:p w14:paraId="2B2B1C56" w14:textId="77777777" w:rsidR="00CD3724" w:rsidRPr="00E2630C" w:rsidRDefault="00CD3724" w:rsidP="00CD3724">
      <w:pPr>
        <w:spacing w:line="480" w:lineRule="auto"/>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297" distR="114297" simplePos="0" relativeHeight="251661312" behindDoc="0" locked="0" layoutInCell="1" allowOverlap="1" wp14:anchorId="522111C8" wp14:editId="59B41A18">
                <wp:simplePos x="0" y="0"/>
                <wp:positionH relativeFrom="column">
                  <wp:posOffset>2847974</wp:posOffset>
                </wp:positionH>
                <wp:positionV relativeFrom="paragraph">
                  <wp:posOffset>186690</wp:posOffset>
                </wp:positionV>
                <wp:extent cx="0" cy="285750"/>
                <wp:effectExtent l="76200" t="0" r="76200" b="19050"/>
                <wp:wrapNone/>
                <wp:docPr id="1640330324"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w14:anchorId="631F5274" id="Straight Arrow Connector 51" o:spid="_x0000_s1026" type="#_x0000_t32" style="position:absolute;margin-left:224.25pt;margin-top:14.7pt;width:0;height:22.5pt;z-index:25166131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" strokecolor="black [3200]" strokeweight=".5pt">
                <v:stroke endarrow="open" joinstyle="miter"/>
                <o:lock v:ext="edit" shapetype="f"/>
              </v:shape>
            </w:pict>
          </mc:Fallback>
        </mc:AlternateContent>
      </w:r>
    </w:p>
    <w:p w14:paraId="2FEAD90C" w14:textId="77777777" w:rsidR="00CD3724" w:rsidRPr="00E2630C" w:rsidRDefault="00CE197B" w:rsidP="00CD3724">
      <w:pPr>
        <w:spacing w:line="480" w:lineRule="auto"/>
        <w:jc w:val="center"/>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6432" behindDoc="0" locked="0" layoutInCell="1" allowOverlap="1" wp14:anchorId="6D59EEE5" wp14:editId="2E2EC1C7">
                <wp:simplePos x="0" y="0"/>
                <wp:positionH relativeFrom="column">
                  <wp:posOffset>1571625</wp:posOffset>
                </wp:positionH>
                <wp:positionV relativeFrom="paragraph">
                  <wp:posOffset>108585</wp:posOffset>
                </wp:positionV>
                <wp:extent cx="2895600" cy="361950"/>
                <wp:effectExtent l="0" t="0" r="19050" b="19050"/>
                <wp:wrapNone/>
                <wp:docPr id="609133298"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95600" cy="361950"/>
                        </a:xfrm>
                        <a:prstGeom prst="rect">
                          <a:avLst/>
                        </a:prstGeom>
                      </wps:spPr>
                      <wps:style>
                        <a:lnRef idx="2">
                          <a:schemeClr val="dk1"/>
                        </a:lnRef>
                        <a:fillRef idx="1">
                          <a:schemeClr val="lt1"/>
                        </a:fillRef>
                        <a:effectRef idx="0">
                          <a:schemeClr val="dk1"/>
                        </a:effectRef>
                        <a:fontRef idx="minor">
                          <a:schemeClr val="dk1"/>
                        </a:fontRef>
                      </wps:style>
                      <wps:txbx>
                        <w:txbxContent>
                          <w:p w14:paraId="477DAEFF" w14:textId="77777777" w:rsidR="0067586A" w:rsidRPr="00AD334E" w:rsidRDefault="0067586A" w:rsidP="00CD3724">
                            <w:pPr>
                              <w:jc w:val="center"/>
                              <w:rPr>
                                <w:rFonts w:ascii="Times New Roman" w:hAnsi="Times New Roman" w:cs="Times New Roman"/>
                                <w:b/>
                                <w:sz w:val="24"/>
                                <w:szCs w:val="24"/>
                              </w:rPr>
                            </w:pPr>
                            <w:r w:rsidRPr="00AD334E">
                              <w:rPr>
                                <w:rFonts w:ascii="Times New Roman" w:hAnsi="Times New Roman" w:cs="Times New Roman"/>
                                <w:b/>
                                <w:sz w:val="24"/>
                                <w:szCs w:val="24"/>
                              </w:rPr>
                              <w:t>ODIKRO</w:t>
                            </w:r>
                          </w:p>
                          <w:p w14:paraId="3BAF51A4" w14:textId="77777777" w:rsidR="0067586A" w:rsidRPr="00AD334E" w:rsidRDefault="0067586A" w:rsidP="00CD3724">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59EEE5" id="Rectangle 49" o:spid="_x0000_s1029" style="position:absolute;left:0;text-align:left;margin-left:123.75pt;margin-top:8.55pt;width:228pt;height:2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" fillcolor="white [3201]" strokecolor="black [3200]" strokeweight="1pt">
                <v:path arrowok="t"/>
                <v:textbox>
                  <w:txbxContent>
                    <w:p w14:paraId="477DAEFF" w14:textId="77777777" w:rsidR="0067586A" w:rsidRPr="00AD334E" w:rsidRDefault="0067586A" w:rsidP="00CD3724">
                      <w:pPr>
                        <w:jc w:val="center"/>
                        <w:rPr>
                          <w:rFonts w:ascii="Times New Roman" w:hAnsi="Times New Roman" w:cs="Times New Roman"/>
                          <w:b/>
                          <w:sz w:val="24"/>
                          <w:szCs w:val="24"/>
                        </w:rPr>
                      </w:pPr>
                      <w:r w:rsidRPr="00AD334E">
                        <w:rPr>
                          <w:rFonts w:ascii="Times New Roman" w:hAnsi="Times New Roman" w:cs="Times New Roman"/>
                          <w:b/>
                          <w:sz w:val="24"/>
                          <w:szCs w:val="24"/>
                        </w:rPr>
                        <w:t>ODIKRO</w:t>
                      </w:r>
                    </w:p>
                    <w:p w14:paraId="3BAF51A4" w14:textId="77777777" w:rsidR="0067586A" w:rsidRPr="00AD334E" w:rsidRDefault="0067586A" w:rsidP="00CD3724">
                      <w:pPr>
                        <w:jc w:val="center"/>
                        <w:rPr>
                          <w:rFonts w:ascii="Times New Roman" w:hAnsi="Times New Roman" w:cs="Times New Roman"/>
                          <w:sz w:val="24"/>
                          <w:szCs w:val="24"/>
                        </w:rPr>
                      </w:pPr>
                    </w:p>
                  </w:txbxContent>
                </v:textbox>
              </v:rect>
            </w:pict>
          </mc:Fallback>
        </mc:AlternateContent>
      </w:r>
      <w:r w:rsidR="00CD3724" w:rsidRPr="00E2630C">
        <w:rPr>
          <w:rFonts w:ascii="Times New Roman" w:hAnsi="Times New Roman" w:cs="Times New Roman"/>
          <w:noProof/>
          <w:color w:val="000000" w:themeColor="text1"/>
          <w:sz w:val="24"/>
          <w:szCs w:val="24"/>
          <w:lang w:val="en-US"/>
        </w:rPr>
        <mc:AlternateContent>
          <mc:Choice Requires="wps">
            <w:drawing>
              <wp:anchor distT="0" distB="0" distL="114297" distR="114297" simplePos="0" relativeHeight="251662336" behindDoc="0" locked="0" layoutInCell="1" allowOverlap="1" wp14:anchorId="52CCA910" wp14:editId="107EA661">
                <wp:simplePos x="0" y="0"/>
                <wp:positionH relativeFrom="column">
                  <wp:posOffset>2847974</wp:posOffset>
                </wp:positionH>
                <wp:positionV relativeFrom="paragraph">
                  <wp:posOffset>345440</wp:posOffset>
                </wp:positionV>
                <wp:extent cx="0" cy="304800"/>
                <wp:effectExtent l="76200" t="0" r="25400" b="25400"/>
                <wp:wrapNone/>
                <wp:docPr id="1210525351"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w14:anchorId="46F98126" id="Straight Arrow Connector 50" o:spid="_x0000_s1026" type="#_x0000_t32" style="position:absolute;margin-left:224.25pt;margin-top:27.2pt;width:0;height:24pt;z-index:25166233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" strokecolor="black [3200]" strokeweight=".5pt">
                <v:stroke endarrow="open" joinstyle="miter"/>
                <o:lock v:ext="edit" shapetype="f"/>
              </v:shape>
            </w:pict>
          </mc:Fallback>
        </mc:AlternateContent>
      </w:r>
    </w:p>
    <w:p w14:paraId="5F9577FA" w14:textId="77777777" w:rsidR="00CD3724" w:rsidRPr="00E2630C" w:rsidRDefault="00CD3724" w:rsidP="00CD3724">
      <w:pPr>
        <w:spacing w:line="480" w:lineRule="auto"/>
        <w:jc w:val="center"/>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7456" behindDoc="0" locked="0" layoutInCell="1" allowOverlap="1" wp14:anchorId="65C1895D" wp14:editId="4CBFA27B">
                <wp:simplePos x="0" y="0"/>
                <wp:positionH relativeFrom="column">
                  <wp:posOffset>1578610</wp:posOffset>
                </wp:positionH>
                <wp:positionV relativeFrom="paragraph">
                  <wp:posOffset>182245</wp:posOffset>
                </wp:positionV>
                <wp:extent cx="2895600" cy="543560"/>
                <wp:effectExtent l="12700" t="12700" r="0" b="2540"/>
                <wp:wrapNone/>
                <wp:docPr id="161760075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95600" cy="543560"/>
                        </a:xfrm>
                        <a:prstGeom prst="rect">
                          <a:avLst/>
                        </a:prstGeom>
                      </wps:spPr>
                      <wps:style>
                        <a:lnRef idx="2">
                          <a:schemeClr val="dk1"/>
                        </a:lnRef>
                        <a:fillRef idx="1">
                          <a:schemeClr val="lt1"/>
                        </a:fillRef>
                        <a:effectRef idx="0">
                          <a:schemeClr val="dk1"/>
                        </a:effectRef>
                        <a:fontRef idx="minor">
                          <a:schemeClr val="dk1"/>
                        </a:fontRef>
                      </wps:style>
                      <wps:txbx>
                        <w:txbxContent>
                          <w:p w14:paraId="3F7C965F" w14:textId="77777777" w:rsidR="0067586A" w:rsidRPr="00AD334E" w:rsidRDefault="0067586A" w:rsidP="00CD3724">
                            <w:pPr>
                              <w:jc w:val="center"/>
                              <w:rPr>
                                <w:rFonts w:ascii="Times New Roman" w:hAnsi="Times New Roman" w:cs="Times New Roman"/>
                                <w:b/>
                                <w:sz w:val="24"/>
                                <w:szCs w:val="24"/>
                              </w:rPr>
                            </w:pPr>
                            <w:r w:rsidRPr="00AD334E">
                              <w:rPr>
                                <w:rFonts w:ascii="Times New Roman" w:hAnsi="Times New Roman" w:cs="Times New Roman"/>
                                <w:b/>
                                <w:sz w:val="24"/>
                                <w:szCs w:val="24"/>
                              </w:rPr>
                              <w:t>OTHER CHIEFS RECOGNIZED BY THE NATIONAL HOUSE OF CHIEFS</w:t>
                            </w:r>
                          </w:p>
                          <w:p w14:paraId="29A19A32" w14:textId="77777777" w:rsidR="0067586A" w:rsidRPr="00AD334E" w:rsidRDefault="0067586A" w:rsidP="00CD3724">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C1895D" id="Rectangle 48" o:spid="_x0000_s1030" style="position:absolute;left:0;text-align:left;margin-left:124.3pt;margin-top:14.35pt;width:228pt;height:4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" fillcolor="white [3201]" strokecolor="black [3200]" strokeweight="1pt">
                <v:path arrowok="t"/>
                <v:textbox>
                  <w:txbxContent>
                    <w:p w14:paraId="3F7C965F" w14:textId="77777777" w:rsidR="0067586A" w:rsidRPr="00AD334E" w:rsidRDefault="0067586A" w:rsidP="00CD3724">
                      <w:pPr>
                        <w:jc w:val="center"/>
                        <w:rPr>
                          <w:rFonts w:ascii="Times New Roman" w:hAnsi="Times New Roman" w:cs="Times New Roman"/>
                          <w:b/>
                          <w:sz w:val="24"/>
                          <w:szCs w:val="24"/>
                        </w:rPr>
                      </w:pPr>
                      <w:r w:rsidRPr="00AD334E">
                        <w:rPr>
                          <w:rFonts w:ascii="Times New Roman" w:hAnsi="Times New Roman" w:cs="Times New Roman"/>
                          <w:b/>
                          <w:sz w:val="24"/>
                          <w:szCs w:val="24"/>
                        </w:rPr>
                        <w:t>OTHER CHIEFS RECOGNIZED BY THE NATIONAL HOUSE OF CHIEFS</w:t>
                      </w:r>
                    </w:p>
                    <w:p w14:paraId="29A19A32" w14:textId="77777777" w:rsidR="0067586A" w:rsidRPr="00AD334E" w:rsidRDefault="0067586A" w:rsidP="00CD3724">
                      <w:pPr>
                        <w:jc w:val="center"/>
                        <w:rPr>
                          <w:rFonts w:ascii="Times New Roman" w:hAnsi="Times New Roman" w:cs="Times New Roman"/>
                          <w:sz w:val="24"/>
                          <w:szCs w:val="24"/>
                        </w:rPr>
                      </w:pPr>
                    </w:p>
                  </w:txbxContent>
                </v:textbox>
              </v:rect>
            </w:pict>
          </mc:Fallback>
        </mc:AlternateContent>
      </w:r>
    </w:p>
    <w:p w14:paraId="04288AC4"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r w:rsidRPr="00E2630C">
        <w:rPr>
          <w:rFonts w:ascii="Times New Roman" w:hAnsi="Times New Roman" w:cs="Times New Roman"/>
          <w:color w:val="000000" w:themeColor="text1"/>
          <w:sz w:val="24"/>
          <w:szCs w:val="24"/>
        </w:rPr>
        <w:tab/>
      </w:r>
    </w:p>
    <w:p w14:paraId="2260259F" w14:textId="001102C1" w:rsidR="00CD3724" w:rsidRPr="00E2630C" w:rsidRDefault="00CD3724" w:rsidP="00CD3724">
      <w:pPr>
        <w:pStyle w:val="Heading5"/>
        <w:rPr>
          <w:rFonts w:cs="Times New Roman"/>
          <w:szCs w:val="24"/>
        </w:rPr>
      </w:pPr>
      <w:bookmarkStart w:id="36" w:name="_Toc182386329"/>
      <w:r w:rsidRPr="00E2630C">
        <w:rPr>
          <w:rFonts w:cs="Times New Roman"/>
          <w:szCs w:val="24"/>
        </w:rPr>
        <w:t xml:space="preserve">Figure 2.1: Ghana's </w:t>
      </w:r>
      <w:r w:rsidR="005D0204" w:rsidRPr="00E2630C">
        <w:rPr>
          <w:rFonts w:cs="Times New Roman"/>
          <w:szCs w:val="24"/>
        </w:rPr>
        <w:t>C</w:t>
      </w:r>
      <w:r w:rsidRPr="00E2630C">
        <w:rPr>
          <w:rFonts w:cs="Times New Roman"/>
          <w:szCs w:val="24"/>
        </w:rPr>
        <w:t xml:space="preserve">hiefs' </w:t>
      </w:r>
      <w:r w:rsidR="005D0204" w:rsidRPr="00E2630C">
        <w:rPr>
          <w:rFonts w:cs="Times New Roman"/>
          <w:szCs w:val="24"/>
        </w:rPr>
        <w:t>H</w:t>
      </w:r>
      <w:r w:rsidRPr="00E2630C">
        <w:rPr>
          <w:rFonts w:cs="Times New Roman"/>
          <w:szCs w:val="24"/>
        </w:rPr>
        <w:t xml:space="preserve">ierarchical </w:t>
      </w:r>
      <w:r w:rsidR="005D0204" w:rsidRPr="00E2630C">
        <w:rPr>
          <w:rFonts w:cs="Times New Roman"/>
          <w:szCs w:val="24"/>
        </w:rPr>
        <w:t>S</w:t>
      </w:r>
      <w:r w:rsidRPr="00E2630C">
        <w:rPr>
          <w:rFonts w:cs="Times New Roman"/>
          <w:szCs w:val="24"/>
        </w:rPr>
        <w:t xml:space="preserve">ystem </w:t>
      </w:r>
      <w:r w:rsidR="00243615" w:rsidRPr="00E2630C">
        <w:rPr>
          <w:rFonts w:cs="Times New Roman"/>
          <w:szCs w:val="24"/>
        </w:rPr>
        <w:t>(</w:t>
      </w:r>
      <w:r w:rsidR="005D0204" w:rsidRPr="00E2630C">
        <w:rPr>
          <w:rFonts w:cs="Times New Roman"/>
          <w:szCs w:val="24"/>
        </w:rPr>
        <w:t>Northern R</w:t>
      </w:r>
      <w:r w:rsidRPr="00E2630C">
        <w:rPr>
          <w:rFonts w:cs="Times New Roman"/>
          <w:szCs w:val="24"/>
        </w:rPr>
        <w:t xml:space="preserve">egional </w:t>
      </w:r>
      <w:r w:rsidR="005D0204" w:rsidRPr="00E2630C">
        <w:rPr>
          <w:rFonts w:cs="Times New Roman"/>
          <w:szCs w:val="24"/>
        </w:rPr>
        <w:t>H</w:t>
      </w:r>
      <w:r w:rsidRPr="00E2630C">
        <w:rPr>
          <w:rFonts w:cs="Times New Roman"/>
          <w:szCs w:val="24"/>
        </w:rPr>
        <w:t xml:space="preserve">ouse of </w:t>
      </w:r>
      <w:r w:rsidR="005D0204" w:rsidRPr="00E2630C">
        <w:rPr>
          <w:rFonts w:cs="Times New Roman"/>
          <w:szCs w:val="24"/>
        </w:rPr>
        <w:t>C</w:t>
      </w:r>
      <w:r w:rsidRPr="00E2630C">
        <w:rPr>
          <w:rFonts w:cs="Times New Roman"/>
          <w:szCs w:val="24"/>
        </w:rPr>
        <w:t>hiefs</w:t>
      </w:r>
      <w:r w:rsidR="00243615" w:rsidRPr="00E2630C">
        <w:rPr>
          <w:rFonts w:cs="Times New Roman"/>
          <w:szCs w:val="24"/>
        </w:rPr>
        <w:t>).</w:t>
      </w:r>
      <w:bookmarkEnd w:id="36"/>
    </w:p>
    <w:p w14:paraId="5D9002E0"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p>
    <w:p w14:paraId="78CB3B77"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To guarantee that the Chieftaincy Act's prescribed privileges and obligations are granted to them, any individual aspiring to the position of chief must fall under one of the aforementioned groups recognized by the Act (Owusu-Mensah, 2014). In practically every region with such political institutions, the chieftaincy under the Native Authorities system was closely associated with the colonial authority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w:t>
      </w:r>
    </w:p>
    <w:p w14:paraId="27B53A3F"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At every level of the traditional governance structure (i.e., from the level of the community up to the supreme chief), the chieftaincy served as the primary administrative system during the pre-colonial period. Prior to colonization, the chieftaincy system was unrestricted by outside laws or organizations other than the relevant traditional councils (Owusu-Mensah, 2014). </w:t>
      </w:r>
    </w:p>
    <w:p w14:paraId="6E8839A8"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In order to ensure a transition towards a constitutional monarchy, the colonial administrators drafted a new constitution in 1943, which gave non-officials the majority </w:t>
      </w:r>
      <w:r w:rsidRPr="00E2630C">
        <w:rPr>
          <w:rFonts w:ascii="Times New Roman" w:hAnsi="Times New Roman" w:cs="Times New Roman"/>
          <w:color w:val="000000" w:themeColor="text1"/>
          <w:sz w:val="24"/>
          <w:szCs w:val="24"/>
        </w:rPr>
        <w:lastRenderedPageBreak/>
        <w:t>in the Legislative Council. This new Legislative Council was elected directly by the people living along the coast. However, in other areas such as the Asanteman Council (for the Ashanti Region) and the Joint Provisional Council (Eastern &amp; Western Region) it functioned as electoral councils (Knierzinger, 2011). The chieftaincy institution was guaranteed by the 1957 and 1960 Constitutions in accordance with use and custom. As a result, the 1969 Constitution guaranteed that all chieftaincy matters were managed by the appropriate constituent bodies of the chieftaincy institution, in addition to recognizing the chieftaincy institution with its Traditional Councils, Regional, and National Houses of Chiefs as an essential component of the state apparatus (Owusu-Mensah, 2014). In addition to reestablishing the Regional Houses of Chiefs, the Ghanaian Republican Constitution of 1969 bestowed new powers upon the National House of Chiefs. However, the 1969 Constitution did not abolish the government's power to make and unmake chiefs which was the greatest threat to the chieftaincy system. The National House of Chiefs was established in 1971 as a result of the Chieftaincy Act, joining the previously established Regional Houses of Chiefs and Traditional Councils (Higazi, 2004; Knierzinger, 2011).</w:t>
      </w:r>
    </w:p>
    <w:p w14:paraId="7B18D9C3"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cornerstone of its ties with the government continues to be these three institutions. In addition, the Act established judicial bodies to consider and rule on any case or issue pertaining to chieftaincy (Higazi, 2004). The chieftaincy institution and its customary councils, as created by customary law, were likewise guaranteed by the 1979 Constitution. As a result, parliament lacked the jurisdiction to pass any laws that would have (a) given any individual or body the authority to recognize or reject a chief, or (b) in any way diminished the honor and dignity of the chieftaincy institution (Asamoah, 2012). The 1979 Constitution provided the institution of chieftaincy an unparalleled level of independence and autonomy in Ghana's political history.</w:t>
      </w:r>
    </w:p>
    <w:p w14:paraId="0367183D"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The Provincial National Defense Council (PNDC) administration reinstated the gazetting of chiefs, which had been started by the CPP government under the Chieftaincy Act of 1961 (Act 81) and later outlawed by the National Redemption Council (NRC) and Supreme Military Council (SMC) governments. </w:t>
      </w:r>
    </w:p>
    <w:p w14:paraId="25197C28"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PNDCL 107 amended Section 48 of the Chieftaincy Act of 1971, Act 370, recognizing in sub-section 2 that "no person shall be deemed to be a chief under this Act or any other enactment unless he has been recognized as such for the existence of that function by the Secretary responsible for Chieftaincy Matters by notice published in the Local Government Bulletin" (Knierzinger, 2011: 17). The 1992 Constitution explicitly guarantees the institution of chieftaincy, granting the Houses of Chiefs the authority and independence to grant or withhold recognition from a chief (Nyaaba, 2009). Each Regional House of Chiefs elects five paramount chiefs to the National House of Chiefs. Additionally, two chiefs from the Regional House of Chiefs are designated to serve on their respective Regional Coordinating Councils per a clause in the 1992 Constitution (Higazi, 2004). Articles 271 to 274 of the 1992 Constitution further describe the creation, authority, and duties of the Regional and National Houses of Chiefs. Nevertheless, Article 276, which forbids chiefs from actively participating in partisan politics, is in violation of earlier constitutions. Article 276(1) of the Constitution and Section 57(3) of the Chieftaincy Act (2008) specifies that a Chief should not take part in active party politics (Higazi, 2004; Keese, 2011; Owusu-Mensah, 2014). For every member of the community, they fulfil the function of a father figure. As such, they are expected to maintain political neutrality while ensuring harmony, peace, and understanding within their traditional spheres of influence. With the foregoing provision, it is envisaged that the chieftaincy institution will be freed from the partisan politics-related squabbles and animosity.</w:t>
      </w:r>
    </w:p>
    <w:p w14:paraId="5DBCD383" w14:textId="5342734C"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The political climate between Ghana's central government and the chiefs has been quiet and steady since the start of the Fourth Republic. In order to bring issues that obstruct the chieftaincy institution's advancement to the president's notice, chiefs now have direct representation at cabinet meetings thanks to the establishment of the Ministry of Chieftaincy and Culture in 2005 (Owusu-Mensah, 2014). A chief must be a person who has never been convicted of high treason, treason and high crime, or any felony involving the security of the State, fraud, dishonesty, or moral turpitude. Act 759 of the 1992 Constitution further establishes the guidelines for this qualification. The rationale for the clause is to preserve the integrity of the traditional values that are ingrained in Ghanaian culture and are associated with the chieftaincy institution. Chiefs are expected to be above </w:t>
      </w:r>
      <w:r w:rsidR="00B5114C" w:rsidRPr="00E2630C">
        <w:rPr>
          <w:rFonts w:ascii="Times New Roman" w:hAnsi="Times New Roman" w:cs="Times New Roman"/>
          <w:color w:val="000000" w:themeColor="text1"/>
          <w:sz w:val="24"/>
          <w:szCs w:val="24"/>
        </w:rPr>
        <w:t>reproach;</w:t>
      </w:r>
      <w:r w:rsidRPr="00E2630C">
        <w:rPr>
          <w:rFonts w:ascii="Times New Roman" w:hAnsi="Times New Roman" w:cs="Times New Roman"/>
          <w:color w:val="000000" w:themeColor="text1"/>
          <w:sz w:val="24"/>
          <w:szCs w:val="24"/>
        </w:rPr>
        <w:t xml:space="preserve"> </w:t>
      </w:r>
      <w:r w:rsidR="0049497D" w:rsidRPr="00E2630C">
        <w:rPr>
          <w:rFonts w:ascii="Times New Roman" w:hAnsi="Times New Roman" w:cs="Times New Roman"/>
          <w:color w:val="000000" w:themeColor="text1"/>
          <w:sz w:val="24"/>
          <w:szCs w:val="24"/>
        </w:rPr>
        <w:t>thus,</w:t>
      </w:r>
      <w:r w:rsidRPr="00E2630C">
        <w:rPr>
          <w:rFonts w:ascii="Times New Roman" w:hAnsi="Times New Roman" w:cs="Times New Roman"/>
          <w:color w:val="000000" w:themeColor="text1"/>
          <w:sz w:val="24"/>
          <w:szCs w:val="24"/>
        </w:rPr>
        <w:t xml:space="preserve"> this is really significant. </w:t>
      </w:r>
    </w:p>
    <w:p w14:paraId="35BBED11" w14:textId="727C210B" w:rsidR="00CD3724" w:rsidRPr="00E2630C" w:rsidRDefault="00CD3724" w:rsidP="00243615">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They are in charge of protecting culture and legacy. On the other hand, it appears that the 1992 Constitution has differing views about the role that leaders have in our contemporary politics. While it tries to eliminate chiefs from the effective or formal exercise of political authority of any sort, at the same time arrangements are established to consolidate the continuous existence of chiefs (Asamoah, 2012). Chieftaincy is established under the Constitution's articles 270 and 290(1) (p). The establishment of chiefs and their traditional councils is guaranteed by Article 270(1). Additionally, Article 270(2)(a) states that Parliament is not authorized to pass any legislation granting any individual or body the authority to recognize or deny recognition to a chief for any reason. Article 276 (1) contains an amusing irony: A chief is not allowed to participate in active party politics, and any chief who wants to do so in order to run for office in Parliament must give up their stool or skin. Article 242(d) specifies that the President has to consult traditional authority who happen to be chiefs in appointing members to </w:t>
      </w:r>
      <w:r w:rsidRPr="00E2630C">
        <w:rPr>
          <w:rFonts w:ascii="Times New Roman" w:hAnsi="Times New Roman" w:cs="Times New Roman"/>
          <w:color w:val="000000" w:themeColor="text1"/>
          <w:sz w:val="24"/>
          <w:szCs w:val="24"/>
        </w:rPr>
        <w:lastRenderedPageBreak/>
        <w:t>District Assemblies. There are contradictions in the 1992 Constitution (Asamoah, 2012).</w:t>
      </w:r>
    </w:p>
    <w:p w14:paraId="05826BD6" w14:textId="77777777" w:rsidR="00CD3724" w:rsidRPr="00E2630C" w:rsidRDefault="00CD3724" w:rsidP="0049497D">
      <w:pPr>
        <w:pStyle w:val="Heading2"/>
      </w:pPr>
      <w:bookmarkStart w:id="37" w:name="_Toc182386231"/>
      <w:r w:rsidRPr="00E2630C">
        <w:t>2.7 The changing roles of the Chieftaincy Institution in National Development</w:t>
      </w:r>
      <w:bookmarkEnd w:id="37"/>
    </w:p>
    <w:p w14:paraId="776FAF3B" w14:textId="4A7D19E0"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It is peculiar for someone to believe that the chieftaincy should be abolished since it is out of date and unnecessary in modern </w:t>
      </w:r>
      <w:r w:rsidR="00CE197B" w:rsidRPr="00E2630C">
        <w:rPr>
          <w:rFonts w:ascii="Times New Roman" w:hAnsi="Times New Roman" w:cs="Times New Roman"/>
          <w:color w:val="000000" w:themeColor="text1"/>
          <w:sz w:val="24"/>
          <w:szCs w:val="24"/>
        </w:rPr>
        <w:t>times due to the numerous conflicts associated with such an institution</w:t>
      </w:r>
      <w:r w:rsidRPr="00E2630C">
        <w:rPr>
          <w:rFonts w:ascii="Times New Roman" w:hAnsi="Times New Roman" w:cs="Times New Roman"/>
          <w:color w:val="000000" w:themeColor="text1"/>
          <w:sz w:val="24"/>
          <w:szCs w:val="24"/>
        </w:rPr>
        <w:t xml:space="preserve">. The chieftaincy institution must be preserved because it is the embodiment of our culture, a force for progress, and a catalyst for change. Distinguished chiefs </w:t>
      </w:r>
      <w:r w:rsidR="0049497D" w:rsidRPr="00E2630C">
        <w:rPr>
          <w:rFonts w:ascii="Times New Roman" w:hAnsi="Times New Roman" w:cs="Times New Roman"/>
          <w:color w:val="000000" w:themeColor="text1"/>
          <w:sz w:val="24"/>
          <w:szCs w:val="24"/>
        </w:rPr>
        <w:t>played key</w:t>
      </w:r>
      <w:r w:rsidRPr="00E2630C">
        <w:rPr>
          <w:rFonts w:ascii="Times New Roman" w:hAnsi="Times New Roman" w:cs="Times New Roman"/>
          <w:color w:val="000000" w:themeColor="text1"/>
          <w:sz w:val="24"/>
          <w:szCs w:val="24"/>
        </w:rPr>
        <w:t xml:space="preserve"> roles in the administration of local government by enforcing law and order, collecting taxes, mediating disputes, and overseeing socio-economic growth (Asamoah, 2012). The institution of the chieftaincy has grown significantly in importance in Ghana's social and political life since pre-colonial times. It is impossible to ignore Ghana's growing acknowledgement of chiefs, or natural rulers, in both local and national politics. The chieftaincy institution dates back as far as the nation's history. Despite being one of Ghana's oldest traditional institutions, it nevertheless has a major impact on the country's growth (Knierzinger, 2011).</w:t>
      </w:r>
    </w:p>
    <w:p w14:paraId="12A25702"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Even in metropolitan regions, Ghanaian societies remain entrenched in neo-patrimonial institutions, despite the influence of colonial and post-colonial administrations. Despite numerous predictions of impending disaster following colonization, the chieftaincy system remains incredibly well-liked. Among the reasons for this resilience is the exceptional malleability and fluidity of neo-patrimonial institutions (Knierzinger, 2011). </w:t>
      </w:r>
    </w:p>
    <w:p w14:paraId="78F0A2D8"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It is impossible to understate the importance of the chieftaincy institution. Chiefs served as leaders and protectors of their people, chief priests carrying out religious duties in their community, centres of identity, symbols of honour, unifiers, and the exclusive </w:t>
      </w:r>
      <w:r w:rsidRPr="00E2630C">
        <w:rPr>
          <w:rFonts w:ascii="Times New Roman" w:hAnsi="Times New Roman" w:cs="Times New Roman"/>
          <w:color w:val="000000" w:themeColor="text1"/>
          <w:sz w:val="24"/>
          <w:szCs w:val="24"/>
        </w:rPr>
        <w:lastRenderedPageBreak/>
        <w:t xml:space="preserve">guardians of skin or stool lands in Ghanaian traditional society </w:t>
      </w:r>
      <w:r w:rsidRPr="00E2630C">
        <w:rPr>
          <w:rFonts w:ascii="Times New Roman" w:eastAsia="Times New Roman" w:hAnsi="Times New Roman" w:cs="Times New Roman"/>
          <w:color w:val="000000" w:themeColor="text1"/>
          <w:sz w:val="24"/>
          <w:szCs w:val="24"/>
        </w:rPr>
        <w:t>(Brion &amp; Ampah-Mensah, 2021; Prah &amp; Yeboah, 2011b)</w:t>
      </w:r>
      <w:r w:rsidRPr="00E2630C">
        <w:rPr>
          <w:rFonts w:ascii="Times New Roman" w:hAnsi="Times New Roman" w:cs="Times New Roman"/>
          <w:color w:val="000000" w:themeColor="text1"/>
          <w:sz w:val="24"/>
          <w:szCs w:val="24"/>
        </w:rPr>
        <w:t xml:space="preserve">. Ghana has seen hand-in-hand relations between administrations and chiefs throughout the post-war era. According to </w:t>
      </w:r>
      <w:r w:rsidRPr="00E2630C">
        <w:rPr>
          <w:rFonts w:ascii="Times New Roman" w:eastAsia="Times New Roman" w:hAnsi="Times New Roman" w:cs="Times New Roman"/>
          <w:color w:val="000000" w:themeColor="text1"/>
          <w:sz w:val="24"/>
          <w:szCs w:val="24"/>
        </w:rPr>
        <w:t>Boateng &amp; Afranie (2020)</w:t>
      </w:r>
      <w:r w:rsidRPr="00E2630C">
        <w:rPr>
          <w:rFonts w:ascii="Times New Roman" w:hAnsi="Times New Roman" w:cs="Times New Roman"/>
          <w:color w:val="000000" w:themeColor="text1"/>
          <w:sz w:val="24"/>
          <w:szCs w:val="24"/>
        </w:rPr>
        <w:t xml:space="preserve">, chiefs perform the role of co-coordinators of development initiatives and act as a liaison between their local communities and other communities, as well as the federal government. In fulfilling these roles, chiefs are considered as the personification of the hopes, fears beliefs, and aspirations of their subjects </w:t>
      </w:r>
      <w:r w:rsidRPr="00E2630C">
        <w:rPr>
          <w:rFonts w:ascii="Times New Roman" w:eastAsia="Times New Roman" w:hAnsi="Times New Roman" w:cs="Times New Roman"/>
          <w:color w:val="000000" w:themeColor="text1"/>
          <w:sz w:val="24"/>
          <w:szCs w:val="24"/>
        </w:rPr>
        <w:t>(Brion &amp; Ampah-Mensah, 2021; Prah &amp; Yeboah, 2011b)</w:t>
      </w:r>
      <w:r w:rsidRPr="00E2630C">
        <w:rPr>
          <w:rFonts w:ascii="Times New Roman" w:hAnsi="Times New Roman" w:cs="Times New Roman"/>
          <w:color w:val="000000" w:themeColor="text1"/>
          <w:sz w:val="24"/>
          <w:szCs w:val="24"/>
        </w:rPr>
        <w:t xml:space="preserve">. Because they can inspire their people to work for growth, chiefs are seen as legitimate and credible by their subjects. In addition to having the ability to express their moral convictions, traditional leaders can sway public opinion. Therefore, in areas where they are well-represented, chiefs may be able to have a big impact on the populace. Kleist (2011) asserts that chiefs are proactive mediators and development brokers. He goes on to mention the presence of chiefs in formal and informal gatherings, as well as the media, as evidence of their important roles that are valued by the government and the people they represent. When chiefs are credible in their communities, they can play a significant role in educating the public about a variety of societal issues. Traditional leaders given their prominence within the society are likely to transmit crucial social concerns that can contribute to the growth of the country </w:t>
      </w:r>
      <w:r w:rsidRPr="00E2630C">
        <w:rPr>
          <w:rFonts w:ascii="Times New Roman" w:eastAsia="Times New Roman" w:hAnsi="Times New Roman" w:cs="Times New Roman"/>
          <w:color w:val="000000" w:themeColor="text1"/>
          <w:sz w:val="24"/>
          <w:szCs w:val="24"/>
        </w:rPr>
        <w:t>(Ray &amp; Eizlini, 2011)</w:t>
      </w:r>
      <w:r w:rsidRPr="00E2630C">
        <w:rPr>
          <w:rFonts w:ascii="Times New Roman" w:hAnsi="Times New Roman" w:cs="Times New Roman"/>
          <w:color w:val="000000" w:themeColor="text1"/>
          <w:sz w:val="24"/>
          <w:szCs w:val="24"/>
        </w:rPr>
        <w:t xml:space="preserve">. Given that chiefs play a significant role in Ghana's culture, history, political system, and governance, the chieftaincy institution is essential to the continent's political transition. According to this theory, the State's incapacity to achieve long-term socioeconomic development stems from its disregard for institutions and its inability to preserve the nation's historical legacy. Much time, money, and effort may be lost on poorly thought out projects if policy makers ignore social context, history, and culture while developing and implementing </w:t>
      </w:r>
      <w:r w:rsidRPr="00E2630C">
        <w:rPr>
          <w:rFonts w:ascii="Times New Roman" w:hAnsi="Times New Roman" w:cs="Times New Roman"/>
          <w:color w:val="000000" w:themeColor="text1"/>
          <w:sz w:val="24"/>
          <w:szCs w:val="24"/>
        </w:rPr>
        <w:lastRenderedPageBreak/>
        <w:t xml:space="preserve">policies. This is the reason why community participation is emphasized in modern development programs. It is impossible to absolve the colonial and post-colonial States of responsibility for converting chieftaincy institutions into middle-level administrative structures and for enlisting chiefs to assist in the tyrannical rule over their respective populations. However, the chieftaincy institution is one of the most important resources that may help rural communities receive public services and advance democratic governance (Economic Commission for Africa (ECA), 2007). According to some research, traditional institutions are still relevant, legitimate, and resilient in Ghana's socioeconomic, cultural, and political spheres especially in the country's rural areas </w:t>
      </w:r>
      <w:r w:rsidRPr="00E2630C">
        <w:rPr>
          <w:rFonts w:ascii="Times New Roman" w:eastAsia="Times New Roman" w:hAnsi="Times New Roman" w:cs="Times New Roman"/>
          <w:color w:val="000000" w:themeColor="text1"/>
          <w:sz w:val="24"/>
          <w:szCs w:val="24"/>
        </w:rPr>
        <w:t>(Beall &amp; Ngonyama, 2009)</w:t>
      </w:r>
      <w:r w:rsidRPr="00E2630C">
        <w:rPr>
          <w:rFonts w:ascii="Times New Roman" w:hAnsi="Times New Roman" w:cs="Times New Roman"/>
          <w:color w:val="000000" w:themeColor="text1"/>
          <w:sz w:val="24"/>
          <w:szCs w:val="24"/>
        </w:rPr>
        <w:t>.</w:t>
      </w:r>
    </w:p>
    <w:p w14:paraId="42A41E5F"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In Ghana, traditional chiefs hold significant influence alongside the government. Traditional institutions are still significant in Africa, particularly in the post-colonial governments, where they are firmly established and resistant to change. The institution of the chieftaincy has historically adjusted to colonial administrative systems and has been involved in a variety of ways by succeeding administrations. The creative ways in which chiefs have adapted and flourished have left their legacy unclear. Conversely, new research indicates that traditional institutions are returning to life throughout Africa, including chieftaincy, which is reviving in Ghana and throughout the continent. The ongoing discussion stems from concerns about incompetent leadership and the state's reluctance due to regional and local conflicts or the instability surrounding the chieftaincy institution. As previously mentioned, among the duties of chiefs are communicating information from the government, consulting with the public, and serving as a judicial body in conflict and dispute resolution situations </w:t>
      </w:r>
      <w:r w:rsidRPr="00E2630C">
        <w:rPr>
          <w:rFonts w:ascii="Times New Roman" w:eastAsia="Times New Roman" w:hAnsi="Times New Roman" w:cs="Times New Roman"/>
          <w:color w:val="000000" w:themeColor="text1"/>
          <w:sz w:val="24"/>
          <w:szCs w:val="24"/>
        </w:rPr>
        <w:t>(Beall &amp; Ngonyama, 2009)</w:t>
      </w:r>
      <w:r w:rsidRPr="00E2630C">
        <w:rPr>
          <w:rFonts w:ascii="Times New Roman" w:hAnsi="Times New Roman" w:cs="Times New Roman"/>
          <w:color w:val="000000" w:themeColor="text1"/>
          <w:sz w:val="24"/>
          <w:szCs w:val="24"/>
        </w:rPr>
        <w:t>.</w:t>
      </w:r>
    </w:p>
    <w:p w14:paraId="2D2DFD8D"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Chiefs' primary responsibility is to maintain traditional institutions, traditions, and resources. Chieftaincies' histories in Ghana demonstrate how these kinds of institutions have been continuously upheld for thousands of years by a variety of communities. Because traditional leaders are central to Ghanaian society, the system of chieftaincy is relevant because it offers a deeper significance to the average citizen. Furthermore, popular fervour and passion for an institution that represents the entire society, not just a portion of it, attest to the chieftaincy's relevance. As</w:t>
      </w:r>
      <w:r w:rsidR="00CE197B" w:rsidRPr="00E2630C">
        <w:rPr>
          <w:rFonts w:ascii="Times New Roman" w:hAnsi="Times New Roman" w:cs="Times New Roman"/>
          <w:color w:val="000000" w:themeColor="text1"/>
          <w:sz w:val="24"/>
          <w:szCs w:val="24"/>
        </w:rPr>
        <w:t xml:space="preserve"> </w:t>
      </w:r>
      <w:r w:rsidR="000C50BA" w:rsidRPr="00E2630C">
        <w:rPr>
          <w:rFonts w:ascii="Times New Roman" w:hAnsi="Times New Roman" w:cs="Times New Roman"/>
          <w:color w:val="000000" w:themeColor="text1"/>
          <w:sz w:val="24"/>
          <w:szCs w:val="24"/>
        </w:rPr>
        <w:t>discussed</w:t>
      </w:r>
      <w:r w:rsidRPr="00E2630C">
        <w:rPr>
          <w:rFonts w:ascii="Times New Roman" w:hAnsi="Times New Roman" w:cs="Times New Roman"/>
          <w:color w:val="000000" w:themeColor="text1"/>
          <w:sz w:val="24"/>
          <w:szCs w:val="24"/>
        </w:rPr>
        <w:t xml:space="preserve">, the chief served as the traditional state or kingdom's political, social, economic, legal, and military </w:t>
      </w:r>
      <w:r w:rsidR="00CE197B" w:rsidRPr="00E2630C">
        <w:rPr>
          <w:rFonts w:ascii="Times New Roman" w:hAnsi="Times New Roman" w:cs="Times New Roman"/>
          <w:color w:val="000000" w:themeColor="text1"/>
          <w:sz w:val="24"/>
          <w:szCs w:val="24"/>
        </w:rPr>
        <w:t>front-runner</w:t>
      </w:r>
      <w:r w:rsidRPr="00E2630C">
        <w:rPr>
          <w:rFonts w:ascii="Times New Roman" w:hAnsi="Times New Roman" w:cs="Times New Roman"/>
          <w:color w:val="000000" w:themeColor="text1"/>
          <w:sz w:val="24"/>
          <w:szCs w:val="24"/>
        </w:rPr>
        <w:t xml:space="preserve">. In his capacity as political leader, the chief was in charge of upholding law and order in his state. In addition, he protected the people's core beliefs and acted as a go-between for the community and the supernatural. In the pre-colonial era, the chief was endowed with a significant level of influence. The chief oversaw market tolls, tributes, court penalties, and other income. In the administration of justice, he also served as the last arbitrator (Kleist, 2011). Therefore, chiefs had a high degree of respect and autonomy before to colonization. But the chief made decisions based on the counsel of a body that was popularly referred to as the Council of Elders. The institution of chieftaincy checked itself through kingmakers and queen moms in areas where the ancient administration structure worked successfully in order to guard against totalitarian inclinations. In this instance, chiefs were just required to follow their elders' advice. In addition to ruling by consensus, the chief might also be overthrown for incompetence or for breaking taboos, communal or state trusts, or for any other reason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w:t>
      </w:r>
    </w:p>
    <w:p w14:paraId="5864D84C" w14:textId="5E2E07E4"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In terms of Good governance or democracy, the Chieftaincy institution has been an important arm of local governance since colonial times (Aikins, 2011). It was anticipated that the system of chieftaincy and associated traditional councils would lead </w:t>
      </w:r>
      <w:r w:rsidRPr="00E2630C">
        <w:rPr>
          <w:rFonts w:ascii="Times New Roman" w:hAnsi="Times New Roman" w:cs="Times New Roman"/>
          <w:color w:val="000000" w:themeColor="text1"/>
          <w:sz w:val="24"/>
          <w:szCs w:val="24"/>
        </w:rPr>
        <w:lastRenderedPageBreak/>
        <w:t xml:space="preserve">to proper accountability, local community empowerment, and effective and efficient governance. Since traditional leaders like chiefs would act as go-betweens for the local populace and government representatives, it was anticipated that local governance or decentralization would result in the active participation of the populace at the grassroots level </w:t>
      </w:r>
      <w:r w:rsidRPr="00E2630C">
        <w:rPr>
          <w:rFonts w:ascii="Times New Roman" w:eastAsia="Times New Roman" w:hAnsi="Times New Roman" w:cs="Times New Roman"/>
          <w:color w:val="000000" w:themeColor="text1"/>
          <w:sz w:val="24"/>
          <w:szCs w:val="24"/>
        </w:rPr>
        <w:t>(Dawda &amp; Dapilah, 2013)</w:t>
      </w:r>
      <w:r w:rsidRPr="00E2630C">
        <w:rPr>
          <w:rFonts w:ascii="Times New Roman" w:hAnsi="Times New Roman" w:cs="Times New Roman"/>
          <w:color w:val="000000" w:themeColor="text1"/>
          <w:sz w:val="24"/>
          <w:szCs w:val="24"/>
        </w:rPr>
        <w:t xml:space="preserve">. According to this structure, chiefs were required to assist local government actors and offer guidance in order to enhance the living conditions of the people they represent. As a result, the local government structure is a cooperative effort between the government, the chiefs, and their people. Furthermore, local government representatives can collaborate with chiefs to win their people's support for development projects and initiatives thanks to the decentralization system. Thus, it is expected of traditional leaders to collaborate on policy decisions with representatives of the local government </w:t>
      </w:r>
      <w:r w:rsidRPr="00E2630C">
        <w:rPr>
          <w:rFonts w:ascii="Times New Roman" w:eastAsia="Times New Roman" w:hAnsi="Times New Roman" w:cs="Times New Roman"/>
          <w:color w:val="000000" w:themeColor="text1"/>
          <w:sz w:val="24"/>
          <w:szCs w:val="24"/>
        </w:rPr>
        <w:t>(Aikins, 2011; Dawda &amp; Dapilah, 2013)</w:t>
      </w:r>
      <w:r w:rsidRPr="00E2630C">
        <w:rPr>
          <w:rFonts w:ascii="Times New Roman" w:hAnsi="Times New Roman" w:cs="Times New Roman"/>
          <w:color w:val="000000" w:themeColor="text1"/>
          <w:sz w:val="24"/>
          <w:szCs w:val="24"/>
        </w:rPr>
        <w:t xml:space="preserve">. This is to guarantee that policies are carried out efficiently at all levels of government, starting from the local level. The District Assembly, as a government agent, fulfills its mandate to promote the general well-being of the local areas, democratic decision-making, and the exercise of its deliberative functions through important processes including consultation and decision-making. In fact, the local government representatives and traditional leaders bear complete responsibility for decision-making through a platform that offers a chance for all parties concerned </w:t>
      </w:r>
      <w:r w:rsidRPr="00E2630C">
        <w:rPr>
          <w:rFonts w:ascii="Times New Roman" w:eastAsia="Times New Roman" w:hAnsi="Times New Roman" w:cs="Times New Roman"/>
          <w:color w:val="000000" w:themeColor="text1"/>
          <w:sz w:val="24"/>
          <w:szCs w:val="24"/>
        </w:rPr>
        <w:t>(Dawda &amp; Dapilah, 2013)</w:t>
      </w:r>
      <w:r w:rsidRPr="00E2630C">
        <w:rPr>
          <w:rFonts w:ascii="Times New Roman" w:hAnsi="Times New Roman" w:cs="Times New Roman"/>
          <w:color w:val="000000" w:themeColor="text1"/>
          <w:sz w:val="24"/>
          <w:szCs w:val="24"/>
        </w:rPr>
        <w:t xml:space="preserve">. When it comes to the construction of projects like boreholes, educational facilities, and health infrastructure, land is crucial. When it comes to releasing land for development, chiefs are crucial. In Ghana, for example, chiefs hold over 80% of the land, with less than 10% set aside for public development by the government (Adjei-Poku et al., 2023; Aikins, 2011; Belden, 2010; Odotei, 2006). The land is a vital asset on which all other projects depend and the support given by chiefs to obtain land easier </w:t>
      </w:r>
      <w:r w:rsidRPr="00E2630C">
        <w:rPr>
          <w:rFonts w:ascii="Times New Roman" w:hAnsi="Times New Roman" w:cs="Times New Roman"/>
          <w:color w:val="000000" w:themeColor="text1"/>
          <w:sz w:val="24"/>
          <w:szCs w:val="24"/>
        </w:rPr>
        <w:lastRenderedPageBreak/>
        <w:t xml:space="preserve">makes their contribution to infrastructural development very important </w:t>
      </w:r>
      <w:r w:rsidRPr="00E2630C">
        <w:rPr>
          <w:rFonts w:ascii="Times New Roman" w:eastAsia="Times New Roman" w:hAnsi="Times New Roman" w:cs="Times New Roman"/>
          <w:color w:val="000000" w:themeColor="text1"/>
          <w:sz w:val="24"/>
          <w:szCs w:val="24"/>
        </w:rPr>
        <w:t>(Aikins, 2011; Dawda &amp; Dapilah, 2013)</w:t>
      </w:r>
      <w:r w:rsidRPr="00E2630C">
        <w:rPr>
          <w:rFonts w:ascii="Times New Roman" w:hAnsi="Times New Roman" w:cs="Times New Roman"/>
          <w:color w:val="000000" w:themeColor="text1"/>
          <w:sz w:val="24"/>
          <w:szCs w:val="24"/>
        </w:rPr>
        <w:t xml:space="preserve">. Another important function that chiefs and their elders perform is that of intermediaries between their communities and other development partners. Chiefs also act as vital conduits for information between their communities and development partners, including non-governmental organizations (NGOs) that work in the fields of health, education, and infrastructure development, among other things. In addition, it is observed that chiefs play a role in organizing community labor for projects centered around demand. For example, under the Self-help Rural Electrification Project (SHEP), chiefs have helped the various District Assemblies in some villages install electricity poles </w:t>
      </w:r>
      <w:r w:rsidRPr="00E2630C">
        <w:rPr>
          <w:rFonts w:ascii="Times New Roman" w:eastAsia="Times New Roman" w:hAnsi="Times New Roman" w:cs="Times New Roman"/>
          <w:color w:val="000000" w:themeColor="text1"/>
          <w:sz w:val="24"/>
          <w:szCs w:val="24"/>
        </w:rPr>
        <w:t>(Dawda &amp; Dapilah, 2013)</w:t>
      </w:r>
      <w:r w:rsidRPr="00E2630C">
        <w:rPr>
          <w:rFonts w:ascii="Times New Roman" w:hAnsi="Times New Roman" w:cs="Times New Roman"/>
          <w:color w:val="000000" w:themeColor="text1"/>
          <w:sz w:val="24"/>
          <w:szCs w:val="24"/>
        </w:rPr>
        <w:t xml:space="preserve">. Chiefs in the field of revenue mobilization realized that resources are the foundation of all development programs, and that the majority of them could be obtained through financial resources. It is also believed that traditional authorities are advancing income collection through their collaboration with district sub-structures like area councils and unit committees. Chiefs have a close relationship with the local populace and are familiar with their needs, desires, and way of life. Chiefs are also crucial in organizing local people for development-oriented programs (Aikins, 2011). By helping their subjects comprehend the significance of paying rates and taxes, they engage in advocacy work </w:t>
      </w:r>
      <w:r w:rsidRPr="00E2630C">
        <w:rPr>
          <w:rFonts w:ascii="Times New Roman" w:eastAsia="Times New Roman" w:hAnsi="Times New Roman" w:cs="Times New Roman"/>
          <w:color w:val="000000" w:themeColor="text1"/>
          <w:sz w:val="24"/>
          <w:szCs w:val="24"/>
        </w:rPr>
        <w:t>(Acemoglu et al., 2013; Belden, 2010; Dawda &amp; Dapilah, 2013)</w:t>
      </w:r>
      <w:r w:rsidRPr="00E2630C">
        <w:rPr>
          <w:rFonts w:ascii="Times New Roman" w:hAnsi="Times New Roman" w:cs="Times New Roman"/>
          <w:color w:val="000000" w:themeColor="text1"/>
          <w:sz w:val="24"/>
          <w:szCs w:val="24"/>
        </w:rPr>
        <w:t xml:space="preserve">. In order to comprehend the challenges faced by unit committee members and revenue collectors in the field of revenue collection, traditional leaders in Ghana frequently arrange recurring meetings with them. As a result, traditional authorities are organizing participants in their individual villages and communities. The two main areas of fundraising that chiefs work on are endowment funds for education and school infrastructure. Providing land for schools to be built on, raising money to buy or donate building supplies, and raising </w:t>
      </w:r>
      <w:r w:rsidRPr="00E2630C">
        <w:rPr>
          <w:rFonts w:ascii="Times New Roman" w:hAnsi="Times New Roman" w:cs="Times New Roman"/>
          <w:color w:val="000000" w:themeColor="text1"/>
          <w:sz w:val="24"/>
          <w:szCs w:val="24"/>
        </w:rPr>
        <w:lastRenderedPageBreak/>
        <w:t xml:space="preserve">money to buy school equipment like computers and desks are all included in school infrastructure. Also, chiefs in recent times have been engaged in providing development through the setting up of education funds, participating in HIV/AIDS education, and sensitizing the people on the dangers of environmental degradation as a strategy for maintaining their relevance in modem Ghana </w:t>
      </w:r>
      <w:r w:rsidR="0049497D" w:rsidRPr="00E2630C">
        <w:rPr>
          <w:rFonts w:ascii="Times New Roman" w:eastAsia="Times New Roman" w:hAnsi="Times New Roman" w:cs="Times New Roman"/>
          <w:color w:val="000000" w:themeColor="text1"/>
          <w:sz w:val="24"/>
          <w:szCs w:val="24"/>
        </w:rPr>
        <w:t>(Campion</w:t>
      </w:r>
      <w:r w:rsidRPr="00E2630C">
        <w:rPr>
          <w:rFonts w:ascii="Times New Roman" w:eastAsia="Times New Roman" w:hAnsi="Times New Roman" w:cs="Times New Roman"/>
          <w:color w:val="000000" w:themeColor="text1"/>
          <w:sz w:val="24"/>
          <w:szCs w:val="24"/>
        </w:rPr>
        <w:t xml:space="preserve"> &amp; Acheampong, 2014)</w:t>
      </w:r>
      <w:r w:rsidRPr="00E2630C">
        <w:rPr>
          <w:rFonts w:ascii="Times New Roman" w:hAnsi="Times New Roman" w:cs="Times New Roman"/>
          <w:color w:val="000000" w:themeColor="text1"/>
          <w:sz w:val="24"/>
          <w:szCs w:val="24"/>
        </w:rPr>
        <w:t xml:space="preserve">. </w:t>
      </w:r>
    </w:p>
    <w:p w14:paraId="2FCABFCA" w14:textId="089B96BE"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Raising money to buy school materials for students, such backpacks, books, and pencils, is one aspect of educational endowment funds. Another crucial aspect is raising money to give scholarships to students whose parents cannot afford to send them to school </w:t>
      </w:r>
      <w:r w:rsidRPr="00E2630C">
        <w:rPr>
          <w:rFonts w:ascii="Times New Roman" w:eastAsia="Times New Roman" w:hAnsi="Times New Roman" w:cs="Times New Roman"/>
          <w:color w:val="000000" w:themeColor="text1"/>
          <w:sz w:val="24"/>
          <w:szCs w:val="24"/>
        </w:rPr>
        <w:t>(Ray &amp; Eizlini, 2011)</w:t>
      </w:r>
      <w:r w:rsidRPr="00E2630C">
        <w:rPr>
          <w:rFonts w:ascii="Times New Roman" w:hAnsi="Times New Roman" w:cs="Times New Roman"/>
          <w:color w:val="000000" w:themeColor="text1"/>
          <w:sz w:val="24"/>
          <w:szCs w:val="24"/>
        </w:rPr>
        <w:t xml:space="preserve">. Otumfuo Osei Tutu II is an excellent example of a chief in this respect. Since his coronation or enstoolment as Asantehene a decade and a half ago, he has initiated some development projects geared towards eradicating underdevelopment and poverty in Ghana notable among these projects was the establishment of the Otumfuo Educational Fund (OTEFund) in 2000 </w:t>
      </w:r>
      <w:r w:rsidRPr="00E2630C">
        <w:rPr>
          <w:rFonts w:ascii="Times New Roman" w:eastAsia="Times New Roman" w:hAnsi="Times New Roman" w:cs="Times New Roman"/>
          <w:color w:val="000000" w:themeColor="text1"/>
          <w:sz w:val="24"/>
          <w:szCs w:val="24"/>
        </w:rPr>
        <w:t>(Bob-Milliar, 2009; Ray &amp; Eizlini, 2011)</w:t>
      </w:r>
      <w:r w:rsidRPr="00E2630C">
        <w:rPr>
          <w:rFonts w:ascii="Times New Roman" w:hAnsi="Times New Roman" w:cs="Times New Roman"/>
          <w:color w:val="000000" w:themeColor="text1"/>
          <w:sz w:val="24"/>
          <w:szCs w:val="24"/>
        </w:rPr>
        <w:t xml:space="preserve">. The fund's objective is to support underprivileged schools in Ghana, especially those in Asanteman, as well as needy pupils. Everyone can access the OTEFund, regardless of their ethnic origin, and a number of other initiatives show how flexible and adaptable Ghana's chieftaincy institution is. In addition, chieftains now have a significant voice in development projects funded by both big and small foreign donors. Chiefs have continued to be considered traditional leaders as a result (Bob-Milliar, 2009). Chiefs, therefore, dispose of great capacities for development at the local level </w:t>
      </w:r>
      <w:r w:rsidRPr="00E2630C">
        <w:rPr>
          <w:rFonts w:ascii="Times New Roman" w:eastAsia="Times New Roman" w:hAnsi="Times New Roman" w:cs="Times New Roman"/>
          <w:color w:val="000000" w:themeColor="text1"/>
          <w:sz w:val="24"/>
          <w:szCs w:val="24"/>
        </w:rPr>
        <w:t>(Dawda &amp; Dapilah, 2013)</w:t>
      </w:r>
      <w:r w:rsidRPr="00E2630C">
        <w:rPr>
          <w:rFonts w:ascii="Times New Roman" w:hAnsi="Times New Roman" w:cs="Times New Roman"/>
          <w:color w:val="000000" w:themeColor="text1"/>
          <w:sz w:val="24"/>
          <w:szCs w:val="24"/>
        </w:rPr>
        <w:t xml:space="preserve">. Chieftaincy and land disputes can occasionally be exceedingly intricate and sophisticated in terms of dispute resolution; as a result, the processes involved in resolving such disputes cannot be adequately handled by a single organization. In order to resolve such disagreements, it is crucial to combine modern techniques with old traditions of resolving disputes through chiefs. </w:t>
      </w:r>
      <w:r w:rsidRPr="00E2630C">
        <w:rPr>
          <w:rFonts w:ascii="Times New Roman" w:hAnsi="Times New Roman" w:cs="Times New Roman"/>
          <w:color w:val="000000" w:themeColor="text1"/>
          <w:sz w:val="24"/>
          <w:szCs w:val="24"/>
        </w:rPr>
        <w:lastRenderedPageBreak/>
        <w:t xml:space="preserve">And </w:t>
      </w:r>
      <w:r w:rsidR="0049497D" w:rsidRPr="00E2630C">
        <w:rPr>
          <w:rFonts w:ascii="Times New Roman" w:hAnsi="Times New Roman" w:cs="Times New Roman"/>
          <w:color w:val="000000" w:themeColor="text1"/>
          <w:sz w:val="24"/>
          <w:szCs w:val="24"/>
        </w:rPr>
        <w:t>so,</w:t>
      </w:r>
      <w:r w:rsidRPr="00E2630C">
        <w:rPr>
          <w:rFonts w:ascii="Times New Roman" w:hAnsi="Times New Roman" w:cs="Times New Roman"/>
          <w:color w:val="000000" w:themeColor="text1"/>
          <w:sz w:val="24"/>
          <w:szCs w:val="24"/>
        </w:rPr>
        <w:t xml:space="preserve"> the relationship between these traditional leaders and the local government agents is believed to be highly crucial for dispute settlement at the local level (Boege, 2011).  In cooperation with the district security council, traditional leaders handle and resolve conflicts. Many settlements lack a police station, therefore minor conflicts like fighting, theft, and land disputes are resolved at the chief's palace. In fact, without the active participation of chiefs throughout Ghana, conflict resolution would not have been conceivable (Yusuf, 2022). This is crucial because development cannot occur in a peaceful environment. The chiefs and their elders ensure peace in the area through their conflict resolution and management techniques (Aikins, 2011; Bob-Milliar, 2009).</w:t>
      </w:r>
    </w:p>
    <w:p w14:paraId="102C7C9B"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Chiefs are the guardians of the resources within their own communities when it comes to the management of natural resources. Chiefs take advantage of resources for the benefit of their communities when they are abundant, especially in Ghana's southern regions (Bob-Milliar, 2009). However, because some of these resources are distributed unevenly, the people in other communities believe that chiefs are always to blame for disagreements involving natural resources. The Ghanaian people have historically valued wildlife as a resource, both socially and commercially. Chiefs have developed mechanisms to manage and control access to wildlife resources in collaboration with the District Assemblies because they understand the significance and worth of wildlife. Common practices and bye-laws are established as part of these regulation and control mechanisms to safeguard particular animal and plant species, such as economically significant wild trees (such as the Shea tree, lumber, and Dawadawa tree). In addition, numerous animal and tree species are also protected and conserved during specific seasons of the year to allow for recreation and to provide a break for the resources </w:t>
      </w:r>
      <w:r w:rsidRPr="00E2630C">
        <w:rPr>
          <w:rFonts w:ascii="Times New Roman" w:eastAsia="Times New Roman" w:hAnsi="Times New Roman" w:cs="Times New Roman"/>
          <w:color w:val="000000" w:themeColor="text1"/>
          <w:sz w:val="24"/>
          <w:szCs w:val="24"/>
        </w:rPr>
        <w:t>(Dawda &amp; Dapilah, 2013)</w:t>
      </w:r>
      <w:r w:rsidRPr="00E2630C">
        <w:rPr>
          <w:rFonts w:ascii="Times New Roman" w:hAnsi="Times New Roman" w:cs="Times New Roman"/>
          <w:color w:val="000000" w:themeColor="text1"/>
          <w:sz w:val="24"/>
          <w:szCs w:val="24"/>
        </w:rPr>
        <w:t>.</w:t>
      </w:r>
    </w:p>
    <w:p w14:paraId="15B50015" w14:textId="53F2BA4F" w:rsidR="00CD3724"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To conserve the forested lands of Okyeman and beyond, for example, the Okyehene (chief of Akim Abuakwa) has implemented numerous anti-deforestation initiatives (Bob-Milliar, 2009). Moreover, northern chiefs have declared a vast tract of land as a Game reserve where cultivation and hunting are prohibited and are being supervised by the Game and Wildlife Division </w:t>
      </w:r>
      <w:r w:rsidRPr="00E2630C">
        <w:rPr>
          <w:rFonts w:ascii="Times New Roman" w:eastAsia="Times New Roman" w:hAnsi="Times New Roman" w:cs="Times New Roman"/>
          <w:color w:val="000000" w:themeColor="text1"/>
          <w:sz w:val="24"/>
          <w:szCs w:val="24"/>
        </w:rPr>
        <w:t>(Dawda &amp; Dapilah, 2013)</w:t>
      </w:r>
      <w:r w:rsidRPr="00E2630C">
        <w:rPr>
          <w:rFonts w:ascii="Times New Roman" w:hAnsi="Times New Roman" w:cs="Times New Roman"/>
          <w:color w:val="000000" w:themeColor="text1"/>
          <w:sz w:val="24"/>
          <w:szCs w:val="24"/>
        </w:rPr>
        <w:t>. Thus, chiefs have a significant impact on the building sector, industrial growth, political economics, and agricultural output. In essence, whereas the institution of chieftaincy is part of the traditional history of most societies in Ghana, the duties of chiefs have, nonetheless, altered from pre-colonial times through the colonial period of indirect rule and post-colonial administrations.</w:t>
      </w:r>
    </w:p>
    <w:p w14:paraId="21E246E3" w14:textId="77777777" w:rsidR="0049497D" w:rsidRPr="00E2630C" w:rsidRDefault="0049497D" w:rsidP="0049497D">
      <w:pPr>
        <w:pStyle w:val="NoSpacing"/>
      </w:pPr>
    </w:p>
    <w:p w14:paraId="5BD0DAD4" w14:textId="77777777" w:rsidR="00CD3724" w:rsidRPr="00E2630C" w:rsidRDefault="00CD3724" w:rsidP="0049497D">
      <w:pPr>
        <w:pStyle w:val="Heading2"/>
      </w:pPr>
      <w:bookmarkStart w:id="38" w:name="_Toc182386232"/>
      <w:r w:rsidRPr="00E2630C">
        <w:t>2.8 The challenges of chieftaincy institutions in Ghana</w:t>
      </w:r>
      <w:bookmarkEnd w:id="38"/>
    </w:p>
    <w:p w14:paraId="7667CF81" w14:textId="236D1EE3"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Colonial administrators viewed the establishment of </w:t>
      </w:r>
      <w:r w:rsidR="00CB24FC" w:rsidRPr="00E2630C">
        <w:rPr>
          <w:rFonts w:ascii="Times New Roman" w:hAnsi="Times New Roman" w:cs="Times New Roman"/>
          <w:color w:val="000000" w:themeColor="text1"/>
          <w:sz w:val="24"/>
          <w:szCs w:val="24"/>
        </w:rPr>
        <w:t>I</w:t>
      </w:r>
      <w:r w:rsidRPr="00E2630C">
        <w:rPr>
          <w:rFonts w:ascii="Times New Roman" w:hAnsi="Times New Roman" w:cs="Times New Roman"/>
          <w:color w:val="000000" w:themeColor="text1"/>
          <w:sz w:val="24"/>
          <w:szCs w:val="24"/>
        </w:rPr>
        <w:t xml:space="preserve">ndirect </w:t>
      </w:r>
      <w:r w:rsidR="00CB24FC" w:rsidRPr="00E2630C">
        <w:rPr>
          <w:rFonts w:ascii="Times New Roman" w:hAnsi="Times New Roman" w:cs="Times New Roman"/>
          <w:color w:val="000000" w:themeColor="text1"/>
          <w:sz w:val="24"/>
          <w:szCs w:val="24"/>
        </w:rPr>
        <w:t>R</w:t>
      </w:r>
      <w:r w:rsidRPr="00E2630C">
        <w:rPr>
          <w:rFonts w:ascii="Times New Roman" w:hAnsi="Times New Roman" w:cs="Times New Roman"/>
          <w:color w:val="000000" w:themeColor="text1"/>
          <w:sz w:val="24"/>
          <w:szCs w:val="24"/>
        </w:rPr>
        <w:t xml:space="preserve">ule in Ghana in 1925 as a means of preserving law and order and lowering the expense of local government administration by retaining the current rulers. However, rather than being answerable to their people, chiefs were forced to answer to the colonial authorities (Acemoglu et al., 2013). The Coussey Committee was established, with solely Africans serving as members, to draft a new constitution in order to rectify the faults of the Indirect Rule. This marked the start of the official de-politicization of the chieftaincy. On the other hand, in 1952, the State Councils, the most significant district-level chief councils, lost their authority and power to do anything other than chieftaincy-related duties. Furthermore, according to Knierzinger (2011), only one-third of the members of Local Councils were chiefs; the remaining members were chosen by the colonial administrators. Colonialism marked the beginning of state management of the chieftaincy system. The indirect rule approach employed by the British colonial powers </w:t>
      </w:r>
      <w:r w:rsidRPr="00E2630C">
        <w:rPr>
          <w:rFonts w:ascii="Times New Roman" w:hAnsi="Times New Roman" w:cs="Times New Roman"/>
          <w:color w:val="000000" w:themeColor="text1"/>
          <w:sz w:val="24"/>
          <w:szCs w:val="24"/>
        </w:rPr>
        <w:lastRenderedPageBreak/>
        <w:t xml:space="preserve">discreetly made chiefs appendages to the imperial power of Britain and therefore gradually losing their autonomy </w:t>
      </w:r>
      <w:r w:rsidRPr="00E2630C">
        <w:rPr>
          <w:rFonts w:ascii="Times New Roman" w:eastAsia="Times New Roman" w:hAnsi="Times New Roman" w:cs="Times New Roman"/>
          <w:color w:val="000000" w:themeColor="text1"/>
          <w:sz w:val="24"/>
          <w:szCs w:val="24"/>
        </w:rPr>
        <w:t>(Awuah-Nyamekye &amp; Appiah, 2022)</w:t>
      </w:r>
      <w:r w:rsidRPr="00E2630C">
        <w:rPr>
          <w:rFonts w:ascii="Times New Roman" w:hAnsi="Times New Roman" w:cs="Times New Roman"/>
          <w:color w:val="000000" w:themeColor="text1"/>
          <w:sz w:val="24"/>
          <w:szCs w:val="24"/>
        </w:rPr>
        <w:t>.</w:t>
      </w:r>
    </w:p>
    <w:p w14:paraId="07907590"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Three main rules established legislation concerning chieftaincy in order to fulfill the manipulation of chieftaincy. Initially, chieftaincy was designed to meet the needs of British colonialism at the time. Secondly, colonial policies were attempted to be implemented before laws were passed to make them lawful. Lastly, chiefs who disobeyed the colonial government's regulations faced removal from office or banishment (Owusu-Mensah, 2014). Moreover, the 1948 Watson Commission report marked the beginning of the end for chieftaincy, even in its altered pre-colonial form. In its report, the Commission concluded that chiefs obstructed the people's political goals (i.e., the achievement of political independence). Even though the Coussey Commission later painted chiefs in a more positive light, the autonomy and freedom it had known prior to colonization had vanished. The Coussey Commission came to the conclusion that the chieftaincy institution as a whole is so intricately woven into the social fabric and daily activities of the communities it serves that its elimination would be catastrophic. The institution continued to experience growing manipulation and marginalization of their authority, despite its recommendation that a new system of local government be created, with Native Authorities to be replaced by Local Councils with a third of the membership made up of chiefs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In Ghana, the Head of State had the power to revoke a chief's official recognition as soon as the country gained independence, especially if the chief openly disagreed with the government. As a result, since independence, the federal government has had direct control over the chieftaincy. For example, the establishment of the House of Chiefs granted the government the power to formally acknowledge or revoke a chief's status. A chief could be removed by the government under this structure, and it even had </w:t>
      </w:r>
      <w:r w:rsidRPr="00E2630C">
        <w:rPr>
          <w:rFonts w:ascii="Times New Roman" w:hAnsi="Times New Roman" w:cs="Times New Roman"/>
          <w:color w:val="000000" w:themeColor="text1"/>
          <w:sz w:val="24"/>
          <w:szCs w:val="24"/>
        </w:rPr>
        <w:lastRenderedPageBreak/>
        <w:t xml:space="preserve">financial authority over him. Furthermore, the 1957 Ghanaian Independence Constitution, which was amended by the Constitutional Amendment Act of 1959, strengthened the central government's power to acknowledge or deny chiefs. It also purposefully did not make a formal distinction between paramount and divisional chiefs, giving it the power to promote or depose any chief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Furthermore, although, article 13 of the 1960 Constitution of Ghana stipulates that chieftaincy should be guaranteed and preserved, the Chieftaincy Act (no. 81) of 1961 makes nonsense of Article 13 of the first Republican Constitution of 1960 because Act 81 defines who a chief is as "an individual who has been nominated, elected and installed as a chief per customary law, and is recognized as a chief by the Minister responsible for local government." </w:t>
      </w:r>
      <w:r w:rsidRPr="00E2630C">
        <w:rPr>
          <w:rFonts w:ascii="Times New Roman" w:eastAsia="Times New Roman" w:hAnsi="Times New Roman" w:cs="Times New Roman"/>
          <w:color w:val="000000" w:themeColor="text1"/>
          <w:sz w:val="24"/>
          <w:szCs w:val="24"/>
        </w:rPr>
        <w:t>(Awuah-Nyamekye &amp; Appiah, 2022:8; Owusu-Mensah, 2014:266)</w:t>
      </w:r>
      <w:r w:rsidRPr="00E2630C">
        <w:rPr>
          <w:rFonts w:ascii="Times New Roman" w:hAnsi="Times New Roman" w:cs="Times New Roman"/>
          <w:color w:val="000000" w:themeColor="text1"/>
          <w:sz w:val="24"/>
          <w:szCs w:val="24"/>
        </w:rPr>
        <w:t xml:space="preserve">. Furthermore, because Act 81 also allowed such rights, the Convention Peoples Party (CPP) government experimented with chieftaincy problems without consulting the Regional or National Houses of Chiefs. Chiefs were expected to manage their business in accordance with the directives of the central authority. The House of Chiefs' permission was not required, but the government was free to ask for its counsel. Thus, the chieftaincy's political and economic autonomy continued to erode as a result of political independence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Nkrumah also eliminated the local councils' courts in 1958 and barred chiefs from them in 1954 under the CPP (Asamoah, 2012). The institution of chieftaincy underwent a complete transition following Nkrumah's overthrow in 1966 as most chiefs, particularly those who supported the CPP, had to change to avoid being removed from office. The dismissal of all those chiefs who had gained authority only as a result of the CPP's NLC Decree No. 112 marked the start of the revolution.</w:t>
      </w:r>
    </w:p>
    <w:p w14:paraId="4BFAC5CA"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Furthermore, every sub-chief who had been elevated to paramount chief status by the CPP was likewise demoted. More than a hundred chiefs were removed under NLC Decree No. 112 (Knierzinger, 2011). In addition, the concept of a second chamber of parliament for the chiefs was abandoned in favor of a Council of State made up of chiefs. The composition of the Council has changed over time, but it is still in operation. Furthermore, the Constitutional Assembly established a Regional Houses of Chiefs in 1969, and their duties have not altered since (Knierzinger, 2011). The National House of Chiefs was established in 1971 as a result of the NLC government's introduction of the Chieftaincy Act, which also included the Traditional Councils and the previously established Regional Houses of Chiefs (Higazi, 2004; Knierzinger, 2011). Five representatives from each of the Regional Houses of Chiefs made up the National House of Chiefs, which provided legal interpretation and advice to the government on chieftaincy-related issues. Strangely, the NLC government and the succeeding Busia administration did not eliminate the right to recognize and revoke recognition from a chief, which was exploited by the CPP to threaten the chieftaincy institution (Knierzinger, 2011).</w:t>
      </w:r>
    </w:p>
    <w:p w14:paraId="6E82C43A"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From the above, it is debated that many post-colonial African governments considered chiefs as barriers to nation-building and modernization, and aimed to reduce their influence in national politics and local governance (Yusuf, 2022). It is also suggested that certain leaders do not use their stools or skins to better the living conditions of their subjects, but rather to enrich themselves. Those making this argument contend that because the chieftaincy institution has lost its original dignity and legitimacy due to corruption, it should not be recognized in any capacity by the national government </w:t>
      </w:r>
      <w:r w:rsidRPr="00E2630C">
        <w:rPr>
          <w:rFonts w:ascii="Times New Roman" w:eastAsia="Times New Roman" w:hAnsi="Times New Roman" w:cs="Times New Roman"/>
          <w:color w:val="000000" w:themeColor="text1"/>
          <w:sz w:val="24"/>
          <w:szCs w:val="24"/>
        </w:rPr>
        <w:t>(Yaro &amp; Longi, 2022)</w:t>
      </w:r>
      <w:r w:rsidRPr="00E2630C">
        <w:rPr>
          <w:rFonts w:ascii="Times New Roman" w:hAnsi="Times New Roman" w:cs="Times New Roman"/>
          <w:color w:val="000000" w:themeColor="text1"/>
          <w:sz w:val="24"/>
          <w:szCs w:val="24"/>
        </w:rPr>
        <w:t xml:space="preserve">. The behavior and function of chiefs were significantly impacted by both the colonial and post-colonial States, according to those who also had an </w:t>
      </w:r>
      <w:r w:rsidRPr="00E2630C">
        <w:rPr>
          <w:rFonts w:ascii="Times New Roman" w:hAnsi="Times New Roman" w:cs="Times New Roman"/>
          <w:color w:val="000000" w:themeColor="text1"/>
          <w:sz w:val="24"/>
          <w:szCs w:val="24"/>
        </w:rPr>
        <w:lastRenderedPageBreak/>
        <w:t xml:space="preserve">unfavorable opinion of traditional institutions. The post-colonial literature passionately discredits the usefulness of traditional institutions, especially chieftaincy, to improve African economies and administrative systems. The chieftaincy, according to critics, is out of date, costly, polarizing, and a barrier to the nation's progress and change. Because the colonial and post-colonial States tainted the institution of chieftaincy, it is no longer answerable to the indigenous populace. Chieftaincy institution also enforces primal loyalty since chiefs represent the focal point of ethnic identities. Chieftaincy was seen as impeding development because it limits the State's ability to provide social services. The hereditary structure of the institution of chieftaincy was considered as rendering it at conflict with modern democratic government, which provides competitive elections as its hallmark (ECA, 2007). Citing the rampant chieftaincy conflicts such as the Dagbon crisis in 2002, the Ga Mantse succession dispute in 2007, the Anlo chieftaincy conflict in 2007, the Adoagyiri crisis in 2007, Princess and Aketekyi towns' trouble in 2007, the Tuobodom chieftaincy conflict in 2010, the Buipe chieftaincy conflict, the Wa chieftaincy conflict, the Bawku chieftaincy conflict and recently the Bimbilla chieftaincy conflicts, many people are of the view that chieftaincy institution impedes development, and hence, has lost its relevance. But as </w:t>
      </w:r>
      <w:r w:rsidRPr="00E2630C">
        <w:rPr>
          <w:rFonts w:ascii="Times New Roman" w:eastAsia="Times New Roman" w:hAnsi="Times New Roman" w:cs="Times New Roman"/>
          <w:color w:val="000000" w:themeColor="text1"/>
          <w:sz w:val="24"/>
          <w:szCs w:val="24"/>
        </w:rPr>
        <w:t>Marfo and Musah (2018)</w:t>
      </w:r>
      <w:r w:rsidRPr="00E2630C">
        <w:rPr>
          <w:rFonts w:ascii="Times New Roman" w:hAnsi="Times New Roman" w:cs="Times New Roman"/>
          <w:color w:val="000000" w:themeColor="text1"/>
          <w:sz w:val="24"/>
          <w:szCs w:val="24"/>
        </w:rPr>
        <w:t xml:space="preserve"> point out, despite Ghana's shifting political terrain, the chieftaincy institution continues to be the most enduring feature of the country's political curve because it continues to be the preferred point of contact for individuals seeking peace during times of conflict.</w:t>
      </w:r>
    </w:p>
    <w:p w14:paraId="29AEC9DA" w14:textId="77777777" w:rsidR="00CD3724" w:rsidRPr="00E2630C" w:rsidRDefault="00CD3724" w:rsidP="0049497D">
      <w:pPr>
        <w:pStyle w:val="NoSpacing"/>
      </w:pPr>
    </w:p>
    <w:p w14:paraId="31826F83" w14:textId="77777777" w:rsidR="00CD3724" w:rsidRPr="00E2630C" w:rsidRDefault="00CD3724" w:rsidP="0049497D">
      <w:pPr>
        <w:pStyle w:val="Heading2"/>
      </w:pPr>
      <w:bookmarkStart w:id="39" w:name="_Toc182386233"/>
      <w:r w:rsidRPr="00E2630C">
        <w:t>2.9 Conflict</w:t>
      </w:r>
      <w:bookmarkEnd w:id="39"/>
    </w:p>
    <w:p w14:paraId="73FCBAB8"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People argue in all forms of interpersonal relationships and social contexts. It is embedded in society and cannot be isolated from the ongoing political, economic, and social processes. Because people might differ greatly from one another, it's possible that the lack of conflict indicates a lack of meaningful engagement. However, the term </w:t>
      </w:r>
      <w:r w:rsidRPr="00E2630C">
        <w:rPr>
          <w:rFonts w:ascii="Times New Roman" w:hAnsi="Times New Roman" w:cs="Times New Roman"/>
          <w:color w:val="000000" w:themeColor="text1"/>
          <w:sz w:val="24"/>
          <w:szCs w:val="24"/>
        </w:rPr>
        <w:lastRenderedPageBreak/>
        <w:t xml:space="preserve">"conflict" is ambiguous and is used by various academics to refer to a variety of circumstances. Conflicts therefore have varied meanings for various individuals. In its everyday usage, it is often used in a sense, to convey the state of dispute or violence. Bukari (2016) opens that conflict is a situation whereby individuals or a group of persons are involved in a disagreement over the desire for advantages in politics, the economy, and society; contributing elements include avarice, ego-related issues, unfairness, unequal resource distribution, and plain mischief. The Chronic Poverty Research Centre (CPRC, 2007) supports Peter's definition, noting that conflict is defined as collective violence committed by individuals who identify as members of a group, whether temporary or permanent, against another group or individuals, with the aim of achieving political, economic, and social goals. The understanding of conflict by Peter and CPRC is limited in that, most conflicts, in reality, are not just fought by parties in conflict on only disagreement and issues or achieving an objective but are usually fought because of entrenched disagreement on an issue of common interest to different parties whereby each combatant holds strongly to their stands as being correct or the best. The problem however with the CPRC conception of conflict is the use of violence. Conflict need not necessarily be waged with the use of violence by groups or individuals having divergent interests. </w:t>
      </w:r>
    </w:p>
    <w:p w14:paraId="419425A5"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According to Tonah (2007), conflict can also be described as an attempt by two or more people to control one another through antagonistic feelings and a mismatch of ideals or aims within a social situation. Much as one may want to agree with Fisher on what constitutes conflict, it is important to state that conflict does not necessarily arise out of the objective element of conflict like incompatibility of goals but arises out of the subjective elements of conflict such as the behaviour and attitude of actors. Human conflict is primarily characterized by the acts of disputants who are experiencing hostile </w:t>
      </w:r>
      <w:r w:rsidRPr="00E2630C">
        <w:rPr>
          <w:rFonts w:ascii="Times New Roman" w:hAnsi="Times New Roman" w:cs="Times New Roman"/>
          <w:color w:val="000000" w:themeColor="text1"/>
          <w:sz w:val="24"/>
          <w:szCs w:val="24"/>
        </w:rPr>
        <w:lastRenderedPageBreak/>
        <w:t xml:space="preserve">emotions, even when the incompatibility or disagreement may actually exist or may just be perceived by the persons concerned. </w:t>
      </w:r>
    </w:p>
    <w:p w14:paraId="6B750E12"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According to Yusuf (2022), conflicts are fundamentally a combination of subjective and objective interests (e.g., rivalry for limited resources like power) (such as perceptions, attitudes, behavior, and valuing of goals). One can only concur with this point of view because it captures the essence of conflict and the motivations for the majority of wars, including the Bimbilla chieftaincy struggle. According to Issifu (2015), conflict is a fight between individuals or groups of people over power, finite resources, and claims to status or ideals. The goals of the parties involved in conflict are to advance their claims or values over those of the other parties. Conflicts that are violent are not always the result of struggles for scarce resources, status, or power; rather, the actions and attitudes of those involved in pursuing these objectives define whether a conflict will be violent or not. One cannot therefore entirely agree with Goodhand's definition of conflict. Gasu (2020) defined conflict as a struggle in which rival groups or individuals compete for status, power, and limited resources with the goal of neutralizing, hurting, or eliminating their adversaries. Since not every war has the intention of killing or eradicating its adversaries, Coser's definition of conflict is insufficiently broad. Most conflicts are caused by disagreements, and if agreements can be made along the way, there might not be a need for fighters to try to kill one another. Therefore, the question of killing one another only comes up when there are entrenched opinions and no way to find a middle ground. Moreover, conflict is not always bad in the sense that it tears things apart; on the contrary, conflict may also be a process of social transformation and help to preserve social ties. Positive aspects of conflict include its status as a typical mode of social interaction that may support the upkeep, advancement, and general stability of the community. Therefore, conflict only becomes </w:t>
      </w:r>
      <w:r w:rsidRPr="00E2630C">
        <w:rPr>
          <w:rFonts w:ascii="Times New Roman" w:hAnsi="Times New Roman" w:cs="Times New Roman"/>
          <w:color w:val="000000" w:themeColor="text1"/>
          <w:sz w:val="24"/>
          <w:szCs w:val="24"/>
        </w:rPr>
        <w:lastRenderedPageBreak/>
        <w:t xml:space="preserve">a problem when society is unable to manage or resolve its divergent interests in a way that is productive, which gives rise to conflict's destructive side. </w:t>
      </w:r>
    </w:p>
    <w:p w14:paraId="04A9AE4C"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Conflict can also refer to a "debate or a contest; a disagreement; a dispute or quarrel; a struggle, battle or confrontation; a state of unrest or chaos," according to International (Marfo t al., 2019). Conflict does not always result from disputes; rather, it is the inability to settle them peacefully that causes violent conflict. Furthermore, confrontations don't always end in violence at first; rather, violence usually breaks out when there is no room for compromise. </w:t>
      </w:r>
    </w:p>
    <w:p w14:paraId="7C90407E"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United Nations Environment Program and United Nations Development Program (UNDP, 2012) envisage conflict as a dispute or incompatibility emanating from actual or perceived non-achievement of interests, needs, and values which can result in naked confrontation or other struggles involving the use of force. This concept is generally acceptable, however it's crucial to remember that, contrary to what UNEP &amp; UNDP suggest, violent wars do not start because of simple disagreements. Violent conflict tends to erupt when conflicting parties hold very entrenched positions in a mere disagreement. Aning and Asamoah (2012) note that conflict arises out of the consequence of resentment and frustrations against those perceived to be enjoying the few available opportunities. One can only agree with Aning and Asamoah's definition of conflict because it fits perfectly into the Bimbilla chieftaincy conflicts since it is one of the grievances of one of the factions in the conflicts that the other faction has monopolized over the years the Bimbilla paramountcy within the Gbuhamayilli gate. According to Sandole cited in (Wumbla, 2018: 11), conflict refers to a "situation in which at least two actors, or their representatives, try to pursue perceptions of mutually incompatible goals by physically damaging or destroying the property and high-value symbols of one another; and/or psychologically or physically injuring, destroying, or </w:t>
      </w:r>
      <w:r w:rsidRPr="00E2630C">
        <w:rPr>
          <w:rFonts w:ascii="Times New Roman" w:hAnsi="Times New Roman" w:cs="Times New Roman"/>
          <w:color w:val="000000" w:themeColor="text1"/>
          <w:sz w:val="24"/>
          <w:szCs w:val="24"/>
        </w:rPr>
        <w:lastRenderedPageBreak/>
        <w:t xml:space="preserve">otherwise forcibly eliminating one another." Because it downplays the benefits of conflict, this idea of conflict is superficial. Furthermore, conflict is advantageous to all parties involved in addition to providing forums for conversation. Furthermore, contrary to what Sandole would have us assume, conflict can be leveraged to uphold both the victor's external growth and internal cohesiveness. </w:t>
      </w:r>
    </w:p>
    <w:p w14:paraId="45072C64"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As a result of the talks above, conflict in the current study can be defined as an intersection of interests between various individuals and organizations who use emotions to further their objectives or interests while being driven by financial, political, cultural, and social benefits. Violence is not only a sign or symptom of conflict but can also be a response to it. Where values and norms exist that legitimize violence as a redress or a panacea, conflict can easily escalate by fuelling the recurrence of violence. People also argue that violence begets violence and that, it is one of the predictors of further violence and this of course makes escalation conflicts more difficult </w:t>
      </w:r>
      <w:r w:rsidRPr="00E2630C">
        <w:rPr>
          <w:rFonts w:ascii="Times New Roman" w:eastAsia="Times New Roman" w:hAnsi="Times New Roman" w:cs="Times New Roman"/>
          <w:color w:val="000000" w:themeColor="text1"/>
          <w:sz w:val="24"/>
          <w:szCs w:val="24"/>
        </w:rPr>
        <w:t>(Yaro &amp; Longi, 2022)</w:t>
      </w:r>
      <w:r w:rsidRPr="00E2630C">
        <w:rPr>
          <w:rFonts w:ascii="Times New Roman" w:hAnsi="Times New Roman" w:cs="Times New Roman"/>
          <w:color w:val="000000" w:themeColor="text1"/>
          <w:sz w:val="24"/>
          <w:szCs w:val="24"/>
        </w:rPr>
        <w:t>.</w:t>
      </w:r>
    </w:p>
    <w:p w14:paraId="3F3ED3AB"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 complex social phenomenon with many facets, conflict is a necessary component of human existence and a historical and social change process </w:t>
      </w:r>
      <w:r w:rsidRPr="00E2630C">
        <w:rPr>
          <w:rFonts w:ascii="Times New Roman" w:eastAsia="Times New Roman" w:hAnsi="Times New Roman" w:cs="Times New Roman"/>
          <w:color w:val="000000" w:themeColor="text1"/>
          <w:sz w:val="24"/>
          <w:szCs w:val="24"/>
        </w:rPr>
        <w:t>(McCandless &amp; Karbo, 2011)</w:t>
      </w:r>
      <w:r w:rsidRPr="00E2630C">
        <w:rPr>
          <w:rFonts w:ascii="Times New Roman" w:hAnsi="Times New Roman" w:cs="Times New Roman"/>
          <w:color w:val="000000" w:themeColor="text1"/>
          <w:sz w:val="24"/>
          <w:szCs w:val="24"/>
        </w:rPr>
        <w:t xml:space="preserve">. Human relationships can give rise to conflicts in two main ways, according to </w:t>
      </w:r>
      <w:r w:rsidRPr="00E2630C">
        <w:rPr>
          <w:rFonts w:ascii="Times New Roman" w:eastAsia="Times New Roman" w:hAnsi="Times New Roman" w:cs="Times New Roman"/>
          <w:color w:val="000000" w:themeColor="text1"/>
          <w:sz w:val="24"/>
          <w:szCs w:val="24"/>
        </w:rPr>
        <w:t>McCandless &amp; Karbo (2011: 28)</w:t>
      </w:r>
      <w:r w:rsidRPr="00E2630C">
        <w:rPr>
          <w:rFonts w:ascii="Times New Roman" w:hAnsi="Times New Roman" w:cs="Times New Roman"/>
          <w:color w:val="000000" w:themeColor="text1"/>
          <w:sz w:val="24"/>
          <w:szCs w:val="24"/>
        </w:rPr>
        <w:t xml:space="preserve"> first, when individuals or groups of individuals have divergent values, needs, and interests; and second, when most resources are scarce and must be fought for. All societies are filled with conflicts. It is a natural part of all human societies because different groups have different interests and points of view. Conflicts can appear peacefully or violently depending on how these differences are handled and communicated (UNEP &amp; UNDP, 2013).</w:t>
      </w:r>
    </w:p>
    <w:p w14:paraId="684B0AB4"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Any society will always have conflicts. As observed by Ramsbotham et al. (2011), conflict is a universal characteristic of human society.  Its roots can be found in the naturally conflictual processes of political organization, cultural formation, social change, economic distinction, and psychological growth. According to Ramsbotham et al. (2011), the issues being fought over (scarce resources, unequal relations, competing ideals) may change over time and may also be challenged, as may the identities of the conflicting parties and the levels at which the conflict is contested. Although conflict evolves over time, this process does not imply that conflict always happens in a linear manner. It could retreat, not grow past its infancy, or exhibit a cyclical or repeating dynamic (Mitchell, 2002).  Most sociologists see conflict as a social fact involving at least two parties whose origins diverge in their respective fields of interest or social positions (Imbusch et al., 2011 cited in Egbuta, 2018: 26). Thus, conflict is defined as a disagreement or argument between or among people that either fosters understanding or upends the stability of society.   </w:t>
      </w:r>
    </w:p>
    <w:p w14:paraId="21E69573"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According to Gasu (2020), conflict is an intentional fight between groups of people who use their social influence to overcome or remove rivals and to get resources, status, power, and other valuables that are in short supply. According to Aapengnuo (2013) explanation, conflict results from people's deliberate intentions toward one another. Thus, conflict is understood to involve the application of social power to harm and even destroy opponents in addition to neutralizing them. However, Kriesberg (2011) contends that although conflict can be detrimental if mishandled or badly managed, it does not always have to be violent. Hence, conflict could be resolved amicably and doesn't always need to result in the defeat of adversaries or the loss of property. All parties involved in a conflict can profit from well-managed conflict </w:t>
      </w:r>
      <w:r w:rsidRPr="00E2630C">
        <w:rPr>
          <w:rFonts w:ascii="Times New Roman" w:eastAsia="Times New Roman" w:hAnsi="Times New Roman" w:cs="Times New Roman"/>
          <w:color w:val="000000" w:themeColor="text1"/>
          <w:sz w:val="24"/>
          <w:szCs w:val="24"/>
        </w:rPr>
        <w:t>(Marfo &amp; Musah, 2018)</w:t>
      </w:r>
      <w:r w:rsidRPr="00E2630C">
        <w:rPr>
          <w:rFonts w:ascii="Times New Roman" w:hAnsi="Times New Roman" w:cs="Times New Roman"/>
          <w:color w:val="000000" w:themeColor="text1"/>
          <w:sz w:val="24"/>
          <w:szCs w:val="24"/>
        </w:rPr>
        <w:t>.</w:t>
      </w:r>
    </w:p>
    <w:p w14:paraId="2600327F"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According to the explanation, conflict is a social phenomena that is dualistic or symmetrical. The duality of conflict argues that conflict can be beneficial or harmful depending on the way it is handled or controlled (Ross, 2019). According to the United Nations Interagency Framework Team for Preventive Action (UNIFTPA), 2012, conflict in and of itself could be viewed as neither positive nor negative. The outcome of conflict relies on how it is managed whether it is productive or destructive </w:t>
      </w:r>
      <w:r w:rsidRPr="00E2630C">
        <w:rPr>
          <w:rFonts w:ascii="Times New Roman" w:eastAsia="Times New Roman" w:hAnsi="Times New Roman" w:cs="Times New Roman"/>
          <w:color w:val="000000" w:themeColor="text1"/>
          <w:sz w:val="24"/>
          <w:szCs w:val="24"/>
        </w:rPr>
        <w:t>(Russell &amp; Sambanis, 2022)</w:t>
      </w:r>
      <w:r w:rsidRPr="00E2630C">
        <w:rPr>
          <w:rFonts w:ascii="Times New Roman" w:hAnsi="Times New Roman" w:cs="Times New Roman"/>
          <w:color w:val="000000" w:themeColor="text1"/>
          <w:sz w:val="24"/>
          <w:szCs w:val="24"/>
        </w:rPr>
        <w:t xml:space="preserve">. When handled constructively, conflict can result in good things happening for people and society at large. It can be a crucial element of social transformation and is, in fact, a prerequisite for interpersonal communication. But if dispute is handled destructively, it can potentially result in violence </w:t>
      </w:r>
      <w:r w:rsidRPr="00E2630C">
        <w:rPr>
          <w:rFonts w:ascii="Times New Roman" w:eastAsia="Times New Roman" w:hAnsi="Times New Roman" w:cs="Times New Roman"/>
          <w:color w:val="000000" w:themeColor="text1"/>
          <w:sz w:val="24"/>
          <w:szCs w:val="24"/>
        </w:rPr>
        <w:t>(Siroky &amp; Hechter, 2016)</w:t>
      </w:r>
      <w:r w:rsidRPr="00E2630C">
        <w:rPr>
          <w:rFonts w:ascii="Times New Roman" w:hAnsi="Times New Roman" w:cs="Times New Roman"/>
          <w:color w:val="000000" w:themeColor="text1"/>
          <w:sz w:val="24"/>
          <w:szCs w:val="24"/>
        </w:rPr>
        <w:t xml:space="preserve">. In this context, conflict can be defined as an instance in which the beliefs, values, interests, and ideas of one individual or group are in opposition to those of another, with the potential to have an adverse effect on one or both of the parties involved. According to Polat et al. (2017), conflict is a necessary component of human interactions and a catalyst for transformation. People are impacted by it in both positive and negative ways. Therefore, conflict is neither dysfunctional nor functional. It merely has the power to enhance or hinder growth and development based on our actions, reactions, or both in the face of conflict </w:t>
      </w:r>
      <w:r w:rsidRPr="00E2630C">
        <w:rPr>
          <w:rFonts w:ascii="Times New Roman" w:eastAsia="Times New Roman" w:hAnsi="Times New Roman" w:cs="Times New Roman"/>
          <w:color w:val="000000" w:themeColor="text1"/>
          <w:sz w:val="24"/>
          <w:szCs w:val="24"/>
        </w:rPr>
        <w:t>(Marfo &amp; Musah, 2018)</w:t>
      </w:r>
      <w:r w:rsidRPr="00E2630C">
        <w:rPr>
          <w:rFonts w:ascii="Times New Roman" w:hAnsi="Times New Roman" w:cs="Times New Roman"/>
          <w:color w:val="000000" w:themeColor="text1"/>
          <w:sz w:val="24"/>
          <w:szCs w:val="24"/>
        </w:rPr>
        <w:t xml:space="preserve">. Thus, there may be internal or external conflict. That is, it might take place inside a character's head or between a character and other forces or viewpoints. Most obvious conflict arises when two or more characters interact. A single story may contain several areas of conflict since characters may be battling different opposing forces or have multiple desires (Gasu, 2020; Samuel et al., 2016).  </w:t>
      </w:r>
    </w:p>
    <w:p w14:paraId="709E042E" w14:textId="77777777" w:rsidR="00CD3724" w:rsidRPr="00E2630C" w:rsidRDefault="00CD3724" w:rsidP="00CD3724">
      <w:pPr>
        <w:pStyle w:val="NoSpacing"/>
        <w:rPr>
          <w:rFonts w:ascii="Times New Roman" w:hAnsi="Times New Roman" w:cs="Times New Roman"/>
          <w:color w:val="000000" w:themeColor="text1"/>
          <w:sz w:val="24"/>
          <w:szCs w:val="24"/>
        </w:rPr>
      </w:pPr>
    </w:p>
    <w:p w14:paraId="791354F0" w14:textId="77777777" w:rsidR="00CD3724" w:rsidRPr="00E2630C" w:rsidRDefault="00CD3724" w:rsidP="0049497D">
      <w:pPr>
        <w:pStyle w:val="Heading2"/>
      </w:pPr>
      <w:bookmarkStart w:id="40" w:name="_Toc182386234"/>
      <w:r w:rsidRPr="00E2630C">
        <w:lastRenderedPageBreak/>
        <w:t xml:space="preserve">2.10 </w:t>
      </w:r>
      <w:r w:rsidR="000C50BA" w:rsidRPr="00E2630C">
        <w:t xml:space="preserve">chieftaincy and </w:t>
      </w:r>
      <w:r w:rsidRPr="00E2630C">
        <w:t>Ethnic conflicts in Ghana</w:t>
      </w:r>
      <w:bookmarkEnd w:id="40"/>
    </w:p>
    <w:p w14:paraId="75AE81AE"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body of research demonstrates that ethnic conflict is not a relatively new occurrence. That being said, it became more well-known in the 1960s and 1970s in social scientific literature. According to Tambiah, the term "ethnicity" appeared in the 1960s and early 1970s social science literature not only to characterize some forms in the developing world but also as a response to the rise of ethnic movements in the industrialized and wealthy world, particularly in the United States, Canada, and Western Europe (Tambiah, 1989 p.336).  There are two ways to interpret the word "ethnic." "Racial" or "linguistic" groupings are considered "ethnic" groups under the more restrictive definition of the term. This is the common understanding of the term in African and other popular discourses. For instance, since the British era, academics, bureaucrats, and politicians in India have referred to groupings as "communal," not "ethnic," saving the latter term mainly for linguistically or racially distinct groups (Krause et al., 2019). But there's also another, more expansive definition. Varshney asserts citing Horowitz—that ethnic conflicts encompass any disputes rooted in ascriptional group identities, such as race, language, religion, tribe, or caste.  Likewise, citing Horowitz and Kaufman, argue that ethnicity "is near to Max Weber's conception of a subjective belief' in 'common descent'" </w:t>
      </w:r>
      <w:r w:rsidRPr="00E2630C">
        <w:rPr>
          <w:rFonts w:ascii="Times New Roman" w:eastAsia="Times New Roman" w:hAnsi="Times New Roman" w:cs="Times New Roman"/>
          <w:color w:val="000000" w:themeColor="text1"/>
          <w:sz w:val="24"/>
          <w:szCs w:val="24"/>
        </w:rPr>
        <w:t>(Russell &amp; Sambanis, 2022, p.6)</w:t>
      </w:r>
      <w:r w:rsidRPr="00E2630C">
        <w:rPr>
          <w:rFonts w:ascii="Times New Roman" w:hAnsi="Times New Roman" w:cs="Times New Roman"/>
          <w:color w:val="000000" w:themeColor="text1"/>
          <w:sz w:val="24"/>
          <w:szCs w:val="24"/>
        </w:rPr>
        <w:t xml:space="preserve">. Ethnicity includes tribes, races, nations, and castes, among other groupings distinguished by color, language, and religion. People are connected by their ethnic identification because of their perceived shared history and hopes for future experiences (Ross, 2019). Like many other African nations, Ghana is home to a diverse population of multilingual, multitribal people who follow several religious traditions. Ethnic clashes appear to have become more common as a result, particularly in the North of the country. On the other hand, conflict describes a scenario in which two or more parties pursue opposing but, in their opinion, totally reasonable goals (Wolff, 2011). According to Wolff, ethnic </w:t>
      </w:r>
      <w:r w:rsidRPr="00E2630C">
        <w:rPr>
          <w:rFonts w:ascii="Times New Roman" w:hAnsi="Times New Roman" w:cs="Times New Roman"/>
          <w:color w:val="000000" w:themeColor="text1"/>
          <w:sz w:val="24"/>
          <w:szCs w:val="24"/>
        </w:rPr>
        <w:lastRenderedPageBreak/>
        <w:t>conflicts arise when at least one party's interests are exclusively defined in terms of ethnicity and when ethnic differences serve as the main point of contention. Whatever the specific issues that give rise to conflict, at least one of the parties involved will use their ethnic identity to justify their dissatisfaction. That is, one party will argue that their ethnic identity is the reason why their members are unable to realize their rights, cannot realize their interests, or have their claims not met (Wolff, 2011).</w:t>
      </w:r>
    </w:p>
    <w:p w14:paraId="42B1F236"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Therefore, ethnic conflicts can be defined as a type of group conflict where a party involved understands the dispute, its causes, and possible solutions along a perceived or actual ethnic division that discriminates against others (Wolff, 2011). According to </w:t>
      </w:r>
      <w:r w:rsidRPr="00E2630C">
        <w:rPr>
          <w:rFonts w:ascii="Times New Roman" w:eastAsia="Times New Roman" w:hAnsi="Times New Roman" w:cs="Times New Roman"/>
          <w:color w:val="000000" w:themeColor="text1"/>
          <w:sz w:val="24"/>
          <w:szCs w:val="24"/>
        </w:rPr>
        <w:t>Russell &amp; Sambanis (2022)</w:t>
      </w:r>
      <w:r w:rsidRPr="00E2630C">
        <w:rPr>
          <w:rFonts w:ascii="Times New Roman" w:hAnsi="Times New Roman" w:cs="Times New Roman"/>
          <w:color w:val="000000" w:themeColor="text1"/>
          <w:sz w:val="24"/>
          <w:szCs w:val="24"/>
        </w:rPr>
        <w:t>, Horowitz and Kaufman's definition of ethnicity highlights that ethnic wars are conflicts between groups (ethnicities) over the power dynamics between those communities and the state. In addition, he makes the case that competing communities in ethnic conflicts have incompatible ideas about the state's citizenship, borders, and identity. In this wide sense, ethnic conflicts include, according to Krause et al. (2019), the Shia-Sunni problems in Pakistan, the Black-White conflict in the United States and South Africa, the Tamil-Sinhala conflict in Sri Lanka, and the Protestant-Catholic conflict in Northern Ireland and Hindu-Muslim conflict in India.  Conflict that is founded on identity is hence ethnocentric conflict. Group perceptions and assessments of groups and their intentions are crucial to identity studies. Ethnic disputes are frequently intense and protracted (Ross, 2019). While not all of these components are present in ethnic conflicts in Ghana, religious fanaticism, tribalism, rivalry for power (chieftaincy), and border disputes are some of the factors that lead to and intensify these conflicts, which frequently last for a long time. For example, the Dagbon chieftaincy conflict has lasted for generations (Issifu, 2015).</w:t>
      </w:r>
    </w:p>
    <w:p w14:paraId="3FA5E127"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The more important issue for analysis is what drives people to participate in violent ethnic strife. Ethnic conflicts are not something that simply happen. They are the result of people making conscious decisions to use violent tactics to achieve particular objectives. Ethnic conflict is not a result of nationalism or ethnicity alone. The interests at stake in ethnic conflicts are actually very varied and can include anything from the justifiable political, social, cultural, and economic grievances of marginalized ethnic groups to the predatory agendas of small cartels of elites and states, as well as purported national security interests </w:t>
      </w:r>
      <w:r w:rsidRPr="00E2630C">
        <w:rPr>
          <w:rFonts w:ascii="Times New Roman" w:eastAsia="Times New Roman" w:hAnsi="Times New Roman" w:cs="Times New Roman"/>
          <w:color w:val="000000" w:themeColor="text1"/>
          <w:sz w:val="24"/>
          <w:szCs w:val="24"/>
        </w:rPr>
        <w:t>(Ballentine &amp; Nitzschke, 2003)</w:t>
      </w:r>
      <w:r w:rsidRPr="00E2630C">
        <w:rPr>
          <w:rFonts w:ascii="Times New Roman" w:hAnsi="Times New Roman" w:cs="Times New Roman"/>
          <w:color w:val="000000" w:themeColor="text1"/>
          <w:sz w:val="24"/>
          <w:szCs w:val="24"/>
        </w:rPr>
        <w:t>. An important question is to what extent ethnic conflicts are genuinely about ethnicity and to what extent ethnicity is just a convenient common denominator to organize conflict groups in the struggle over resources, land, or power, as organized ethnic groups face off against each other, minorities and majorities alike, with or without the support of state institutions (Wolff, 2011).</w:t>
      </w:r>
    </w:p>
    <w:p w14:paraId="59BB5F59"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reasons behind ethnic conflict can be viewed from a variety of theoretical angles.  According to primordialists, ethnicity is a particularly robust bond that carries a high risk of violence in interethnic relations. Proponents of ancient group hatred contend that animosity between ethnic groups stems from historical traumas and deep wounds that make violence difficult to prevent. According to proponents of the primordial sociality idea, close family relationships foster benevolence that advances the group's genetic development </w:t>
      </w:r>
      <w:r w:rsidRPr="00E2630C">
        <w:rPr>
          <w:rFonts w:ascii="Times New Roman" w:eastAsia="Times New Roman" w:hAnsi="Times New Roman" w:cs="Times New Roman"/>
          <w:color w:val="000000" w:themeColor="text1"/>
          <w:sz w:val="24"/>
          <w:szCs w:val="24"/>
        </w:rPr>
        <w:t>(Russell &amp; Sambanis, 2022)</w:t>
      </w:r>
      <w:r w:rsidRPr="00E2630C">
        <w:rPr>
          <w:rFonts w:ascii="Times New Roman" w:hAnsi="Times New Roman" w:cs="Times New Roman"/>
          <w:color w:val="000000" w:themeColor="text1"/>
          <w:sz w:val="24"/>
          <w:szCs w:val="24"/>
        </w:rPr>
        <w:t xml:space="preserve">. </w:t>
      </w:r>
      <w:r w:rsidRPr="00E2630C">
        <w:rPr>
          <w:rFonts w:ascii="Times New Roman" w:eastAsia="Times New Roman" w:hAnsi="Times New Roman" w:cs="Times New Roman"/>
          <w:color w:val="000000" w:themeColor="text1"/>
          <w:sz w:val="24"/>
          <w:szCs w:val="24"/>
        </w:rPr>
        <w:t>Russell and Sambanis (2022)</w:t>
      </w:r>
      <w:r w:rsidRPr="00E2630C">
        <w:rPr>
          <w:rFonts w:ascii="Times New Roman" w:hAnsi="Times New Roman" w:cs="Times New Roman"/>
          <w:color w:val="000000" w:themeColor="text1"/>
          <w:sz w:val="24"/>
          <w:szCs w:val="24"/>
        </w:rPr>
        <w:t xml:space="preserve"> cite the theory of the collision of cultures (or civilizations) to argue that fear is a result of cultural gaps creating irreconcilable differences, and disagreement frequently leads to violence. He goes on to say that the notion of the ethnic security dilemma, which contends that geographical mixing and mutual vulnerability worsen assurance issues and may provoke preventative conflicts by ethnic minority seeking to secede in order to improve </w:t>
      </w:r>
      <w:r w:rsidRPr="00E2630C">
        <w:rPr>
          <w:rFonts w:ascii="Times New Roman" w:hAnsi="Times New Roman" w:cs="Times New Roman"/>
          <w:color w:val="000000" w:themeColor="text1"/>
          <w:sz w:val="24"/>
          <w:szCs w:val="24"/>
        </w:rPr>
        <w:lastRenderedPageBreak/>
        <w:t xml:space="preserve">their security, is similarly rooted in fear. Because social and economic developments can exacerbate group rivalry for limited resources, modernization may also lead to violence. This argument could be especially applicable in situations where ethnic and class divisions coexist </w:t>
      </w:r>
      <w:r w:rsidRPr="00E2630C">
        <w:rPr>
          <w:rFonts w:ascii="Times New Roman" w:eastAsia="Times New Roman" w:hAnsi="Times New Roman" w:cs="Times New Roman"/>
          <w:color w:val="000000" w:themeColor="text1"/>
          <w:sz w:val="24"/>
          <w:szCs w:val="24"/>
        </w:rPr>
        <w:t>(Siroky &amp; Hechter, 2016)</w:t>
      </w:r>
      <w:r w:rsidRPr="00E2630C">
        <w:rPr>
          <w:rFonts w:ascii="Times New Roman" w:hAnsi="Times New Roman" w:cs="Times New Roman"/>
          <w:color w:val="000000" w:themeColor="text1"/>
          <w:sz w:val="24"/>
          <w:szCs w:val="24"/>
        </w:rPr>
        <w:t xml:space="preserve">. The mobilization of ethnic groups by elites or entrepreneurs who are pursuing personal agendas and profiting from the existence of ethnic networks that is, ethnically defined groups that lower transaction costs and uncertainty surrounding contract enforcement can also lead to ethnic conflict </w:t>
      </w:r>
      <w:r w:rsidRPr="00E2630C">
        <w:rPr>
          <w:rFonts w:ascii="Times New Roman" w:eastAsia="Times New Roman" w:hAnsi="Times New Roman" w:cs="Times New Roman"/>
          <w:color w:val="000000" w:themeColor="text1"/>
          <w:sz w:val="24"/>
          <w:szCs w:val="24"/>
        </w:rPr>
        <w:t>(Siroky &amp; Hechter, 2016)</w:t>
      </w:r>
      <w:r w:rsidRPr="00E2630C">
        <w:rPr>
          <w:rFonts w:ascii="Times New Roman" w:hAnsi="Times New Roman" w:cs="Times New Roman"/>
          <w:color w:val="000000" w:themeColor="text1"/>
          <w:sz w:val="24"/>
          <w:szCs w:val="24"/>
        </w:rPr>
        <w:t>.</w:t>
      </w:r>
    </w:p>
    <w:p w14:paraId="0445AC6E" w14:textId="77777777" w:rsidR="00CD3724" w:rsidRPr="00E2630C" w:rsidRDefault="00CD3724" w:rsidP="0049497D">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In order to create fresh points of conflict and friction, elites may also socially manufacture ethnic identities or maintain racial, religious, or linguistic divisions. </w:t>
      </w:r>
      <w:r w:rsidRPr="00E2630C">
        <w:rPr>
          <w:rFonts w:ascii="Times New Roman" w:eastAsia="Times New Roman" w:hAnsi="Times New Roman" w:cs="Times New Roman"/>
          <w:color w:val="000000" w:themeColor="text1"/>
          <w:sz w:val="24"/>
          <w:szCs w:val="24"/>
        </w:rPr>
        <w:t>Russell &amp; Sambanis (2022)</w:t>
      </w:r>
      <w:r w:rsidRPr="00E2630C">
        <w:rPr>
          <w:rFonts w:ascii="Times New Roman" w:hAnsi="Times New Roman" w:cs="Times New Roman"/>
          <w:color w:val="000000" w:themeColor="text1"/>
          <w:sz w:val="24"/>
          <w:szCs w:val="24"/>
        </w:rPr>
        <w:t xml:space="preserve"> draws the conclusion that although none of these viewpoints can completely account for the reasons behind every ethnic conflict, they can all contribute to illuminating one or more conflicts. They all believe, collectively, that ethnicity plays a significant role in understanding civil strife.  Today's violent ethnic conflicts are becoming more and more vile. Terrorism is the main weapon of war, from Rwanda to Sri Lanka to Algeria. Warriors not only deliberately target civilians, particularly children, but they also use fear-mongering to maintain control. They use mass rape and sexual torture, ethnic and social cleansing, genocide, and scorched earth tactics to starve people and destroy infrastructure </w:t>
      </w:r>
      <w:r w:rsidRPr="00E2630C">
        <w:rPr>
          <w:rFonts w:ascii="Times New Roman" w:eastAsia="Times New Roman" w:hAnsi="Times New Roman" w:cs="Times New Roman"/>
          <w:color w:val="000000" w:themeColor="text1"/>
          <w:sz w:val="24"/>
          <w:szCs w:val="24"/>
        </w:rPr>
        <w:t>(Siroky &amp; Hechter, 2016)</w:t>
      </w:r>
      <w:r w:rsidRPr="00E2630C">
        <w:rPr>
          <w:rFonts w:ascii="Times New Roman" w:hAnsi="Times New Roman" w:cs="Times New Roman"/>
          <w:color w:val="000000" w:themeColor="text1"/>
          <w:sz w:val="24"/>
          <w:szCs w:val="24"/>
        </w:rPr>
        <w:t xml:space="preserve">. Insidious reasoning takes over once violence is fueled by hyperpoliticized identity. </w:t>
      </w:r>
    </w:p>
    <w:p w14:paraId="7FF4BC4B"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This increases the stakes above and beyond more amenable problems like redistributing political and monetary resources or controlling territory </w:t>
      </w:r>
      <w:r w:rsidRPr="00E2630C">
        <w:rPr>
          <w:rFonts w:ascii="Times New Roman" w:eastAsia="Times New Roman" w:hAnsi="Times New Roman" w:cs="Times New Roman"/>
          <w:color w:val="000000" w:themeColor="text1"/>
          <w:sz w:val="24"/>
          <w:szCs w:val="24"/>
        </w:rPr>
        <w:t>(Siroky &amp; Hechter, 2016)</w:t>
      </w:r>
      <w:r w:rsidRPr="00E2630C">
        <w:rPr>
          <w:rFonts w:ascii="Times New Roman" w:hAnsi="Times New Roman" w:cs="Times New Roman"/>
          <w:color w:val="000000" w:themeColor="text1"/>
          <w:sz w:val="24"/>
          <w:szCs w:val="24"/>
        </w:rPr>
        <w:t xml:space="preserve">. Identity-based disputes are perceived as a danger to a community's basic existence. The </w:t>
      </w:r>
      <w:r w:rsidRPr="00E2630C">
        <w:rPr>
          <w:rFonts w:ascii="Times New Roman" w:hAnsi="Times New Roman" w:cs="Times New Roman"/>
          <w:color w:val="000000" w:themeColor="text1"/>
          <w:sz w:val="24"/>
          <w:szCs w:val="24"/>
        </w:rPr>
        <w:lastRenderedPageBreak/>
        <w:t xml:space="preserve">battleground extends to include houses when a rival identity group is seen as the threat. A person becomes a target due to his or her affiliation with a specific community. Individuals who are subjected to physical, psychological, or moral abuse are intended to have an impact on the community at large, particularly on the identity group that they belong to (Abdullah et al., 2023). Ethnicity, religion, language, and caste become organizational resources in the political and economic spheres as groups are mobilized based on identification (Abdullah et al., 2023). They observe that the pervasiveness of ethnic identity which leading expert on ethnic politics Donald Horowitz characterizes as having a tendency to "seep" helps to promote this mobilization process. </w:t>
      </w:r>
    </w:p>
    <w:p w14:paraId="6AE87C42"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Concurrent with the politicization of ethnicity and the ethnicization of social, political, and economic life, tensions between identification and conflict are heightened, elevating the stakes in every clash. Every social, political, and economic relationship that crosses boundaries of identification is made more volatile by it (Owino, 2019). It has been questioned by some experts if identity politics holds the key to understanding disorder in Africa. It is crucial in some situations, as in Rwanda, Burundi, and Sudan, where there is an underlying conflict between drastically divergent conceptions of the morally upright society.  Violence invariably involves discourses of difference, even in the numerous instances where race or religion is not the primary cause of disorder. Therefore, one should not undervalue the risks associated with long-term illness (Young, 2002). This study investigates the effects of these destructive wars on the human security of the Bimbilla and its enclave, with a particular focus on the intra-ethnic Dagbon chieftaincy conflicts.</w:t>
      </w:r>
    </w:p>
    <w:p w14:paraId="73F3E948"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p>
    <w:p w14:paraId="6F49725A" w14:textId="77777777" w:rsidR="00CD3724" w:rsidRPr="00E2630C" w:rsidRDefault="00CD3724" w:rsidP="0049497D">
      <w:pPr>
        <w:pStyle w:val="Heading2"/>
      </w:pPr>
      <w:bookmarkStart w:id="41" w:name="_Toc182386235"/>
      <w:r w:rsidRPr="00E2630C">
        <w:lastRenderedPageBreak/>
        <w:t>2.11 Chieftaincy conflicts in Ghana</w:t>
      </w:r>
      <w:bookmarkEnd w:id="41"/>
    </w:p>
    <w:p w14:paraId="6FB4E8FE"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position and organization in which the chief serves as the primary operator and shareholder is known as chieftaincy. It may consist of, among other things: the staff, queen mothers, chiefs, and counsellors; ceremonies, symbols, and other accoutrements (Awedoba, 2006). The 1992 constitution of Ghana defines a chief as a person, who, belonging from the appropriate family and lineage, has been legitimately nominated, elected, or picked and enstooled, enskined, or installed as a chief or queen mother per the applicable customary law and usage.  The oldest political structure in Africa is the chieftaincy. The chieftaincy institution in Ghana, according to Dankwa et al. (2021), "emerged from the social fabric of the land and is nobody's creation and cannot be easily destroyed." The organization has had a major impact on Ghana's governance structure and still does. But it is plagued by a plethora of conflicts. The chief was the political, social, economic, legal, and military leader of the traditional state prior to the arrival of colonialism in Africa. In his capacity as political leader, he was in charge of upholding law and order in his state. He served as a mediator between his people and the supernatural forces and as a guardian of their core beliefs. In addition to managing other income, he oversaw tribute payments and court fines. Additionally, he served as the last arbiter in the administration of justice. Thus, it is evident that chiefs enjoyed a high degree of autonomy during the pre-colonial period. On the other hand, the chief made decisions based on the counsel of a body known variously as the Privy or Inner Council. Both the queen-mother and these institutional balances protected against autocratic impulses in areas where the system operated effectively. The directive for the chief to solely follow his elders' advice had to be adhered to scrupulously. </w:t>
      </w:r>
      <w:r w:rsidR="000C50BA" w:rsidRPr="00E2630C">
        <w:rPr>
          <w:rFonts w:ascii="Times New Roman" w:hAnsi="Times New Roman" w:cs="Times New Roman"/>
          <w:color w:val="000000" w:themeColor="text1"/>
          <w:sz w:val="24"/>
          <w:szCs w:val="24"/>
        </w:rPr>
        <w:t xml:space="preserve">The chief </w:t>
      </w:r>
      <w:r w:rsidRPr="00E2630C">
        <w:rPr>
          <w:rFonts w:ascii="Times New Roman" w:hAnsi="Times New Roman" w:cs="Times New Roman"/>
          <w:color w:val="000000" w:themeColor="text1"/>
          <w:sz w:val="24"/>
          <w:szCs w:val="24"/>
        </w:rPr>
        <w:t xml:space="preserve">was destooled or dethroned for ineptitude as well as for breaking the state's trust, penalties, or taboos. In fact, he ruled by consensus </w:t>
      </w:r>
      <w:r w:rsidRPr="00E2630C">
        <w:rPr>
          <w:rFonts w:ascii="Times New Roman" w:eastAsia="Times New Roman" w:hAnsi="Times New Roman" w:cs="Times New Roman"/>
          <w:color w:val="000000" w:themeColor="text1"/>
          <w:sz w:val="24"/>
          <w:szCs w:val="24"/>
        </w:rPr>
        <w:t>(Boafo-Arthur, 2003; Prah &amp; Yeboah, 2011b)</w:t>
      </w:r>
      <w:r w:rsidRPr="00E2630C">
        <w:rPr>
          <w:rFonts w:ascii="Times New Roman" w:hAnsi="Times New Roman" w:cs="Times New Roman"/>
          <w:color w:val="000000" w:themeColor="text1"/>
          <w:sz w:val="24"/>
          <w:szCs w:val="24"/>
        </w:rPr>
        <w:t xml:space="preserve">.   </w:t>
      </w:r>
    </w:p>
    <w:p w14:paraId="0A5B53AF" w14:textId="77777777" w:rsidR="00CD3724" w:rsidRPr="00E2630C" w:rsidRDefault="000C50BA" w:rsidP="00CD3724">
      <w:pPr>
        <w:spacing w:line="480" w:lineRule="auto"/>
        <w:jc w:val="both"/>
        <w:rPr>
          <w:rFonts w:ascii="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Adjaye and</w:t>
      </w:r>
      <w:r w:rsidR="00CD3724" w:rsidRPr="00E2630C">
        <w:rPr>
          <w:rFonts w:ascii="Times New Roman" w:eastAsia="Times New Roman" w:hAnsi="Times New Roman" w:cs="Times New Roman"/>
          <w:color w:val="000000" w:themeColor="text1"/>
          <w:sz w:val="24"/>
          <w:szCs w:val="24"/>
        </w:rPr>
        <w:t xml:space="preserve"> Buba (2006)</w:t>
      </w:r>
      <w:r w:rsidR="00CD3724" w:rsidRPr="00E2630C">
        <w:rPr>
          <w:rFonts w:ascii="Times New Roman" w:hAnsi="Times New Roman" w:cs="Times New Roman"/>
          <w:color w:val="000000" w:themeColor="text1"/>
          <w:sz w:val="24"/>
          <w:szCs w:val="24"/>
        </w:rPr>
        <w:t xml:space="preserve"> contend that chiefs and their councils, particularly in southern Ghana and northern Nigeria, came to dominate local governance during the British colonial administration's establishment. When there were no existing chiefs, the colonialists established new ones and increased the authority of the leaders they preferred. Once implemented, the indirect rule strategy resulted in the enshrinement of indigenous monarchs' authority and their expansion beyond the borders customarily delineated for them.  They do point out that the autonomy of action here was limited to serving the colonial masters and eschewing tradition; it had nothing to do with the chiefs' pre-colonial standing. Chiefs were so labelled as accomplices of imperialism. Aside from the well-known and prevailing ones, this approach also contributed significantly to the chieftaincy disputes that occurred in Ghana and other African countries.   </w:t>
      </w:r>
    </w:p>
    <w:p w14:paraId="6CA61A57"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Some chiefs also played an entrenched role in the colonial administration where they gave undiluted support to the colonialists and were enlisted as implementers of colonial policies. Modernization theorists were persuaded by this development that chieftaincy arrangements would eventually disappear (Boafo-Arthur, 2003). The institution has endured in defiance of this forecast, but the colonial association of chieftaincy with a host of issues, including conflicts, may be substantially to blame for its many issues.  According to Boafo-Arthur, attempts to limit the authority of chiefs, particularly in the early post-independence era, may be interpreted as retaliation for the chiefs' tenacious defense of the colonial system. For him, it was a means of making sure that there were no isolated concentrations of political power that could challenge the authority of the post-colonial state. Chiefs' autonomy should be challenged in order to lessen their impact on the era's politics, as the postcolonial state was intended to have ultimate control. Their absorption into colonial governance during the time of indirect rule, </w:t>
      </w:r>
      <w:r w:rsidRPr="00E2630C">
        <w:rPr>
          <w:rFonts w:ascii="Times New Roman" w:hAnsi="Times New Roman" w:cs="Times New Roman"/>
          <w:color w:val="000000" w:themeColor="text1"/>
          <w:sz w:val="24"/>
          <w:szCs w:val="24"/>
        </w:rPr>
        <w:lastRenderedPageBreak/>
        <w:t>either by omission or commission, set them on a collision course with nationalist leaders even if some chiefs were very supportive of the movement for colonial freedom. The chieftaincy system was never fully pardoned by the Convention People's Party (CPP) government for its collusion with colonialists. He assumes that these elements could account for Nkrumah's stance on the chiefs.</w:t>
      </w:r>
    </w:p>
    <w:p w14:paraId="3B4D7D88"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Boafo-Arthur (2003) states that attempts by the national government to weaken the chiefs' ostensibly powerful position have been the chieftaincy institution's biggest obstacles throughout the years. Nkrumah transformed the entire system of chieftaincy by ensuring that almost all paramount chiefs in Ghana were party stalwarts, in contrast to his earlier view that African "communalism" and modern "communism" were interchangeable (Knierzinger, 2011). The Chiefs (Recognition) Act of 1959, which granted the government the authority to grant or withhold recognition from any chief, concluded measures to enable the post-colonial state's total domination over the chiefs (Boafo-Arthur, 2003). </w:t>
      </w:r>
    </w:p>
    <w:p w14:paraId="26D5A30C"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Ghana's post-Nkrumah era has seen the central government continue to manipulate and restrict paramount authority. For example, NLC Decree 112 removed chiefs who had maintained their positions as a result of CPP influence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xml:space="preserve">. Leading members of the chiefly elite, Busia and Edward Akufo-Addo regime, once again initiated a massive conversion drive. However, they continued to use primarily power in the same manner (Boafo-Arthur, 2003). At first, the Provisional National Defence Council (PNDC) believed that chiefs were elitists and shouldn't have been permitted to have any major influence over the revolution of December 31, 1981. Due to the revolutionary ideas' class overtones, leaders and revolutionaries particularly the so-called grassroots revolutionaries, the Committees for the Defence of the Revolution (CDRs) were encouraged to engage in conflictual relationships. All over the country, </w:t>
      </w:r>
      <w:r w:rsidRPr="00E2630C">
        <w:rPr>
          <w:rFonts w:ascii="Times New Roman" w:hAnsi="Times New Roman" w:cs="Times New Roman"/>
          <w:color w:val="000000" w:themeColor="text1"/>
          <w:sz w:val="24"/>
          <w:szCs w:val="24"/>
        </w:rPr>
        <w:lastRenderedPageBreak/>
        <w:t xml:space="preserve">there were multiple conflicts between the revolutionaries and the chiefs. The revolutionaries saw the chiefs as the epitome of the haughtiness that comes with traditional dominance, while the chiefs saw the revolutionaries as nothing more than upstarts (Boafo-Arthur, 2003). As a result of the central government's meddling in chieftaincy, several chiefs were removed, and new chiefs—who were not necessarily royals were appointed concurrently with the enactment of these acts and decrees. But after the 1992 Constitution was ratified and the government lost the authority to recognize or reject newly appointed chiefs </w:t>
      </w:r>
      <w:r w:rsidRPr="00E2630C">
        <w:rPr>
          <w:rFonts w:ascii="Times New Roman" w:eastAsia="Times New Roman" w:hAnsi="Times New Roman" w:cs="Times New Roman"/>
          <w:color w:val="000000" w:themeColor="text1"/>
          <w:sz w:val="24"/>
          <w:szCs w:val="24"/>
        </w:rPr>
        <w:t>(Adjaye &amp; Buba, 2006)</w:t>
      </w:r>
      <w:r w:rsidRPr="00E2630C">
        <w:rPr>
          <w:rFonts w:ascii="Times New Roman" w:hAnsi="Times New Roman" w:cs="Times New Roman"/>
          <w:color w:val="000000" w:themeColor="text1"/>
          <w:sz w:val="24"/>
          <w:szCs w:val="24"/>
        </w:rPr>
        <w:t>, some of the chiefs that the central government ousted, or members of their family, now question why they were removed and question the legitimacy of their successors, whom they saw as rivals and intruders. In fact, the circumstances mentioned above may be the cause of some of the chieftaincy disputes that exist today. Numerous records exist regarding governmental meddling in the Dagbon chieftaincy dispute, dating back to the colonial era. It is important to emphasize that there have been succession issues inside the organization itself after an incumbent chief passed away. Some of these arguments have not been resolved and have continued in different forms up to this day (Awedoba, 2006; Boafo-Arthur, 2003).</w:t>
      </w:r>
    </w:p>
    <w:p w14:paraId="6CDCD8A0"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In a similar vein, Earle (2011) names four causes of chieftaincy disputes. According to his opinion, chieftaincy is linked to political authority, which translates into the ability to govern material riches in the form of stool possessions like land, mineral reserves, regalia, and chief's staff. The institution is so alluring due to the pomp and circumstance that come with being the chief that both royals and non-royals want to do whatever it takes to become king or queen, which causes strife. He also attributes these chieftaincy battles to incumbents' abuse of common resources, such as royalties given to the royal house.  </w:t>
      </w:r>
    </w:p>
    <w:p w14:paraId="6F6F6716"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The majority of chieftaincy problems in Ghana arise from a dearth of documentation regarding the chieftaincy's technique of selection, according to Earle's third source of chieftaincy conflict. He contends that many young aspirants to the stool/skin have been drawn to Ghana by the wealth and grandeur associated with the chieftaincy institution. Various rival organizations with their own candidates for the stool arise upon the death, resignation, or destooling of the incumbent (Earle, 2011). One significant theme has been the absence of or inaccurate data on succession, as mentioned by Hafeez (2012). In many regions of Ghana, the chieftaincy institution lacks a clear succession plan. Chieftaincy matters place an undue emphasis on oral tradition, which can give rise to differing opinions about what is proper or wrong and cause disputes (Bukari). The battle in Dagbon is the longest-lasting in the North, if not the entire country, despite the irony that there seems to be sufficient evidence on chieftaincy in the area, particularly succession to Yani. According to Earle (2011), chieftaincy disputes arise because non-royals are appointed to stools or skins in the nation.  He notes that some of these individuals are foreign nationals who have gained recognition for their significant contributions to the state's infrastructure development. Slaves who served their masters with dedication used to occasionally become members of the family. A few of them received rewards in the form of community women, with whom they eventually had children. One day, these slaves' descendants who are now members of the royal family may go forward to challenge for the stool's vacant post. When certain members of the royal family attempt to discriminate against this group of people, calling them "foreigners" or "intruders," problems arise. </w:t>
      </w:r>
    </w:p>
    <w:p w14:paraId="1FD2A5AA"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villagers recently rejected the chief that the Dagbon overlord had appointed, believing him to be unfit for the position and labelled as a foreigner (Field Survey, 2022). This mentality occasionally has an impact on our traditional systems because </w:t>
      </w:r>
      <w:r w:rsidRPr="00E2630C">
        <w:rPr>
          <w:rFonts w:ascii="Times New Roman" w:hAnsi="Times New Roman" w:cs="Times New Roman"/>
          <w:color w:val="000000" w:themeColor="text1"/>
          <w:sz w:val="24"/>
          <w:szCs w:val="24"/>
        </w:rPr>
        <w:lastRenderedPageBreak/>
        <w:t>some of the most experienced members of the community have stayed, practiced, and learned everything that tradition requires, yet they are still viewed as foreigners simply because their ancestry cannot be traced back to a specific gate. According to Boafo-Arthur (2003), there are now additional types of succession difficulties. The author highlights the increasing inclination towards both direct and indirect support for absentee chiefs as an additional challenge arising from the chiefs' extensive education and diverse skill set, which prevents them from remaining in their palaces within their respective jurisdictions. Therefore, chiefs with any kind of competence practice their career in the cities, which requires them to spend a lot of time away from their palaces. They essentially become absentee chiefs, and while the practice cannot be stopped given the needs of modern development and the strong educational background required of candidates seeking chieftaincy status, the challenges associated with it are rather severe. Chiefs in this category have responded most conspicuously by depending on the council of elders or stool fathers to lead in their absence (Boafo-Arthur, 2003). As a result, the chief who is not there may be viewed as inefficient, which gives others the chance to seize his power and spark a fight.</w:t>
      </w:r>
    </w:p>
    <w:p w14:paraId="6F2A292C"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Charlatans have also been found to be a significant contributing factor in chieftaincy disputes, especially those involving throne succession. Boafo-Arthur (2006) claims that although these individuals may not even be heirs to the throne, they frequently use money and other forms of power to get access to thrones for kingmakers. Additionally, the recent comeback of chieftaincy in Ghana may be the reason for the resurgence of wars of this specific kind (Fischer, 2012).   Due to personal self-interest, the institution has continued to face difficulties in some traditions and kingdoms with succession plans over who will inherit and take the throne in the future. The majority of chieftaincy-related conflicts arise because those who are instrumental in the select</w:t>
      </w:r>
      <w:r w:rsidR="00356A91" w:rsidRPr="00E2630C">
        <w:rPr>
          <w:rFonts w:ascii="Times New Roman" w:hAnsi="Times New Roman" w:cs="Times New Roman"/>
          <w:color w:val="000000" w:themeColor="text1"/>
          <w:sz w:val="24"/>
          <w:szCs w:val="24"/>
        </w:rPr>
        <w:t xml:space="preserve">ion and </w:t>
      </w:r>
      <w:r w:rsidR="00356A91" w:rsidRPr="00E2630C">
        <w:rPr>
          <w:rFonts w:ascii="Times New Roman" w:hAnsi="Times New Roman" w:cs="Times New Roman"/>
          <w:color w:val="000000" w:themeColor="text1"/>
          <w:sz w:val="24"/>
          <w:szCs w:val="24"/>
        </w:rPr>
        <w:lastRenderedPageBreak/>
        <w:t>installation of a chief</w:t>
      </w:r>
      <w:r w:rsidRPr="00E2630C">
        <w:rPr>
          <w:rFonts w:ascii="Times New Roman" w:hAnsi="Times New Roman" w:cs="Times New Roman"/>
          <w:color w:val="000000" w:themeColor="text1"/>
          <w:sz w:val="24"/>
          <w:szCs w:val="24"/>
        </w:rPr>
        <w:t xml:space="preserve"> are frequently rewarded by being made chiefs and given chieftaincy titles by any means, even if they are not qualified (Field Surivey, 2022). </w:t>
      </w:r>
    </w:p>
    <w:p w14:paraId="3F7A6296" w14:textId="77777777" w:rsidR="00356A91" w:rsidRPr="00E2630C" w:rsidRDefault="00356A91"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above discussions suggest that, across all ethnic groups in Ghana where chieftaincy institution was well embraced, the conduct of the chief and the kingmakers, as well as the interference and manipulation of the system by interested parties, individually and cumulatively contributed to the varying degree of conflicts associated with the chieftaincy institution. This nonetheless, has an implication for modern day chieftaincy practices. </w:t>
      </w:r>
    </w:p>
    <w:p w14:paraId="5524FA05" w14:textId="77777777" w:rsidR="00CD3724" w:rsidRPr="00E2630C" w:rsidRDefault="00CD3724" w:rsidP="00CD3724">
      <w:pPr>
        <w:pStyle w:val="NoSpacing"/>
        <w:rPr>
          <w:rFonts w:ascii="Times New Roman" w:hAnsi="Times New Roman" w:cs="Times New Roman"/>
          <w:color w:val="000000" w:themeColor="text1"/>
          <w:sz w:val="24"/>
          <w:szCs w:val="24"/>
        </w:rPr>
      </w:pPr>
    </w:p>
    <w:p w14:paraId="06987061" w14:textId="77777777" w:rsidR="00CD3724" w:rsidRPr="00E2630C" w:rsidRDefault="00CD3724" w:rsidP="0049497D">
      <w:pPr>
        <w:pStyle w:val="Heading2"/>
      </w:pPr>
      <w:bookmarkStart w:id="42" w:name="_Toc182386236"/>
      <w:r w:rsidRPr="00E2630C">
        <w:t>2.12 The Background of the Bimbilla Chieftaincy Conflicts</w:t>
      </w:r>
      <w:bookmarkEnd w:id="42"/>
    </w:p>
    <w:p w14:paraId="211BF58F" w14:textId="686D448B"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When institutions and social processes are established to manage and resolve breakdowns, conflicts turn violent (UNEP, 2012). In a similar spirit, disputes turn violent when actors' or stakeholders' emotions get in the way of their rational thinking. Violent conflicts in terms of wars in most parts of the world have been with humankind since time immemorial. </w:t>
      </w:r>
      <w:r w:rsidR="006634FD" w:rsidRPr="00E2630C">
        <w:rPr>
          <w:rFonts w:ascii="Times New Roman" w:hAnsi="Times New Roman" w:cs="Times New Roman"/>
          <w:color w:val="000000" w:themeColor="text1"/>
          <w:sz w:val="24"/>
          <w:szCs w:val="24"/>
        </w:rPr>
        <w:t>T</w:t>
      </w:r>
      <w:r w:rsidRPr="00E2630C">
        <w:rPr>
          <w:rFonts w:ascii="Times New Roman" w:hAnsi="Times New Roman" w:cs="Times New Roman"/>
          <w:color w:val="000000" w:themeColor="text1"/>
          <w:sz w:val="24"/>
          <w:szCs w:val="24"/>
        </w:rPr>
        <w:t>he Bimbilla chieftaincy conflicts could be conceived as intra-ethnic conflicts. In the past, severe interethnic confrontations like "the Pito War" (1981) and "the Guinea Fowl War" (1994–1995) have occurred in the Bimbilla</w:t>
      </w:r>
      <w:r w:rsidR="006634FD" w:rsidRPr="00E2630C">
        <w:rPr>
          <w:rFonts w:ascii="Times New Roman" w:hAnsi="Times New Roman" w:cs="Times New Roman"/>
          <w:color w:val="000000" w:themeColor="text1"/>
          <w:sz w:val="24"/>
          <w:szCs w:val="24"/>
        </w:rPr>
        <w:t xml:space="preserve"> community</w:t>
      </w:r>
      <w:r w:rsidRPr="00E2630C">
        <w:rPr>
          <w:rFonts w:ascii="Times New Roman" w:hAnsi="Times New Roman" w:cs="Times New Roman"/>
          <w:color w:val="000000" w:themeColor="text1"/>
          <w:sz w:val="24"/>
          <w:szCs w:val="24"/>
        </w:rPr>
        <w:t xml:space="preserve">. </w:t>
      </w:r>
      <w:r w:rsidR="006634FD" w:rsidRPr="00E2630C">
        <w:rPr>
          <w:rFonts w:ascii="Times New Roman" w:hAnsi="Times New Roman" w:cs="Times New Roman"/>
          <w:color w:val="000000" w:themeColor="text1"/>
          <w:sz w:val="24"/>
          <w:szCs w:val="24"/>
        </w:rPr>
        <w:t>The title of t</w:t>
      </w:r>
      <w:r w:rsidRPr="00E2630C">
        <w:rPr>
          <w:rFonts w:ascii="Times New Roman" w:hAnsi="Times New Roman" w:cs="Times New Roman"/>
          <w:color w:val="000000" w:themeColor="text1"/>
          <w:sz w:val="24"/>
          <w:szCs w:val="24"/>
        </w:rPr>
        <w:t xml:space="preserve">hese </w:t>
      </w:r>
      <w:r w:rsidR="006634FD" w:rsidRPr="00E2630C">
        <w:rPr>
          <w:rFonts w:ascii="Times New Roman" w:hAnsi="Times New Roman" w:cs="Times New Roman"/>
          <w:color w:val="000000" w:themeColor="text1"/>
          <w:sz w:val="24"/>
          <w:szCs w:val="24"/>
        </w:rPr>
        <w:t xml:space="preserve">wars </w:t>
      </w:r>
      <w:r w:rsidR="000E5ADD" w:rsidRPr="00E2630C">
        <w:rPr>
          <w:rFonts w:ascii="Times New Roman" w:hAnsi="Times New Roman" w:cs="Times New Roman"/>
          <w:color w:val="000000" w:themeColor="text1"/>
          <w:sz w:val="24"/>
          <w:szCs w:val="24"/>
        </w:rPr>
        <w:t>reflects</w:t>
      </w:r>
      <w:r w:rsidR="006634FD" w:rsidRPr="00E2630C">
        <w:rPr>
          <w:rFonts w:ascii="Times New Roman" w:hAnsi="Times New Roman" w:cs="Times New Roman"/>
          <w:color w:val="000000" w:themeColor="text1"/>
          <w:sz w:val="24"/>
          <w:szCs w:val="24"/>
        </w:rPr>
        <w:t xml:space="preserve"> their </w:t>
      </w:r>
      <w:r w:rsidRPr="00E2630C">
        <w:rPr>
          <w:rFonts w:ascii="Times New Roman" w:hAnsi="Times New Roman" w:cs="Times New Roman"/>
          <w:color w:val="000000" w:themeColor="text1"/>
          <w:sz w:val="24"/>
          <w:szCs w:val="24"/>
        </w:rPr>
        <w:t xml:space="preserve">direct causes </w:t>
      </w:r>
      <w:r w:rsidRPr="00E2630C">
        <w:rPr>
          <w:rFonts w:ascii="Times New Roman" w:eastAsia="Times New Roman" w:hAnsi="Times New Roman" w:cs="Times New Roman"/>
          <w:color w:val="000000" w:themeColor="text1"/>
          <w:sz w:val="24"/>
          <w:szCs w:val="24"/>
        </w:rPr>
        <w:t>(Marfo &amp; Musah, 2018)</w:t>
      </w:r>
      <w:r w:rsidRPr="00E2630C">
        <w:rPr>
          <w:rFonts w:ascii="Times New Roman" w:hAnsi="Times New Roman" w:cs="Times New Roman"/>
          <w:color w:val="000000" w:themeColor="text1"/>
          <w:sz w:val="24"/>
          <w:szCs w:val="24"/>
        </w:rPr>
        <w:t>.</w:t>
      </w:r>
    </w:p>
    <w:p w14:paraId="48A82AE4"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two gates that comprise the Bimbilla skin are Bangyilli and Gbuhumayilli, which are determined by rotation and promotion. However, this dispute is happening within the Gbuhumayilli gate. The families of the late Naa Dassana Andani and Nakpaa-Naa Salifu Dawuni are the rival factions in the Bimbilla disputes. These disputes began when Naa Salifu was disguised as Nakpaa-Naa by Bimbilla-Naa Abarika Attah of the Bangyilli gate. The highest rank in the line of succession is Nakpaa (a skin gate), which is followed by the Bimbilla skin inside the Gbuhumayilli gate. In addition, the decision </w:t>
      </w:r>
      <w:r w:rsidRPr="00E2630C">
        <w:rPr>
          <w:rFonts w:ascii="Times New Roman" w:hAnsi="Times New Roman" w:cs="Times New Roman"/>
          <w:color w:val="000000" w:themeColor="text1"/>
          <w:sz w:val="24"/>
          <w:szCs w:val="24"/>
        </w:rPr>
        <w:lastRenderedPageBreak/>
        <w:t>to enskin him was strongly opposed, creating such a tense and hostile environment that Nakpaa-naa Salifu was forced to flee from Nakpaa to Bimbilla. In addition, he was sued by his opponents, Kpatihi-naa and Lepuhi-naa, who questioned his legitimacy as a member of the Nakpaa skin (Marfo et al., 2019).</w:t>
      </w:r>
    </w:p>
    <w:p w14:paraId="768252A7"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Northern Regional House of Chiefs' Judicial Committee </w:t>
      </w:r>
      <w:r w:rsidR="003A40CC" w:rsidRPr="00E2630C">
        <w:rPr>
          <w:rFonts w:ascii="Times New Roman" w:hAnsi="Times New Roman" w:cs="Times New Roman"/>
          <w:color w:val="000000" w:themeColor="text1"/>
          <w:sz w:val="24"/>
          <w:szCs w:val="24"/>
        </w:rPr>
        <w:t xml:space="preserve">in 1995 </w:t>
      </w:r>
      <w:r w:rsidRPr="00E2630C">
        <w:rPr>
          <w:rFonts w:ascii="Times New Roman" w:hAnsi="Times New Roman" w:cs="Times New Roman"/>
          <w:color w:val="000000" w:themeColor="text1"/>
          <w:sz w:val="24"/>
          <w:szCs w:val="24"/>
        </w:rPr>
        <w:t>heard the matter. Nevertheless, the petitioners, Kpatihi-naa and Lepuhi-naa, both passed away before the court's verdict was rendered, so the case was dismissed. The petitioners' family filed an appeal to the National House of Chiefs in Kumasi because they were unhappy with the court decision and believed there was political involvement. Additionally, the family of the petitioners asserted that when Bimbilla-naa Abarika Attah passed away in 1999, the matter was still pending. In response, the family of Nakpaa-naa Salifu asserted that the appeal was turned down when Naa Abarika Attah, Vo-naa, was the regent (Field Survey, 2015).</w:t>
      </w:r>
    </w:p>
    <w:p w14:paraId="00A9CB1B"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In 2003, during the last funeral ceremonies of Bimbilla-naa Abarika Attah from the Bangyilli gate, the chieftaincy disputes escalated. During this time, the Bimbilla skin was to relocate from Bangyilli to Gbuhumayilli, and Nakpaa-naa Salifu and Naa Andani competed to become the next Bimbilla paramount chief. The decision-making of the kingmakers was likewise split during this time. For example, on April 6, 2003, Naa Andani was declared Bimbilla-naa by the representative of Kpatihi-naa and five other kingmakers out of nine who had pledged their support to him (Northern Regional House of Chiefs' Judicial Committee Report, 2012). Three months after the enskinment of his opponent, Juo regent, the leader of the kingmakers, and two other kingmakers out of nine also declared their support for Nakpaa-naa Salifu, which also led to his enskinment as Bimbilla-naa (Daily Graphic, Thursday, October 9, 2014:16; Northern Regional House of Chiefs' Judicial Committee Report, 2012). The Judicial Committee Report </w:t>
      </w:r>
      <w:r w:rsidRPr="00E2630C">
        <w:rPr>
          <w:rFonts w:ascii="Times New Roman" w:hAnsi="Times New Roman" w:cs="Times New Roman"/>
          <w:color w:val="000000" w:themeColor="text1"/>
          <w:sz w:val="24"/>
          <w:szCs w:val="24"/>
        </w:rPr>
        <w:lastRenderedPageBreak/>
        <w:t>(2012) of the Northern Regional House of Chiefs states that six of the kingmakers Kpatihi-naa, Langiri-naa, Gambogu-naa, Chichagi-naa, Dibsi-naa, and Wulensi-naa endorsed Naa Andani Dassana. Additionally, Juo-naa, Jolle-naa, and Jilo-naa—three of the kingmakers endorsed Nakpaa-naa Salifu. The Bimbilla community has not had a legitimate chief since 2003, and the warring factions are embroiled in chieftaincy disputes and lawsuits at six different courts, including the Northern Regional House of Chiefs, the National House of Chiefs, and the overlord of the Mamprugu Traditional Area. In all six jurisdictions, Nakpaa-naa Salifu was the petitioner; sadly, he was unsuccessful in every trial (Daily Graphic, Saturday, June 21, 2014: 3-13). For example, the Judicial Committee of the Northern Regional House of Chiefs decided in favor of Naa Andani in a decision rendered on March 13, 2012. Nakpaa-naa Salifu and his followers, on the other hand, appealed the matter at the National House of Chiefs through the Judicial Committee because they were unhappy with the decision and believed that some government employees were responsible. On March 5, 2014, Nakpaa-naa Salifu, the petitioner, passed away while the matter was still ongoing at the National House of Chiefs. Since all previous Bimbilla leaders are meant to be buried in the traditional mausoleum in accordance with the people's customs, the location of his burial became controversial. Nakpaa-naa Salifu's rival, led by Naa Andani, asserted that Nakpaa-naa Salifu never died as a Bimbilla chief and that he should be buried in Nakpaa rather than Bimbilla. Nakpaa-naa Salifu's family maintained that he died as a Bimbilla chief and should be buried as such. On June 19, 2014, Naa Andani and three other people were killed during this standoff between the two families, and five more people were injured (Daily Graphic, Saturday, June 21, 2014:3-13 and The Ghanaian Times, Saturday, June 21, 2014:4).</w:t>
      </w:r>
    </w:p>
    <w:p w14:paraId="0CE176CC"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Pressure mounted on the National House of Chiefs to resolve the chieftaincy disputes as a result of the resurgence of hostilities and fighting in Bimbilla. The decision of the Judicial Committee of the Northern Regional House of Chiefs was maintained by the Judicial Committee of the National House of Chiefs on October 8, 2014, after the appeal was denied. By recognizing the late Naa Dassana Andani as the legitimate heir to the Bimbilla skin, this decision was meant to end the lengthy disputes over chieftaincy among the Bimbilla people. According to the verdict, Nyeliboligu-naa Yakubu Andani Dassana, the late Naa Dassana Andani's son, was enskinned as the regent following his father's burial and has since assumed the role of supreme chief, </w:t>
      </w:r>
      <w:bookmarkStart w:id="43" w:name="_Hlk159059161"/>
      <w:r w:rsidRPr="00E2630C">
        <w:rPr>
          <w:rFonts w:ascii="Times New Roman" w:hAnsi="Times New Roman" w:cs="Times New Roman"/>
          <w:color w:val="000000" w:themeColor="text1"/>
          <w:sz w:val="24"/>
          <w:szCs w:val="24"/>
        </w:rPr>
        <w:t xml:space="preserve">leading the country (Daily Graphic, Thursday, October 9, 2014:16). </w:t>
      </w:r>
      <w:bookmarkEnd w:id="43"/>
      <w:r w:rsidRPr="00E2630C">
        <w:rPr>
          <w:rFonts w:ascii="Times New Roman" w:hAnsi="Times New Roman" w:cs="Times New Roman"/>
          <w:color w:val="000000" w:themeColor="text1"/>
          <w:sz w:val="24"/>
          <w:szCs w:val="24"/>
        </w:rPr>
        <w:t>Although the family of the late Nakpaa-naa Salifu filed a motion of notice for leave at the Supreme Court on October 20, 2014, to appeal against the National House of Chiefs' judgment under Act 759, which was granted on February 26, 2015, some members of the Bimbilla community still struggled to recognize the regent's authority. The family does not understand why the regent is still in charge of Bimbilla and views appeals as a kind of stay of execution in chieftaincy cases. Because of this, on Thursday, July 9, 2015, a group of butchers in Bimbilla got into a fight with the regent's supporters over the butchers' refusal to acknowledge the regent's authority by following the long-standing custom of giving the regent their share of meat.</w:t>
      </w:r>
    </w:p>
    <w:p w14:paraId="40971520"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Four people were killed in the altercation, and over nine others were injured by gunshots. Approximately seventeen homes, motorcycles, and other items valued at hundreds of thousands of Ghana cedis were also set on fire (Daily Graphic, Friday, July 10, 2015; and the Ghanaian Times, Friday, July 10, 2015). Eight of the ten people who had been wounded in the clash had died, hence the number of dead in Bimbilla increased from four to twelve a day after it occurred (the Ghanaian Times; Saturday, </w:t>
      </w:r>
      <w:r w:rsidRPr="00E2630C">
        <w:rPr>
          <w:rFonts w:ascii="Times New Roman" w:hAnsi="Times New Roman" w:cs="Times New Roman"/>
          <w:color w:val="000000" w:themeColor="text1"/>
          <w:sz w:val="24"/>
          <w:szCs w:val="24"/>
        </w:rPr>
        <w:lastRenderedPageBreak/>
        <w:t>July 11, 2015). Nineteen people had died in the fighting, and many more had fled for their life when further dead bodies were discovered a few days later in a neighboring thicket in Bimbilla (Daily Graphic, Saturday, July 18, 2015).</w:t>
      </w:r>
    </w:p>
    <w:p w14:paraId="7F12479F"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curfew that was placed on Bimbilla Township from 4 p.m. to 6 a.m. on Friday, July 10, 2015, was reviewed by the Ministry of the Interior in response to the recurrent conflicts in Bimbilla (The Ghanaian Times Monday, July 13, 2015). Even after the assassinated chief, Naa Dassana Andani, was buried and a regent was enskinned, the society remains uneasyly peaceful for two reasons. First off, even though several suspects have been detained, the regicide's perpetrators remain at large. Second, despite multiple discussions, the location of Nakpaa-naa Salifu's burial has not been decided. Even after the government and other parties involved made an attempt to put an end to the disputes, the aforementioned remote causes remain unsolved.</w:t>
      </w:r>
    </w:p>
    <w:p w14:paraId="7B52A2EF"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These violent chieftaincy conflicts have had devastating effects, including the loss of life, the uprooting of population, the destruction of property, complete lawlessness leading to curfews—a tactic that violates people's fundamental human rights insecurity, and mistrust endangering the peace and stability of the entire country. Also, security personnel are often deployed to control such conflicts in the affected areas at a huge cost to the disadvantage of crucial developmental issues</w:t>
      </w:r>
      <w:r w:rsidRPr="00E2630C">
        <w:rPr>
          <w:rFonts w:ascii="Times New Roman" w:eastAsia="Times New Roman" w:hAnsi="Times New Roman" w:cs="Times New Roman"/>
          <w:color w:val="000000" w:themeColor="text1"/>
          <w:sz w:val="24"/>
          <w:szCs w:val="24"/>
        </w:rPr>
        <w:t xml:space="preserve"> (Prah &amp; Yeboah, 2011)</w:t>
      </w:r>
      <w:r w:rsidRPr="00E2630C">
        <w:rPr>
          <w:rFonts w:ascii="Times New Roman" w:hAnsi="Times New Roman" w:cs="Times New Roman"/>
          <w:color w:val="000000" w:themeColor="text1"/>
          <w:sz w:val="24"/>
          <w:szCs w:val="24"/>
        </w:rPr>
        <w:t>. Furthermore, as a result of these tensions, investors depart and public employees ask for transfers. Furthermore, community members declined to contribute labor for any development project because they were afraid of being associated with a certain chief.</w:t>
      </w:r>
    </w:p>
    <w:p w14:paraId="2C41948D"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Besides, these conflicts distract the youth and reduce farming activity (Belden, 2010b). Moreover, violent conflicts negatively affect the livelihoods of the people and also stifle development. For instance, resource mobilization and distribution are always </w:t>
      </w:r>
      <w:r w:rsidRPr="00E2630C">
        <w:rPr>
          <w:rFonts w:ascii="Times New Roman" w:hAnsi="Times New Roman" w:cs="Times New Roman"/>
          <w:color w:val="000000" w:themeColor="text1"/>
          <w:sz w:val="24"/>
          <w:szCs w:val="24"/>
        </w:rPr>
        <w:lastRenderedPageBreak/>
        <w:t>problematic since communities facing significant challenges of violent conflict, lose revenue (UNEP, 2012). More so, during conflicts, looting, and asset stripping often take center stage (UNIFTP A, 2012). The effects of conflicts are therefore enormous since the consequences of violent conflicts are always felt for many years after the conflicts stop and many of those who were chronically poor during the conflicts are likely to remain so during peace. For that matter, the end of violent conflicts is not the end of their cost.</w:t>
      </w:r>
    </w:p>
    <w:p w14:paraId="6AECA416" w14:textId="77777777" w:rsidR="00CD3724" w:rsidRPr="00E2630C" w:rsidRDefault="00CD3724" w:rsidP="0049497D">
      <w:pPr>
        <w:pStyle w:val="NoSpacing"/>
      </w:pPr>
    </w:p>
    <w:p w14:paraId="135FC90B" w14:textId="77777777" w:rsidR="00CD3724" w:rsidRPr="00E2630C" w:rsidRDefault="00CD3724" w:rsidP="0049497D">
      <w:pPr>
        <w:pStyle w:val="Heading2"/>
      </w:pPr>
      <w:bookmarkStart w:id="44" w:name="_Toc182386237"/>
      <w:r w:rsidRPr="00E2630C">
        <w:t>2.13 Chieftaincy succession in Nanun (Bimbilla)</w:t>
      </w:r>
      <w:bookmarkEnd w:id="44"/>
    </w:p>
    <w:p w14:paraId="5CB077F2"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succession rules in the Nanun kingdom are informal and as such not documented but kept through the oral tradition of the Nanumba. To no avail, however, attempts were made to codify the succession laws in Nanun during the colonial and post-colonial eras. For example, after the German colonial force defeated the Nanumba warriors in 1896, the Germans attempted to interfere with the succession laws and even deskinned one Bimbilla-Naa, but their attempts were unsuccessful as they misinterpreted the Nanun succession rules (Tonah, 2012). Once more, the British who followed the Germans attempted to codify and simplify the laws of succession. Throughout the post-colonial era, both civilian and military governments made the same unsuccessful attempt. Administrative pressure to codify their succession rules, streamline the succession, or do both in order to eliminate succession conflicts was placed on the Nanumba chiefs during the development of each of Ghana's four independent constitutions. However, the kingmakers "naakpamba" did not want the succession rules documented for the reason that it was sacred (Manboah-Rockson, 2007). The process of selecting the paramount chief in Bimbilla is lengthy and complex but unique involving something like a ‘promotion’. For instance, one can start, as a village chief and when there is a </w:t>
      </w:r>
      <w:r w:rsidRPr="00E2630C">
        <w:rPr>
          <w:rFonts w:ascii="Times New Roman" w:hAnsi="Times New Roman" w:cs="Times New Roman"/>
          <w:color w:val="000000" w:themeColor="text1"/>
          <w:sz w:val="24"/>
          <w:szCs w:val="24"/>
        </w:rPr>
        <w:lastRenderedPageBreak/>
        <w:t xml:space="preserve">vacancy in a higher skin, the individual can be moved up till he reaches the limit (Manboah-Rockson, 2007). </w:t>
      </w:r>
    </w:p>
    <w:p w14:paraId="78F66DA8"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There are three types of chiefs in Nanun: chiefships that are inherited, chiefships that are presented to people in appreciation for their prior contributions, and chiefships that are selected by God and the ancestors (provide source). Chiefs are selected in two methods. Soothsaying is used to select some chiefships (i.e., chosen by the ancestors and gods). Additionally, certain chiefships are awarded to individuals in recognition of prior services they have provided to the chiefship. The chiefships in Nanun that people vie for and purchase are those. So, the old-fashioned method is through soothsaying. </w:t>
      </w:r>
    </w:p>
    <w:p w14:paraId="20D9B1B5"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royal family is composed of the conventionally chosen and inherited leaders. They must be members of a lineage, and often, their grandfathers and forebears who were chiefs accede to the throne. In Nanun, chieftaincy functions similarly to a caste system, but it does not enslave individuals (Kallinen, 2004). Everybody comes into the world as part of a kin group that works. All of the competitors would go through the linguist to notify the regent of their desire to take the throne in the event of the death of a chief. Until his father's funeral is held, the regent the son of the deceased chief serves as chief (Kallinen, 2004). Would-be contestants would then approach the regent and his elders (kingmakers) and sometimes take gifts from them. The kingmakers in turn consult one anothe</w:t>
      </w:r>
      <w:r w:rsidR="00E6470D" w:rsidRPr="00E2630C">
        <w:rPr>
          <w:rFonts w:ascii="Times New Roman" w:hAnsi="Times New Roman" w:cs="Times New Roman"/>
          <w:color w:val="000000" w:themeColor="text1"/>
          <w:sz w:val="24"/>
          <w:szCs w:val="24"/>
        </w:rPr>
        <w:t>r to see who is most qualified. K</w:t>
      </w:r>
      <w:r w:rsidRPr="00E2630C">
        <w:rPr>
          <w:rFonts w:ascii="Times New Roman" w:hAnsi="Times New Roman" w:cs="Times New Roman"/>
          <w:color w:val="000000" w:themeColor="text1"/>
          <w:sz w:val="24"/>
          <w:szCs w:val="24"/>
        </w:rPr>
        <w:t xml:space="preserve">ingmakers "naakpamba" whose number is nine are crucial for the selection of the new Bimbilla-naa. They include Juo-naa, Gambuhu-naa, Jilo-naa, Chichahi-naa, Lanjiri-naa, Wulehi-naa, Dibsi-naa, Kpatihi-naa and Juali-naafi. With the exception of Kpatihi, they are all thought to be elders of the Bimbilla chief and live in the villages to the east and south of Bimbilla.  The kingmakers are not allowed to compete for the Bimbilla title, even though they enskin the Bimbilla-naa </w:t>
      </w:r>
      <w:r w:rsidRPr="00E2630C">
        <w:rPr>
          <w:rFonts w:ascii="Times New Roman" w:eastAsia="Times New Roman" w:hAnsi="Times New Roman" w:cs="Times New Roman"/>
          <w:color w:val="000000" w:themeColor="text1"/>
          <w:sz w:val="24"/>
          <w:szCs w:val="24"/>
        </w:rPr>
        <w:lastRenderedPageBreak/>
        <w:t>(Anamzoya &amp; Tonah, 2012)</w:t>
      </w:r>
      <w:r w:rsidRPr="00E2630C">
        <w:rPr>
          <w:rFonts w:ascii="Times New Roman" w:hAnsi="Times New Roman" w:cs="Times New Roman"/>
          <w:color w:val="000000" w:themeColor="text1"/>
          <w:sz w:val="24"/>
          <w:szCs w:val="24"/>
        </w:rPr>
        <w:t xml:space="preserve">. More revered and feared than the man they choose to be the new overlord are the kingmakers, who serve as the Electoral College </w:t>
      </w:r>
      <w:r w:rsidRPr="00E2630C">
        <w:rPr>
          <w:rFonts w:ascii="Times New Roman" w:eastAsia="Times New Roman" w:hAnsi="Times New Roman" w:cs="Times New Roman"/>
          <w:color w:val="000000" w:themeColor="text1"/>
          <w:sz w:val="24"/>
          <w:szCs w:val="24"/>
        </w:rPr>
        <w:t>(Anamzoya &amp; Tonah, 2012)</w:t>
      </w:r>
      <w:r w:rsidRPr="00E2630C">
        <w:rPr>
          <w:rFonts w:ascii="Times New Roman" w:hAnsi="Times New Roman" w:cs="Times New Roman"/>
          <w:color w:val="000000" w:themeColor="text1"/>
          <w:sz w:val="24"/>
          <w:szCs w:val="24"/>
        </w:rPr>
        <w:t xml:space="preserve">. The chief's funeral is followed by the selection of Nanun's overlord from the other gate. The skin is then offered to the qualified person by giving kola nut to the chosen person. For a prospective candidate to qualify to ascend the Bimbilla throne, he should be an occupant of any of the skin gates of Dakparn or Nakpaa. Moreover, the grandfather or father of the occupants of these two skin gates should have been former Bimbilla chiefs </w:t>
      </w:r>
      <w:r w:rsidRPr="00E2630C">
        <w:rPr>
          <w:rFonts w:ascii="Times New Roman" w:eastAsia="Times New Roman" w:hAnsi="Times New Roman" w:cs="Times New Roman"/>
          <w:color w:val="000000" w:themeColor="text1"/>
          <w:sz w:val="24"/>
          <w:szCs w:val="24"/>
        </w:rPr>
        <w:t>(Anamzoya &amp; Tonah, 2012)</w:t>
      </w:r>
      <w:r w:rsidRPr="00E2630C">
        <w:rPr>
          <w:rFonts w:ascii="Times New Roman" w:hAnsi="Times New Roman" w:cs="Times New Roman"/>
          <w:color w:val="000000" w:themeColor="text1"/>
          <w:sz w:val="24"/>
          <w:szCs w:val="24"/>
        </w:rPr>
        <w:t xml:space="preserve">. The narratives suggest that the history of Nanun had not been lost to the present generation and that the recent chieftaincy conflict between the late Naa Dassana and the late Nakpaa-naa Salifu was indeed not a case of unclear succession rules but manipulation of the undocumented succession rules because of greed and selfishness </w:t>
      </w:r>
      <w:r w:rsidRPr="00E2630C">
        <w:rPr>
          <w:rFonts w:ascii="Times New Roman" w:eastAsia="Times New Roman" w:hAnsi="Times New Roman" w:cs="Times New Roman"/>
          <w:color w:val="000000" w:themeColor="text1"/>
          <w:sz w:val="24"/>
          <w:szCs w:val="24"/>
        </w:rPr>
        <w:t>(Anamzoya &amp; Tonah, 2012)</w:t>
      </w:r>
      <w:r w:rsidRPr="00E2630C">
        <w:rPr>
          <w:rFonts w:ascii="Times New Roman" w:hAnsi="Times New Roman" w:cs="Times New Roman"/>
          <w:color w:val="000000" w:themeColor="text1"/>
          <w:sz w:val="24"/>
          <w:szCs w:val="24"/>
        </w:rPr>
        <w:t>.</w:t>
      </w:r>
    </w:p>
    <w:p w14:paraId="5A8320FA"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royal families are those that climb the chieftaincy hierarchy in Nanun. For example, a royal would start from a smaller chief, sub-chief, then to chief, then to divisional, then to gate skin. if the grandfather or father of such a person was a Bimbilla-naa, once he gets to the gate skin, he can become the overlord of Bimbilla. Great grandsons do not get as far as Bimbilla. Only direct grandsons or sons can become the overlords of Bimbilla (Marfo et al., 2019). The Nnumba only recognizes patrilineal descent. However, matrilineal succession is somehow present in Nanon. Certain skins are reserved for children of princesses and elder women. For instance, Ponaa in Nanun is reserved for women (provide source). </w:t>
      </w:r>
    </w:p>
    <w:p w14:paraId="739507CF"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Within the boundaries of the Bimbilla chieftaincy, the Bimbilla-naa appoints and enskins all of the village leaders, including his Kpatihi, the master of the Bimbilla court's rituals. This comprises the kingmakers "naakpamba" of Juo, Gambuhu, Jilo, Chichahi, Kukuo, Wulehi, Nakpayili, and Juali in addition to the chiefs of the sacred </w:t>
      </w:r>
      <w:r w:rsidRPr="00E2630C">
        <w:rPr>
          <w:rFonts w:ascii="Times New Roman" w:hAnsi="Times New Roman" w:cs="Times New Roman"/>
          <w:color w:val="000000" w:themeColor="text1"/>
          <w:sz w:val="24"/>
          <w:szCs w:val="24"/>
        </w:rPr>
        <w:lastRenderedPageBreak/>
        <w:t>villages of Dalaanyili, Binda, Nakpayili, and Duuni (Marfo et al., 2019). It also includes chiefs from the royal family or inhabitants of the two skin gates. The Bimbilla chief does not, however, have a one-way superordination relationship with the kingmakers, including the regional heads. On the other hand, Bimbilla-naa refer to any of the kingmaker's "naakpamba" as "n'yaba" (my grandfather), while on the other hand, they call the Bimbilla-naa "n'yanga" (my grandson). Every Bimbilla-naa is also expected to honor the significance of the four holy villages. Furthermore, the Bimbilla-naa must wear blindfolds and refrain from entering the village of Duuni, the site of Ngmantambu's alleged death, when they are in the vicinity (Marfo et al., 2019). Furthermore, the use of the terms "father" (m'ba) and "child" (m'bia) characterizes the relationship between the Bimbilla ruler and the commoner's "Tarma." Article 277 of the 1992 Ghanaian Constitution is followed in the choice of the overlord of Nanun.</w:t>
      </w:r>
    </w:p>
    <w:p w14:paraId="37598D1B" w14:textId="77777777" w:rsidR="00CD3724" w:rsidRPr="00E2630C" w:rsidRDefault="00CD3724" w:rsidP="00CD3724">
      <w:pPr>
        <w:pStyle w:val="NoSpacing"/>
        <w:rPr>
          <w:rFonts w:ascii="Times New Roman" w:hAnsi="Times New Roman" w:cs="Times New Roman"/>
          <w:color w:val="000000" w:themeColor="text1"/>
          <w:sz w:val="24"/>
          <w:szCs w:val="24"/>
        </w:rPr>
      </w:pPr>
    </w:p>
    <w:p w14:paraId="018716DC" w14:textId="77777777" w:rsidR="00CD3724" w:rsidRPr="00E2630C" w:rsidRDefault="00CD3724" w:rsidP="0049497D">
      <w:pPr>
        <w:pStyle w:val="Heading2"/>
      </w:pPr>
      <w:bookmarkStart w:id="45" w:name="_Toc182386238"/>
      <w:r w:rsidRPr="00E2630C">
        <w:t>2.14 Human Security</w:t>
      </w:r>
      <w:bookmarkEnd w:id="45"/>
    </w:p>
    <w:p w14:paraId="3684A56D" w14:textId="77777777" w:rsidR="00CD3724" w:rsidRPr="00E2630C" w:rsidRDefault="00E6470D" w:rsidP="00CD3724">
      <w:pPr>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w:t>
      </w:r>
      <w:r w:rsidR="00CD3724" w:rsidRPr="00E2630C">
        <w:rPr>
          <w:rFonts w:ascii="Times New Roman" w:hAnsi="Times New Roman" w:cs="Times New Roman"/>
          <w:color w:val="000000" w:themeColor="text1"/>
          <w:sz w:val="24"/>
          <w:szCs w:val="24"/>
        </w:rPr>
        <w:t xml:space="preserve">he term "human security" it is most commonly associated with the </w:t>
      </w:r>
      <w:r w:rsidRPr="00E2630C">
        <w:rPr>
          <w:rFonts w:ascii="Times New Roman" w:hAnsi="Times New Roman" w:cs="Times New Roman"/>
          <w:color w:val="000000" w:themeColor="text1"/>
          <w:sz w:val="24"/>
          <w:szCs w:val="24"/>
        </w:rPr>
        <w:t xml:space="preserve">United Nation </w:t>
      </w:r>
      <w:r w:rsidR="00CD3724" w:rsidRPr="00E2630C">
        <w:rPr>
          <w:rFonts w:ascii="Times New Roman" w:hAnsi="Times New Roman" w:cs="Times New Roman"/>
          <w:color w:val="000000" w:themeColor="text1"/>
          <w:sz w:val="24"/>
          <w:szCs w:val="24"/>
        </w:rPr>
        <w:t>Human Development R</w:t>
      </w:r>
      <w:r w:rsidRPr="00E2630C">
        <w:rPr>
          <w:rFonts w:ascii="Times New Roman" w:hAnsi="Times New Roman" w:cs="Times New Roman"/>
          <w:color w:val="000000" w:themeColor="text1"/>
          <w:sz w:val="24"/>
          <w:szCs w:val="24"/>
        </w:rPr>
        <w:t>eport dubbed Human Security</w:t>
      </w:r>
      <w:r w:rsidR="00CD3724"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t xml:space="preserve">(1994). </w:t>
      </w:r>
      <w:r w:rsidR="00CD3724" w:rsidRPr="00E2630C">
        <w:rPr>
          <w:rFonts w:ascii="Times New Roman" w:hAnsi="Times New Roman" w:cs="Times New Roman"/>
          <w:color w:val="000000" w:themeColor="text1"/>
          <w:sz w:val="24"/>
          <w:szCs w:val="24"/>
        </w:rPr>
        <w:t>The fundamental freedoms of the United Nations freedom from fear and freedom from want—are meant to be bridged by human security. The U.S. Secretary of State submitted the following findings from the San Francisco Conference to his administration as early as June 1945 as thus: "The peace struggle must be waged on two fronts." First, there is the security front, where winning means being free of terror. The second front is social and economic, where success equates to being free from poverty. The world can only be guaranteed a sustainable peace if all sides triumph (</w:t>
      </w:r>
      <w:r w:rsidRPr="00E2630C">
        <w:rPr>
          <w:rFonts w:ascii="Times New Roman" w:hAnsi="Times New Roman" w:cs="Times New Roman"/>
          <w:color w:val="000000" w:themeColor="text1"/>
          <w:sz w:val="24"/>
          <w:szCs w:val="24"/>
        </w:rPr>
        <w:t xml:space="preserve">cited in Brown, Halle, Moreno and Winkler, 2007:1).  </w:t>
      </w:r>
      <w:r w:rsidR="00CD3724" w:rsidRPr="00E2630C">
        <w:rPr>
          <w:rFonts w:ascii="Times New Roman" w:hAnsi="Times New Roman" w:cs="Times New Roman"/>
          <w:color w:val="000000" w:themeColor="text1"/>
          <w:sz w:val="24"/>
          <w:szCs w:val="24"/>
        </w:rPr>
        <w:t xml:space="preserve">This understanding of human security is consistent with the study's goal, which is to examine several important indicators in order to determine how </w:t>
      </w:r>
      <w:r w:rsidR="00CD3724" w:rsidRPr="00E2630C">
        <w:rPr>
          <w:rFonts w:ascii="Times New Roman" w:hAnsi="Times New Roman" w:cs="Times New Roman"/>
          <w:color w:val="000000" w:themeColor="text1"/>
          <w:sz w:val="24"/>
          <w:szCs w:val="24"/>
        </w:rPr>
        <w:lastRenderedPageBreak/>
        <w:t>chieftaincy conflict affects human security (economic security, food security, health security, environmental security, and community security).</w:t>
      </w:r>
    </w:p>
    <w:p w14:paraId="19CB2696" w14:textId="77777777" w:rsidR="00CD3724" w:rsidRPr="00E2630C"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Human Development Report was specifically designed to serve as a guide for the Social Summit in Copenhagen, which was anticipated to include a thorough examination of the peace dividend. The study addressed security issues head-on and highlighted their primary concern for people, anticipating their audience (Alkire, 2003). The investigation ultimately came to the conclusion that human security is defined as a child who does not die, an illness that does not spread, a job that is not lost, ethnic conflict that does not blow up violently, and a dissident who is not silenced. Human security is more about protecting human life and dignity than it is about having weapons. </w:t>
      </w:r>
    </w:p>
    <w:p w14:paraId="2193FB39" w14:textId="77777777" w:rsidR="00CD3724" w:rsidRPr="00E2630C" w:rsidRDefault="00CD3724" w:rsidP="0049497D">
      <w:pPr>
        <w:pStyle w:val="NoSpacing"/>
      </w:pPr>
      <w:r w:rsidRPr="00E2630C">
        <w:t xml:space="preserve"> </w:t>
      </w:r>
    </w:p>
    <w:p w14:paraId="45196C0F" w14:textId="77777777" w:rsidR="00CD3724" w:rsidRPr="00E2630C" w:rsidRDefault="00CD3724" w:rsidP="0049497D">
      <w:pPr>
        <w:pStyle w:val="Heading2"/>
      </w:pPr>
      <w:bookmarkStart w:id="46" w:name="_Toc182386239"/>
      <w:r w:rsidRPr="00E2630C">
        <w:t xml:space="preserve">2.15 Human Security and </w:t>
      </w:r>
      <w:r w:rsidR="00EC1BBA" w:rsidRPr="00E2630C">
        <w:t xml:space="preserve">National </w:t>
      </w:r>
      <w:r w:rsidRPr="00E2630C">
        <w:t>Security</w:t>
      </w:r>
      <w:bookmarkEnd w:id="46"/>
    </w:p>
    <w:p w14:paraId="7B5357AF" w14:textId="77777777" w:rsidR="00CD3724" w:rsidRPr="00E2630C" w:rsidRDefault="00CD3724" w:rsidP="00CD3724">
      <w:pPr>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Examining the connection between </w:t>
      </w:r>
      <w:r w:rsidR="00EC1BBA" w:rsidRPr="00E2630C">
        <w:rPr>
          <w:rFonts w:ascii="Times New Roman" w:hAnsi="Times New Roman" w:cs="Times New Roman"/>
          <w:color w:val="000000" w:themeColor="text1"/>
          <w:sz w:val="24"/>
          <w:szCs w:val="24"/>
        </w:rPr>
        <w:t xml:space="preserve">national </w:t>
      </w:r>
      <w:r w:rsidRPr="00E2630C">
        <w:rPr>
          <w:rFonts w:ascii="Times New Roman" w:hAnsi="Times New Roman" w:cs="Times New Roman"/>
          <w:color w:val="000000" w:themeColor="text1"/>
          <w:sz w:val="24"/>
          <w:szCs w:val="24"/>
        </w:rPr>
        <w:t>security and human security in detail is crucial. The fact that state security presumptions are widely incorporated into the UN's current organizational mandates and procedures is one of the main causes. Human security at the federal level depends on cooperation with state security forces, which is another important factor. Serious threats to state security also call for well-funded, forceful, and knowledgeable responses (Akinrinde, 2020). Human security could be a welcome addition to the state security framework, exploring and developing more recent topics that are already at the margins of security and bringing outside expertise to bear on matters that national security advisors are already aware of and concerned about. National security is defined narrowly as "protection of the nation's people and territories against physical assault" by Jordan Taylor and Mazaar in the 1999 version of the textbook American National Security, which is utilized at George Town University and West Point, among other institutions (Akinrinde, 2020).</w:t>
      </w:r>
    </w:p>
    <w:p w14:paraId="4757C56B" w14:textId="77777777" w:rsidR="00CD3724" w:rsidRPr="00E2630C" w:rsidRDefault="00CD3724" w:rsidP="00CD3724">
      <w:pPr>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However, even in this limited sense, national security encompasses more than just protection from physical damage; it also refers to safeguarding essential political and economic interests through a range of strategies, the loss of which could jeopardize the state's core principles and existence. More recently, the 2001 report of the Hart-Rudman Commission on U.S. National Security relates the material well-being of persons residing outside of the United States in addition to advocating for education investment as part of the national security policy. It suggested that the United States should work toward the global growth of material wealth and the eradication of poverty, within the bounds of what is reasonable and realistic. Additionally, it ought to support individual liberty, freedom of expression and thinking, and political plurality. These objectives are not merely practical goals, but they are also goals that are inherent in American principles. Although the report's conclusion states that there are no assurances against evil and violence in the world, it does support the idea that the advancement of human rights and the pursuit of basic material well-being serves as a strong barrier against these things.</w:t>
      </w:r>
    </w:p>
    <w:p w14:paraId="0D3D62A1" w14:textId="77777777" w:rsidR="00CD3724" w:rsidRPr="00E2630C"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iCs/>
          <w:color w:val="000000" w:themeColor="text1"/>
          <w:sz w:val="24"/>
          <w:szCs w:val="24"/>
        </w:rPr>
        <w:t xml:space="preserve">The introduction of adjectives like "common," "collective," and "global" to alter the term "security" also reflects the expanding scope of state security (Kurtus, 2022). "Inclusive of but extending beyond the human dimensions of military conflict incorporating health and population dimensions of political, ethnic, economic, and environmental security as well," is how the Common Security Forum defined common security (Alkire, 2003). "Refers to a system in which each state in the system accepts that the security of one is the concern of all, and agrees to join in a collective response to aggression," is how the United Nations Charter defines collective security. Global security "must be broadened from its traditional focus on the security of states to include </w:t>
      </w:r>
      <w:r w:rsidRPr="00E2630C">
        <w:rPr>
          <w:rFonts w:ascii="Times New Roman" w:hAnsi="Times New Roman" w:cs="Times New Roman"/>
          <w:iCs/>
          <w:color w:val="000000" w:themeColor="text1"/>
          <w:sz w:val="24"/>
          <w:szCs w:val="24"/>
        </w:rPr>
        <w:lastRenderedPageBreak/>
        <w:t>the security of people and the planet," according to the Commission on Global Governance (Akinrinde, 2020).</w:t>
      </w:r>
    </w:p>
    <w:p w14:paraId="06FD7C47" w14:textId="77777777" w:rsidR="00EC1BBA" w:rsidRPr="00E2630C"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These instances of a more comprehensive agenda in security studies are not singular occurrences.  Three modifications are found after a careful analysis of the body of work published in the international relations publication that receives the highest citations. First, there are a lot more "fundamental" questions concerning the different security configurations that are on the agenda. For instance, is it time to shift to a scenario of competition between a different group of powers, or would a system of collective security be desirable or feasible? (Fernández-Aballí, 2016). The agenda of human security also brings up fundamental questions regarding the nature of the international order, since local and regional groups, as well as non-governmental organizations, are taking up security-related issues and because international institutions may be the ideal place to handle some of the global challenges to human security. Security studies now have a fresh and full agenda (Newman, 2010) which is the second change. The instruments being discussed are more diverse, and the agenda is less Eurocentric. The national security literature itself is moving toward human security as a result of this contentious but noticeable expansion. It is "a more scholarly agenda," to sum up. </w:t>
      </w:r>
    </w:p>
    <w:p w14:paraId="459575B3" w14:textId="77777777" w:rsidR="00CD3724" w:rsidRPr="00E2630C"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This is a reflection of the growing need shared by human security for a robust conceptual framework and a well-defined methodology to effectively manage the proliferation of pertinent institutions and security objectives. Since human security </w:t>
      </w:r>
      <w:r w:rsidR="00610DEB" w:rsidRPr="00E2630C">
        <w:rPr>
          <w:rFonts w:ascii="Times New Roman" w:hAnsi="Times New Roman" w:cs="Times New Roman"/>
          <w:color w:val="000000" w:themeColor="text1"/>
          <w:sz w:val="24"/>
          <w:szCs w:val="24"/>
        </w:rPr>
        <w:t xml:space="preserve">– security of individual </w:t>
      </w:r>
      <w:r w:rsidRPr="00E2630C">
        <w:rPr>
          <w:rFonts w:ascii="Times New Roman" w:hAnsi="Times New Roman" w:cs="Times New Roman"/>
          <w:color w:val="000000" w:themeColor="text1"/>
          <w:sz w:val="24"/>
          <w:szCs w:val="24"/>
        </w:rPr>
        <w:t xml:space="preserve">is crucial to maintaining </w:t>
      </w:r>
      <w:r w:rsidR="00610DEB" w:rsidRPr="00E2630C">
        <w:rPr>
          <w:rFonts w:ascii="Times New Roman" w:hAnsi="Times New Roman" w:cs="Times New Roman"/>
          <w:color w:val="000000" w:themeColor="text1"/>
          <w:sz w:val="24"/>
          <w:szCs w:val="24"/>
        </w:rPr>
        <w:t>national security – security of the state. T</w:t>
      </w:r>
      <w:r w:rsidRPr="00E2630C">
        <w:rPr>
          <w:rFonts w:ascii="Times New Roman" w:hAnsi="Times New Roman" w:cs="Times New Roman"/>
          <w:color w:val="000000" w:themeColor="text1"/>
          <w:sz w:val="24"/>
          <w:szCs w:val="24"/>
        </w:rPr>
        <w:t>he state suffers more from the continuing developments in conceptions and attention to national security than from the human security agenda.</w:t>
      </w:r>
    </w:p>
    <w:p w14:paraId="11D13FED" w14:textId="77777777" w:rsidR="00CD3724" w:rsidRPr="00E2630C" w:rsidRDefault="00CD3724" w:rsidP="00CD3724">
      <w:pPr>
        <w:pStyle w:val="NoSpacing"/>
        <w:rPr>
          <w:rFonts w:ascii="Times New Roman" w:hAnsi="Times New Roman" w:cs="Times New Roman"/>
          <w:color w:val="000000" w:themeColor="text1"/>
          <w:sz w:val="24"/>
          <w:szCs w:val="24"/>
        </w:rPr>
      </w:pPr>
    </w:p>
    <w:p w14:paraId="238E3028" w14:textId="77777777" w:rsidR="00CD3724" w:rsidRPr="00E2630C" w:rsidRDefault="00CD3724" w:rsidP="00CD3724">
      <w:pPr>
        <w:pStyle w:val="NoSpacing"/>
        <w:rPr>
          <w:rFonts w:ascii="Times New Roman" w:hAnsi="Times New Roman" w:cs="Times New Roman"/>
          <w:color w:val="000000" w:themeColor="text1"/>
          <w:sz w:val="24"/>
          <w:szCs w:val="24"/>
        </w:rPr>
      </w:pPr>
    </w:p>
    <w:p w14:paraId="20DA25D5" w14:textId="77777777" w:rsidR="00CD3724" w:rsidRPr="00E2630C" w:rsidRDefault="00CD3724" w:rsidP="0049497D">
      <w:pPr>
        <w:pStyle w:val="Heading2"/>
      </w:pPr>
      <w:bookmarkStart w:id="47" w:name="_Toc182386240"/>
      <w:r w:rsidRPr="00E2630C">
        <w:lastRenderedPageBreak/>
        <w:t>2.16 Human Security and Human Development</w:t>
      </w:r>
      <w:bookmarkEnd w:id="47"/>
    </w:p>
    <w:p w14:paraId="6BEA11CD" w14:textId="77777777" w:rsidR="00CD3724" w:rsidRPr="00E2630C" w:rsidRDefault="00CD3724" w:rsidP="00CD3724">
      <w:pPr>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Human development is a comprehensive term that describes the process of giving individuals more options or capacities, not only in terms of money but also in terms of their health, education, career opportunities, and the environment. The human development school, which Haq referred to as the "most holistic" of all development theories, was founded in the 1990s as an outgrowth of earlier movements opposing the prevailing paradigm of economic development, which had as its primary goal the maximization of economic growth (Alkire, 2003). It was maintained that expansion alone was insufficient as an objective because it may coexist with less desirable conditions like extreme poverty, political oppression, or environmental destruction. There has been a strong history of more than thirty years of alternatives to economic growth as the main driver of development </w:t>
      </w:r>
      <w:r w:rsidRPr="00E2630C">
        <w:rPr>
          <w:rFonts w:ascii="Times New Roman" w:eastAsia="Times New Roman" w:hAnsi="Times New Roman" w:cs="Times New Roman"/>
          <w:color w:val="000000" w:themeColor="text1"/>
          <w:sz w:val="24"/>
          <w:szCs w:val="24"/>
        </w:rPr>
        <w:t>(Anamzoya &amp; Tonah, 2012)</w:t>
      </w:r>
      <w:r w:rsidRPr="00E2630C">
        <w:rPr>
          <w:rFonts w:ascii="Times New Roman" w:hAnsi="Times New Roman" w:cs="Times New Roman"/>
          <w:color w:val="000000" w:themeColor="text1"/>
          <w:sz w:val="24"/>
          <w:szCs w:val="24"/>
        </w:rPr>
        <w:t>. In 1970, seers declared that GNP per capita would no longer be used to gauge development. Brundenius (2013) highlighted the necessity of growth with equity, or redistribution with growth, which is achieved by raising the productivity of the underprivileged. Following this, the basic needs strategy emerged, aiming to give the impoverished a life that was at least respectable. Some of the elements of this existence included employment, housing, health care, and literacy (Brundenius, 2013).</w:t>
      </w:r>
    </w:p>
    <w:p w14:paraId="0DB9D2DF" w14:textId="77777777" w:rsidR="00CD3724" w:rsidRPr="00E2630C"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basic human needs approach gave rise to the broad goals of human development, which could be applied to every nation, regardless of where it was on the spectrum for prosperity or poverty, stability or crime, peace or conflict or war. According to human development, economic progress or any other state of affairs should not be seen as ends in and of themselves; rather, people and their well-being should be the primary emphasis of socioeconomic policies. The human development method is not restricted to these sectors; rather, it emphasizes on human choice and freedom. The Human </w:t>
      </w:r>
      <w:r w:rsidRPr="00E2630C">
        <w:rPr>
          <w:rFonts w:ascii="Times New Roman" w:hAnsi="Times New Roman" w:cs="Times New Roman"/>
          <w:color w:val="000000" w:themeColor="text1"/>
          <w:sz w:val="24"/>
          <w:szCs w:val="24"/>
        </w:rPr>
        <w:lastRenderedPageBreak/>
        <w:t>Development Index, a well-known by-product of this approach, specifically includes health and education in addition to income. Expanding one's options is a process of human development. Human functioning and skills must be expanded in order to increase people's options (HDI, 2010). The drive to emphasize the value of dignity, esteem, and other non-material aspects of life also led to a shift in development goals from alleviating material poverty and meeting fundamental requirements to "giving people choices" (Persaud, 2016). In contrast to Maslow's conception of a hierarchy of requirements, non-basic products and services are consumed by individuals who lack basic physiological demands. In fact, there are non-material values like cultural customs or identity—that may seem to take precedence over necessities like a place to live. Keenan (2023) uses the Bedouins of the Sahara as an example, who despise people who have too many ties tying them down to be able to wander around freely.</w:t>
      </w:r>
    </w:p>
    <w:p w14:paraId="2CDB6FFB" w14:textId="77777777" w:rsidR="00CD3724" w:rsidRPr="00E2630C"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In reality, NGOs, UN agencies, universities, and other development institutions have all worked on projects that are motivated by the human development approach, both at the community and policy levels. However, the term "human development" is not often used to describe the "content" of the approach, which is multifaceted and focuses on giving choices (Field Survey, 2022). The World Bank focuses its multifaceted, community-based work on empowering people or reducing poverty (human development refers to institutional efforts as well as initiatives in the health and education sectors). However, the research compared human security with the UNDP's idea of human development. After reading this synopsis of human development, it should be clear that human development and human security share four basic viewpoints: they are multifaceted, people-centered, have broad ideas about long-term human fulfillment, and deal with chronic poverty (Alkire, 2003).</w:t>
      </w:r>
    </w:p>
    <w:p w14:paraId="7963C825" w14:textId="77777777" w:rsidR="00CD3724" w:rsidRPr="00E2630C"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First, individuals are at the center of both human progress and human security. They both recognize humans as "ends" rather than "means." Due to the possibility that these technological advancements will coincide with extremely unfavorable conditions, this emphasis has led to a challenge to prevailing paradigms that view instrumental or technical successes (such as economic growth or national security) as a means to a goal (Alkire, 2003). Furthermore, "bottom-up" human agency is not taken into account by the prevalent paradigms (because seeing people as ends implies understanding them as both objects and agents). Criticism of the prevailing paradigm has not been without controversy in both situations. Although the logic (of "people-centered-ness") may seem straightforward, there has been a significant and ongoing effort in the development and security communities to convey the significance, usefulness, and relevance of looking beyond purely instrumental or technical considerations (Alkire, 2003).</w:t>
      </w:r>
    </w:p>
    <w:p w14:paraId="04023D17" w14:textId="77777777" w:rsidR="00CD3724" w:rsidRPr="00E2630C"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Second, achieving human security and development requires a multifaceted, multisectoral approach. Both deal with people's material and bodily needs as well as their dignity. Success is measured in ways other than readiness and money. This scope complicates the methods and raises an important question about priority-setting. At the same time, both the human security and human development methods are able to continuously adjust to new situations and new dangers since they explicitly include the responsibility of discussing and determining priorities (even in the face of disagreement). Thirdly, regardless of a society's wealth or poverty, its composition of craftsmen, farmers, or refugees, human development offers the "broad picture" long-term goal of human fulfillment (Nicol, 2016). Although the human security approach seeks a more focused goal, both approaches share this overarching goal (Amin, 2016). One way to restate the working definition of human security is to say "in a manner that </w:t>
      </w:r>
      <w:r w:rsidRPr="00E2630C">
        <w:rPr>
          <w:rFonts w:ascii="Times New Roman" w:hAnsi="Times New Roman" w:cs="Times New Roman"/>
          <w:color w:val="000000" w:themeColor="text1"/>
          <w:sz w:val="24"/>
          <w:szCs w:val="24"/>
        </w:rPr>
        <w:lastRenderedPageBreak/>
        <w:t xml:space="preserve">is consistent with long-term human development," rather than "in a manner that is consistent with the long-term human fulfilment." Furthermore, both human security and human development deal with persistent poverty. In other words, human development is a vast field that applies to both wealthy and underprivileged individuals as well as societies. However, the human development method overlaps with and may become confused with human security when it is applied to disadvantaged individuals who already experience chronic insecurity over their food, health, or means of subsistence. The participation-based human development and chronic poor/insecure human security procedures are likely to identify and prioritize the same capabilities for this subgroup of people. Furthermore, similar kinds of policy recommendations like those pertaining to press freedom, females' education, and preventative healthcare are probably going to surface (HDI, 2010). Additionally, there are certain distinctions between human progress and human security. Human security is severely circumscribed, which is the fundamental distinction between it and human progress. A group of fundamental skills make up the "vital core" that characterizes human security. The provision of essential capabilities to every individual equitably, rather than the unrestricted increase of all capacities, is the aim of human security. In contrast, human development is more comprehensive and involves issues that go beyond the fundamentals. While human security encompasses a narrowly defined subset of issues related to human development as well as additional problems regarding "downturn" that have not been prioritized by human development, it also leaves out a large portion of human development as falling outside of its purview (Nicol, 2016). </w:t>
      </w:r>
    </w:p>
    <w:p w14:paraId="64EE4264" w14:textId="77777777" w:rsidR="00CD3724" w:rsidRPr="00E2630C"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human security paradigm directly addresses dangers like violence and economic slump, which is the second difference. It acknowledges that wars, whether domestic or foreign, are a genuine possibility and that investing intentionally in conflict avoidance </w:t>
      </w:r>
      <w:r w:rsidRPr="00E2630C">
        <w:rPr>
          <w:rFonts w:ascii="Times New Roman" w:hAnsi="Times New Roman" w:cs="Times New Roman"/>
          <w:color w:val="000000" w:themeColor="text1"/>
          <w:sz w:val="24"/>
          <w:szCs w:val="24"/>
        </w:rPr>
        <w:lastRenderedPageBreak/>
        <w:t>is crucial. With a few noteworthy exceptions, such as the desire to stop soil degradation and climate change, human growth has primarily centered on fostering advancement (Nicol, 2016). It has been implied that preparedness for the majority of large-scale dangers, such as invasion and hyperinflation, is "beyond the mandate" of human civilization. Persaud (2016) stated that human security aims to achieve "downturn with security," whereas the main goal of human development has been "growth with equity." In other words, human security policies carefully anticipate dangers, regardless of their source, and work to build the skills needed to stop, lessen, or handle threats that might compromise people's basic needs. Protecting the environment, preventing AIDS, famine, establishing social safety nets, and social security are important subsets of human security issues that are related to "preventative" human development. However, human security explicitly prioritizes defense against other serious and widespread dangers including terrorism and emerging insecurity (Amin, 2016).</w:t>
      </w:r>
    </w:p>
    <w:p w14:paraId="2375E885" w14:textId="17179E8E" w:rsidR="00CD3724"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Their time horizons represent a third distinction between human development and human security. When it comes to human growth, a great deal of work goes into creating institutions, developing capacity, and taking additional steps to ensure that activities are long-lasting. Human security would often take a similar stance, but some of its initiatives happen quickly and without involvement. As the talks of early-warning systems for conflict prevention show, institution-building is a focus of both human security and human development approaches. But while no nation is completely safe from earthquakes, floods, or tornadoes, some of the emergency relief work that human security requires is not covered by the human development approach, which aims for more long-lasting transformation. Therefore, there are differences between the notions of human security and human development in terms of their scope (HS is narrower), emphasis on prevention (HS is significantly more), and time horizon (HS may be </w:t>
      </w:r>
      <w:r w:rsidRPr="00E2630C">
        <w:rPr>
          <w:rFonts w:ascii="Times New Roman" w:hAnsi="Times New Roman" w:cs="Times New Roman"/>
          <w:color w:val="000000" w:themeColor="text1"/>
          <w:sz w:val="24"/>
          <w:szCs w:val="24"/>
        </w:rPr>
        <w:lastRenderedPageBreak/>
        <w:t>relatively short). In turn, these variations have an impact on the range of academic fields and organizational structures that are pertinent to human security as opposed to human development (Schneider, 2018).</w:t>
      </w:r>
    </w:p>
    <w:p w14:paraId="002A69A4" w14:textId="77777777" w:rsidR="0049497D" w:rsidRPr="00E2630C" w:rsidRDefault="0049497D" w:rsidP="0049497D">
      <w:pPr>
        <w:pStyle w:val="NoSpacing"/>
      </w:pPr>
    </w:p>
    <w:p w14:paraId="7D660942" w14:textId="77777777" w:rsidR="00CD3724" w:rsidRPr="00E2630C" w:rsidRDefault="00CD3724" w:rsidP="0049497D">
      <w:pPr>
        <w:pStyle w:val="Heading2"/>
      </w:pPr>
      <w:bookmarkStart w:id="48" w:name="_Toc182386241"/>
      <w:r w:rsidRPr="00E2630C">
        <w:t>2.17 Human Security and Human Rights</w:t>
      </w:r>
      <w:bookmarkEnd w:id="48"/>
      <w:r w:rsidRPr="00E2630C">
        <w:t xml:space="preserve">  </w:t>
      </w:r>
    </w:p>
    <w:p w14:paraId="4E7E2C1A" w14:textId="77777777" w:rsidR="00CD3724" w:rsidRPr="00E2630C" w:rsidRDefault="00CD3724" w:rsidP="00CD3724">
      <w:pPr>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concept of human rights has gained widespread acceptance as a normative framework for foreign policy and international relations. The fundamental idea behind human rights that there are some "rights" that are inalienable to all people was not discovered recently. For instance, Fray Francesco de Vitoria, a Spanish Dominican, contended against strong opposition that Indians and Spaniards were equal human beings in his writings about the suffering of American Indians under colonial control in the early 16th century. He highlighted that the fundamental unity of the human race should not be destroyed or weakened by characteristic distinctions, including customs and manners (Schneider, 2018). Vitoria went on to say that regardless of prevailing domestic laws or conventional beliefs, some acts, like cannibalism, could be lawfully prohibited or abolished. Hugo Grotius also fought for the universality and moral power of human rights during Europe's Thirty-Years War in the early 17th century, and this idea was reflected in France's 1789 statement on the rights of human beings (Schneider, 2018). Human rights have a different history in various areas.</w:t>
      </w:r>
    </w:p>
    <w:p w14:paraId="596EB67D" w14:textId="77777777" w:rsidR="00CD3724" w:rsidRPr="00E2630C" w:rsidRDefault="00CD3724" w:rsidP="00CD3724">
      <w:pPr>
        <w:pStyle w:val="NoSpacing"/>
        <w:rPr>
          <w:rFonts w:ascii="Times New Roman" w:hAnsi="Times New Roman" w:cs="Times New Roman"/>
          <w:color w:val="000000" w:themeColor="text1"/>
          <w:sz w:val="24"/>
          <w:szCs w:val="24"/>
        </w:rPr>
      </w:pPr>
    </w:p>
    <w:p w14:paraId="075BB979" w14:textId="77777777" w:rsidR="00CD3724" w:rsidRPr="00E2630C" w:rsidRDefault="00CD3724" w:rsidP="00CD3724">
      <w:pPr>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Human rights considerations have been introduced and normalized in foreign policy as a result of human rights treaties. Fifty years ago, the charge of human rights violations by a government would hardly have made the perpetrators shudder, but today even previously unaccountable figures like Pinochet, Milosevic, and Sankoh are on trial. Public challenges to human rights typically focus on "which rights" should be prioritized rather than whether or not human rights issues are ever relevant, notwithstanding criticisms from those who question the universality of these rights </w:t>
      </w:r>
      <w:r w:rsidRPr="00E2630C">
        <w:rPr>
          <w:rFonts w:ascii="Times New Roman" w:hAnsi="Times New Roman" w:cs="Times New Roman"/>
          <w:color w:val="000000" w:themeColor="text1"/>
          <w:sz w:val="24"/>
          <w:szCs w:val="24"/>
        </w:rPr>
        <w:lastRenderedPageBreak/>
        <w:t>(Aranda, 2016). Human rights and human security deal with the complicated issues of poverty and violence. Basic requirements include employment, education, food, self-determination, and healthcare are covered by the international bill of human rights. The same charter of rights forbids direct killing, enslavement, torture, and discrimination based on race or religion. Additionally, a different convention forbids the genocide. Human security and human rights attempt to identify, defend, and promote essential aspects of human life from "freedom from fear" and "freedom from want" (Aranda, 2016). The human rights community has frequently concealed this natural link between the two facets of human security in practice, which makes it significant. Cold war pressures forced a separation between "first generation" civil and political rights (associated with the US and its allies) and "second generation" economic, social, and cultural rights (associated with the USSR and its allies), which is why the declaration was incorporated into the International Covenants on Human Rights in 1966. Rights belonging to the third and fourth generations were also present, including the right to peace and collective rights. The vast divide between the various rights was a reflection of ideological priorities. In the years following the Cold War, the human rights community has focused on bridging this gap and bringing disparate generations of rights back together. This stance is strengthened by human security, which organically reintroduces the "indivisibility" of several human rights. Rights of both the first and second generations naturally emerge as fundamentally vital when the conceptual focus is on the human being, and when it is not burdened by negative history from the Cold War (Nef, 1999). Human security "opens human rights in a fresh screen, and the problematic division is not there anymore," as one professor from Japan put it (Alkire, 2003). Therefore, the reason or subject matter of human security and human rights differs from each other.</w:t>
      </w:r>
    </w:p>
    <w:p w14:paraId="64E70530" w14:textId="77777777" w:rsidR="00CD3724" w:rsidRPr="00E2630C" w:rsidRDefault="00CD3724" w:rsidP="00CD3724">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Human security and human rights are related in that they deal with questions of obligation or duty.  Various human rights theories provide different justifications for this obligation. Additionally, the lack of institutional authority to enforce human rights obligations has limited the impact of human rights, although this is beginning to change with the establishment of international criminal tribunals and the planned international criminal court (Ackerly, 2018). Nonetheless, governments and other establishments assert that they have a responsibility to uphold human rights, be they absolute rights or rights shared by accountable parties, or flawed duties toward those who are able to assist, appealing to their shared humanity and solidarity. The phrase "human security" may imply that responsibilities are not as closely related to it. The idea that human security is a continuation of national security, which is, in part, voluntary stated and performed by a concerned Government, may contribute to this notion. On the other hand, human rights are constantly focused on the related obligations of third parties (Ackerly, 2018). However, human security must also have an obligation: if the local groups are in disarray and the national government is ineffective, then some international group must take responsibility for safeguarding the essential population core. This is necessary if human security is to serve as a common platform for national, international, and local groups to coordinate their efforts. In this way, the inherent sense of moral obligation enriches human security concerns when they are "hitched onto the human rights vocabulary" (Ackerly, 2018). Therefore, in some ways, human rights offer a more fundamental framework of obligations that apply to everyone, while human security specifically refers to a particular subset of those requirements. In such a scenario, how human security is to be anchored on the larger human rights framework becomes a question. Naturally, there may be advantages to this as well. </w:t>
      </w:r>
    </w:p>
    <w:p w14:paraId="6E7FBCAD" w14:textId="255F3AB5" w:rsidR="00CD3724" w:rsidRPr="00E2630C" w:rsidRDefault="00610DEB" w:rsidP="0049497D">
      <w:pPr>
        <w:pStyle w:val="Heading2"/>
      </w:pPr>
      <w:bookmarkStart w:id="49" w:name="_Toc182386242"/>
      <w:r w:rsidRPr="00E2630C">
        <w:lastRenderedPageBreak/>
        <w:t xml:space="preserve">2.18 </w:t>
      </w:r>
      <w:r w:rsidR="00CD3724" w:rsidRPr="00E2630C">
        <w:t>Conflicts and human security challenges</w:t>
      </w:r>
      <w:bookmarkEnd w:id="49"/>
    </w:p>
    <w:p w14:paraId="35763993"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Armed conflict is a good measure of the level of human security since it has posed a serious and direct threat to many people worldwide ever since the two World Wars. A study conducted from 1946 to 2001 found 225 instances of armed warfare. Of these, 163 involved internal disputes that resulted in confrontations between the state's opposition parties and the government without the intervention of foreign states (DeRouen &amp; Heo, 2007). Indeed, in Syria over 1,000 separate militias have been identified, and in Libya as many as 2,000(SIPRI, 2018). Global security "has deteriorated markedly in the past decade," according to a 2018 report from the Stockholm International Peace study Institute (SIPRI), an international organization devoted to study into war, armaments, arms control, and disarmament. As the cold war was ending, there has been an upsurge in armed conflicts this decade, with the number of conflicts rising each year and reaching levels similar to those of the early 1990s. Furthermore, the flexible and frequently chaotic nature of fighting has undermined human security in many places. Every battle has seen an increase in the number of armed organizations involved; on average, this has increased from eight in 1950 to 14 in 2010 intrastate conflicts.</w:t>
      </w:r>
    </w:p>
    <w:p w14:paraId="138B98A4"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There were 52 active state-based armed conflicts in 2018, up from 50 in 2017, according to the Uppsala Conflict Data Programme (UCDP), the oldest continuous data gathering effort for civil war and the world's primary source of information on organized violence. Since 2014, there have been more armed conflicts than there have been since 1946. Over 50 ongoing confrontations were recorded by the UCDP for the fourth year in a row. The only year with numbers as high before 2014 was 1991, when there were 52 confrontations. The Islamic State's (IS, also known as the Islamic State of Iraq and Syria, or ISIS) expansion outside of Iraq, where it began, was a major factor </w:t>
      </w:r>
      <w:r w:rsidRPr="00E2630C">
        <w:rPr>
          <w:rFonts w:ascii="Times New Roman" w:eastAsia="Times New Roman" w:hAnsi="Times New Roman" w:cs="Times New Roman"/>
          <w:color w:val="000000" w:themeColor="text1"/>
          <w:sz w:val="24"/>
          <w:szCs w:val="24"/>
          <w:lang w:eastAsia="en-GB"/>
        </w:rPr>
        <w:lastRenderedPageBreak/>
        <w:t xml:space="preserve">in this trend. Compared to 16 state-based armed confrontations in 2017, IS was involved in 12 in 2018. Out of the 50 intrastate battles, 18 of them involved the involvement of foreign forces who backed one or both sides. There were six conflicts that at least 1,000 people died in battle. These battles were considered to be at war. This was the lowest number since 2013 and a fall of four from 2017. The decrease was consistent with a notable decrease in battle-related fatalities in 2018. With slightly over 53,000 deaths, the total has dropped from over 104,000 in 2014, the peak year, by over 50%, and by 21% from 2017 </w:t>
      </w:r>
      <w:r w:rsidRPr="00E2630C">
        <w:rPr>
          <w:rFonts w:ascii="Times New Roman" w:eastAsia="Times New Roman" w:hAnsi="Times New Roman" w:cs="Times New Roman"/>
          <w:color w:val="000000" w:themeColor="text1"/>
          <w:sz w:val="24"/>
          <w:szCs w:val="24"/>
        </w:rPr>
        <w:t>(Pettersson &amp; Eck, 2018)</w:t>
      </w:r>
      <w:r w:rsidRPr="00E2630C">
        <w:rPr>
          <w:rFonts w:ascii="Times New Roman" w:eastAsia="Times New Roman" w:hAnsi="Times New Roman" w:cs="Times New Roman"/>
          <w:color w:val="000000" w:themeColor="text1"/>
          <w:sz w:val="24"/>
          <w:szCs w:val="24"/>
          <w:lang w:eastAsia="en-GB"/>
        </w:rPr>
        <w:t>.</w:t>
      </w:r>
    </w:p>
    <w:p w14:paraId="6D6B960E"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In 2018, there were only two state-based conflicts that were interstate: the border dispute between India and Pakistan and the newly-activated conflict between Iran and Israel </w:t>
      </w:r>
      <w:r w:rsidRPr="00E2630C">
        <w:rPr>
          <w:rFonts w:ascii="Times New Roman" w:eastAsia="Times New Roman" w:hAnsi="Times New Roman" w:cs="Times New Roman"/>
          <w:color w:val="000000" w:themeColor="text1"/>
          <w:sz w:val="24"/>
          <w:szCs w:val="24"/>
        </w:rPr>
        <w:t>(Pettersson &amp; Eck, 2018)</w:t>
      </w:r>
      <w:r w:rsidRPr="00E2630C">
        <w:rPr>
          <w:rFonts w:ascii="Times New Roman" w:eastAsia="Times New Roman" w:hAnsi="Times New Roman" w:cs="Times New Roman"/>
          <w:color w:val="000000" w:themeColor="text1"/>
          <w:sz w:val="24"/>
          <w:szCs w:val="24"/>
          <w:lang w:eastAsia="en-GB"/>
        </w:rPr>
        <w:t>. Still, there are tensions between states that might lead to war. The frequently tense relationship between North and South Korea is evidence of this. Pyongyang conducted its sixth nuclear test in 2017, which caused tensions to spike especially high. North Korea apparently carried with its nuclear development in spite of a June 2018 meeting between US President Donald J. Trump and North Korean leader Kim Jong-un. When Pyongyang refused to agree to nuclear disarmament in exchange for the relaxation of economic sanctions, another conference in February 2019 ended in failure. Despite Trump's brief visit to the North in June 2019, there is still uncertainty regarding the long-term settlement of hostilities. In recent years, the US-China rivalry and tensions over various territorial claims and freedom of navigation operations in the South China Sea have escalated.</w:t>
      </w:r>
    </w:p>
    <w:p w14:paraId="5368860E"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Armed non-state conflicts also happen. In these, two organized groups such as rebel groups or ethnic groups neither of which is the state government use military force against one another. Rebel organizations and other formally organized groups engage </w:t>
      </w:r>
      <w:r w:rsidRPr="00E2630C">
        <w:rPr>
          <w:rFonts w:ascii="Times New Roman" w:eastAsia="Times New Roman" w:hAnsi="Times New Roman" w:cs="Times New Roman"/>
          <w:color w:val="000000" w:themeColor="text1"/>
          <w:sz w:val="24"/>
          <w:szCs w:val="24"/>
          <w:lang w:eastAsia="en-GB"/>
        </w:rPr>
        <w:lastRenderedPageBreak/>
        <w:t xml:space="preserve">in combat in several of these wars. The Sudan People's Liberation Movement/Army and the Lord's Resistance Army have engaged in this conflict in Sudan. Fighting between less structured groups, such as tribes, usually revolves over land or other resources, and results in other conflicts. Fighting in Kenya between the ethnic groupings of Kikuyu and Kalenjin, frequently over land rights, serves as an example of this. Since 1989, the UCDP has documented 721 non-state conflicts, averaging 39 active conflicts each year. 76 of these confrontations were reported in 2018, down from 83 in 2017, the year of peak. Since 1989, there have been more incidents of non-state violence during the last six years than any previous year. Many inter-rebel clashes in Syria, inter-cartel violence in Mexico, and community conflicts in Nigeria, primarily along farmer-herder lines, were the main causes of the rise in non-state violence </w:t>
      </w:r>
      <w:r w:rsidRPr="00E2630C">
        <w:rPr>
          <w:rFonts w:ascii="Times New Roman" w:eastAsia="Times New Roman" w:hAnsi="Times New Roman" w:cs="Times New Roman"/>
          <w:color w:val="000000" w:themeColor="text1"/>
          <w:sz w:val="24"/>
          <w:szCs w:val="24"/>
        </w:rPr>
        <w:t>(Pettersson &amp; Eck, 2018; Raineri, 2019)</w:t>
      </w:r>
      <w:r w:rsidRPr="00E2630C">
        <w:rPr>
          <w:rFonts w:ascii="Times New Roman" w:eastAsia="Times New Roman" w:hAnsi="Times New Roman" w:cs="Times New Roman"/>
          <w:color w:val="000000" w:themeColor="text1"/>
          <w:sz w:val="24"/>
          <w:szCs w:val="24"/>
          <w:lang w:eastAsia="en-GB"/>
        </w:rPr>
        <w:t>.</w:t>
      </w:r>
    </w:p>
    <w:p w14:paraId="6BEBA15F" w14:textId="77777777" w:rsidR="00CD3724" w:rsidRPr="00E2630C" w:rsidRDefault="00CD3724" w:rsidP="0049497D">
      <w:pPr>
        <w:pStyle w:val="Heading3"/>
      </w:pPr>
      <w:bookmarkStart w:id="50" w:name="_Toc182386243"/>
      <w:r w:rsidRPr="00E2630C">
        <w:t>2.18.1 Humanitarian Impact</w:t>
      </w:r>
      <w:bookmarkEnd w:id="50"/>
    </w:p>
    <w:p w14:paraId="499AB4FE"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 high death toll associated with armed conflict is evident. Particularly common among civilian casualties are the weakest members of society, including women, children (who are frequently enlisted as warriors), and the elderly. This is due to the strategic significance of cities and metropolitan areas, which are typically home to sizable civilian populations. As a result, authority over these places is frequently hotly contested. There are also often no battle lines or very loose ones, since fighting takes place all around the nation. Finding safe havens becomes challenging for civilians as a result. </w:t>
      </w:r>
    </w:p>
    <w:p w14:paraId="4F1E5B4D"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 war in Iraq that has raged since US-led coalition troops ousted President Saddam Hussein in 2003 provides a stark illustration of the possible death toll. It is debatable if the fighting at its height qualified as a civil war despite the obvious widespread deaths </w:t>
      </w:r>
      <w:r w:rsidRPr="00E2630C">
        <w:rPr>
          <w:rFonts w:ascii="Times New Roman" w:eastAsia="Times New Roman" w:hAnsi="Times New Roman" w:cs="Times New Roman"/>
          <w:color w:val="000000" w:themeColor="text1"/>
          <w:sz w:val="24"/>
          <w:szCs w:val="24"/>
          <w:lang w:eastAsia="en-GB"/>
        </w:rPr>
        <w:lastRenderedPageBreak/>
        <w:t xml:space="preserve">and breaches of human rights that are characteristic of civil wars. James Fearon described the battle as a civil war, and a US National Intelligence Estimate from January 2007 stated that the term adequately captured important aspects of the fighting. These included the emergence of new ethno-sectarian identities, the evolution of violence, the mobilization of new ethno-sectarian groups, and population displacements (Fearon, 2017). </w:t>
      </w:r>
    </w:p>
    <w:p w14:paraId="5AA16972"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Even if the number of casualties from violence in Iraq has decreased from 2006–2007, it still happens occasionally. A non-governmental organization called Iraq Body Count keeps track of the violent deaths brought on by the 2003 military invasion of Iraq. In addition to civilian deaths brought on by the US-led coalition and Iraqi government troops, its comprehensive public database also covers criminal or paramilitary actions by third parties (Fearon, 2017). According to the database, there were 16,393 violent deaths among civilians in 2016 (compared to a peak of 29,517 in 2006); preliminary statistics for 2017 and 2018 amount to 13,183 and 3,319, respectively (Hamourtziadou, 2020). Although the US withdrew its troops in December 2011, coalition forces led by the US helped the Iraqi government combat IS terrorists. Iraq began a military assault in 2014 to reclaim land that it had lost to IS in the country's north and west. In 2017, Iraqi forces recaptured Mosul and, following a referendum called by the KRG, took over contested areas in central and northern Iraq that were previously held by Kurdish forces. Amidst ongoing tensions between Iraq's ethnosectarian groupings, Prime Minister Haider al-Abadi formally declared victory against IS in December 2017. The group did not, however, cease operations (SIPRI, 2018).</w:t>
      </w:r>
    </w:p>
    <w:p w14:paraId="7D571766"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 indiscriminate deployment of modern weapons exacerbates the destructive effects of armed warfare. Since World War II, weaponry has greatly expanded in firepower, </w:t>
      </w:r>
      <w:r w:rsidRPr="00E2630C">
        <w:rPr>
          <w:rFonts w:ascii="Times New Roman" w:eastAsia="Times New Roman" w:hAnsi="Times New Roman" w:cs="Times New Roman"/>
          <w:color w:val="000000" w:themeColor="text1"/>
          <w:sz w:val="24"/>
          <w:szCs w:val="24"/>
          <w:lang w:eastAsia="en-GB"/>
        </w:rPr>
        <w:lastRenderedPageBreak/>
        <w:t>which can be catastrophic, especially in metropolitan areas where a large number of civilians live. Moreover, these weapons are now more widely available. According to the local Field Survey (2022) in the research region of Binbilla, individuals with guns are in charge of regulating the import and export of firearms and other lethal ammunition. SIPRI estimates that in 2018, the global military budget was $1,822 billion. After hitting a post-2009 low in 2014, global military spending progressively increased, reaching a 76% increase in 2018 over the post-cold war low of 1998. In 2018, expenditure accounted for $239 per person, or 2.1% of the world GDP. The United States, China, Saudi Arabia, India, and France were the top five spenders. US military spending rose by 4.6% to $649 billion, marking the first increase in seven years. With 36 percent of all military spending worldwide, the US was by far the biggest spender in the globe. North America, South America, East Asia, Central and South America, Central Europe, and the Caribbean all saw increases in spending. In Oceania, South East Asia, North Africa, Eastern Europe, and sub-Saharan Africa, spending fell. According to Tian et al. (2023), the Middle Eastern countries' total expenditure decreased as well. High levels of military spending worldwide are a "cause for serious concern," according to SIPRI Governing Board Chair Ambassador Jan Eliasson, since they "undermine the search for peaceful solutions to conflicts around the world" (SIPRI, 2018).</w:t>
      </w:r>
    </w:p>
    <w:p w14:paraId="11298DDB"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Common lightweight and low-tech weapons are just as dangerous. Machetes were a major factor in many Rwandan deaths during the 1994 violence. Bombs, improvised explosive devices (IEDs), and rocket-propelled grenades have all been highly expensive in Afghanistan and Iraq. These events have increased in Afghanistan but decreased in Iraq in recent years </w:t>
      </w:r>
      <w:r w:rsidRPr="00E2630C">
        <w:rPr>
          <w:rFonts w:ascii="Times New Roman" w:eastAsia="Times New Roman" w:hAnsi="Times New Roman" w:cs="Times New Roman"/>
          <w:color w:val="000000" w:themeColor="text1"/>
          <w:sz w:val="24"/>
          <w:szCs w:val="24"/>
        </w:rPr>
        <w:t>(Kester &amp; Winter, 2017)</w:t>
      </w:r>
      <w:r w:rsidRPr="00E2630C">
        <w:rPr>
          <w:rFonts w:ascii="Times New Roman" w:eastAsia="Times New Roman" w:hAnsi="Times New Roman" w:cs="Times New Roman"/>
          <w:color w:val="000000" w:themeColor="text1"/>
          <w:sz w:val="24"/>
          <w:szCs w:val="24"/>
          <w:lang w:eastAsia="en-GB"/>
        </w:rPr>
        <w:t xml:space="preserve">. 3,804 civilian deaths and 7,189 injuries were reported in the Afghan conflict in 2018 according to a UN report </w:t>
      </w:r>
      <w:r w:rsidRPr="00E2630C">
        <w:rPr>
          <w:rFonts w:ascii="Times New Roman" w:eastAsia="Times New Roman" w:hAnsi="Times New Roman" w:cs="Times New Roman"/>
          <w:color w:val="000000" w:themeColor="text1"/>
          <w:sz w:val="24"/>
          <w:szCs w:val="24"/>
          <w:lang w:eastAsia="en-GB"/>
        </w:rPr>
        <w:lastRenderedPageBreak/>
        <w:t>from 2019. 6,980 civilian casualties (2,243 killed and 4,737 injured) were attributed to anti-government elements; these casualties were primarily brought on by the intentional targeting of civilians with suicide IEDs and their indiscriminate use (UN Assistance Mission in Afghanistan, 2019). IS has utilized customized armored car bombs and other suicide attacks on a regular basis. Such indiscriminate weaponry is also present in Pakistan and Russia, among other nations. Deadly attacks during the July 2018 Pakistani general election are among the incidents that occurred there. Regarding Russia, 224 people were killed when a bombing over Egypt in October 2015 destroyed a Russian airliner, and another terrible bombing on the Saint Petersburg Metro took place in April 2017 (Kamiński, 2019). Unconventional weapons also pose a threat in addition to conventional weapons. Nine states the US, Russia, the UK, France, China, India, Pakistan, Israel, and North Korea possessed roughly 13,865 nuclear weapons at the beginning of 2019. SIPRI reported in 2019 that massive and costly programs were underway in Russia and the US, which together had over 90% of the world's nuclear weapons, to replace and modernize their nuclear warheads, missile and aircraft delivery systems, and nuclear weapon production sites. The other states possessing nuclear weapons were all either in the process of creating or implementing additional weaponry, or they had declared their intent to do so. (Page 10 of (SIPRI, 2019)). Furthermore, following the use of a nerve agent in Salisbury earlier that year, which resulted in one death, the UK warned Russia in September 2018 that it would pay a "high price" if it continued to use chemical weapons. Syrian President Bashar al-Assad has also used chemical weapons, most recently in April 2017. Given its detrimental effects on nuclear arms control, the US's intention to withdraw from the 1987 Intermediate-Range Nuclear Forces Treaty has been criticized in the Bulletin (Ahmad, 2022). As of February 2, 2019, the US has suspended its obligations under the treaty (Galbraith, 2019).</w:t>
      </w:r>
    </w:p>
    <w:p w14:paraId="0233D052"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lastRenderedPageBreak/>
        <w:t>War crimes raise the price. Human rights are routinely abused when law and order breaks down and social mores against such acts are undermined. These events create an environment that is conducive to the resurfacing of old grudges, the exploitation of tensions by leaders, and the desire for vengeance for perceived injustices from the past. Due to previous homicides, community members in Bimbilla do not get along well with one another and feel unsafe being close to one another (Field Survey, 2022). when a result, there may be a retaliatory cycle of violence when rival factions use violence against one another. The likelihood of war crimes and the degree of hatred both rise with such violence. In addition, systematic violations of human rights may occur when the civilian population is subjugated and terrorized in order to establish control and enforce compliance. Furthermore, a collapse in law and order may allow numerous infractions to happen without concern about repercussions. To assist in putting a stop to flagrant breaches of international humanitarian law and impunity, the International Criminal Court (ICC) was founded. ​</w:t>
      </w:r>
      <w:r w:rsidRPr="00E2630C">
        <w:rPr>
          <w:rFonts w:ascii="Times New Roman" w:hAnsi="Times New Roman" w:cs="Times New Roman"/>
          <w:color w:val="000000" w:themeColor="text1"/>
          <w:sz w:val="24"/>
          <w:szCs w:val="24"/>
        </w:rPr>
        <w:t xml:space="preserve"> </w:t>
      </w:r>
      <w:r w:rsidRPr="00E2630C">
        <w:rPr>
          <w:rFonts w:ascii="Times New Roman" w:eastAsia="Times New Roman" w:hAnsi="Times New Roman" w:cs="Times New Roman"/>
          <w:color w:val="000000" w:themeColor="text1"/>
          <w:sz w:val="24"/>
          <w:szCs w:val="24"/>
          <w:lang w:eastAsia="en-GB"/>
        </w:rPr>
        <w:t>There were 27 cases pending before the Court as of August 2019, some of which had several suspects. In addition to 16 individuals who were held in the ICC detention center and appeared in court, 34 arrest warrants had been issued by ICC judges. Fifteen people were still on the loose. Three people's charges have been withdrawn because of their passing. Nine convictions and four acquittals had been handed down by judges (ICC, 2019). Other tribunals, like the International Criminal Tribunal for the former Yugoslavia, concentrate on crimes committed during particular wars. Ratko Mladić, a former commander of the Bosnian Serbs, was sentenced to life in prison in November 2017 for crimes including genocide.</w:t>
      </w:r>
    </w:p>
    <w:p w14:paraId="18CB9163"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 use of military force against civilians by a state government or a legally recognized group that results in at least 25 fatalities annually is referred to as "one-sided violence." Over fifteen residents have lost their lives in Bawku alone over the last two to three </w:t>
      </w:r>
      <w:r w:rsidRPr="00E2630C">
        <w:rPr>
          <w:rFonts w:ascii="Times New Roman" w:eastAsia="Times New Roman" w:hAnsi="Times New Roman" w:cs="Times New Roman"/>
          <w:color w:val="000000" w:themeColor="text1"/>
          <w:sz w:val="24"/>
          <w:szCs w:val="24"/>
          <w:lang w:eastAsia="en-GB"/>
        </w:rPr>
        <w:lastRenderedPageBreak/>
        <w:t xml:space="preserve">months while defending their gate and linage (Adam et al., 2020).  Since 1989, the UCDP has documented 274 instances of one-sided violence, with an average of 33 active actors per year. There were 32 actors in 2018, up from 31 in 2017. At least 4,500 civilians were killed by governments or officially recognized groups in 2018, the fewest since 2012. IS was the most active participant in this violence, accounting for around 1,800 civilian deaths in 2018, a decrease from the previous years. Non-state actors have targeted civilians more frequently than states, with a few notable exceptions (Takeuchi, 2019). 18% of deaths in 2018 were caused by governments; one such player was the Nicaraguan government, which violently suppressed demonstrators against a proposed social security reform (Pettersson et al., 2019). The earlier Rwandan conflict in the 1990s offers striking illustration of the horrors that can take place. Tutsi and Hutu tribes have historically harbored strong tribal enmities, which escalated after the presidents of Rwanda and Burundi perished in an unexplained plane accident in April 1994. This was the setting for the systematic killing of Tutsis by Hutu extremist militia and members of the Rwandan military. </w:t>
      </w:r>
      <w:r w:rsidRPr="00E2630C">
        <w:rPr>
          <w:rFonts w:ascii="Times New Roman" w:eastAsia="Times New Roman" w:hAnsi="Times New Roman" w:cs="Times New Roman"/>
          <w:color w:val="000000" w:themeColor="text1"/>
          <w:sz w:val="24"/>
          <w:szCs w:val="24"/>
        </w:rPr>
        <w:t>Derouen &amp; Heo (2004)</w:t>
      </w:r>
      <w:r w:rsidRPr="00E2630C">
        <w:rPr>
          <w:rFonts w:ascii="Times New Roman" w:eastAsia="Times New Roman" w:hAnsi="Times New Roman" w:cs="Times New Roman"/>
          <w:color w:val="000000" w:themeColor="text1"/>
          <w:sz w:val="24"/>
          <w:szCs w:val="24"/>
          <w:lang w:eastAsia="en-GB"/>
        </w:rPr>
        <w:t xml:space="preserve"> estimated that 800,000 Tutsis and moderate Hutus perished. Violence against women often happens when there is disagreement. As law and order crumbles and individuals in positions of power often young, uneducated men who abuse alcohol and other drugs take control, the frequency of rape rises </w:t>
      </w:r>
      <w:r w:rsidRPr="00E2630C">
        <w:rPr>
          <w:rFonts w:ascii="Times New Roman" w:eastAsia="Times New Roman" w:hAnsi="Times New Roman" w:cs="Times New Roman"/>
          <w:color w:val="000000" w:themeColor="text1"/>
          <w:sz w:val="24"/>
          <w:szCs w:val="24"/>
        </w:rPr>
        <w:t>(Derouen &amp; Heo, 2004)</w:t>
      </w:r>
      <w:r w:rsidRPr="00E2630C">
        <w:rPr>
          <w:rFonts w:ascii="Times New Roman" w:eastAsia="Times New Roman" w:hAnsi="Times New Roman" w:cs="Times New Roman"/>
          <w:color w:val="000000" w:themeColor="text1"/>
          <w:sz w:val="24"/>
          <w:szCs w:val="24"/>
          <w:lang w:eastAsia="en-GB"/>
        </w:rPr>
        <w:t xml:space="preserve">. While violence can be the result of insubordination, it can also be used as a tactic to subdue the populace. The DRC conflict is an example of this kind of violence. Civil war and ethnic conflict erupted, and a significant influx of refugees from Rwanda and Burundi happened in 1994. Ethnic turmoil persisted in 1997 after a brief civil war. According to Amnesty International, fighters raped tens of thousands of women and girls in a systematic manner. In addition to the documented rapes of men and boys, many also experienced gang-related rapes or </w:t>
      </w:r>
      <w:r w:rsidRPr="00E2630C">
        <w:rPr>
          <w:rFonts w:ascii="Times New Roman" w:eastAsia="Times New Roman" w:hAnsi="Times New Roman" w:cs="Times New Roman"/>
          <w:color w:val="000000" w:themeColor="text1"/>
          <w:sz w:val="24"/>
          <w:szCs w:val="24"/>
          <w:lang w:eastAsia="en-GB"/>
        </w:rPr>
        <w:lastRenderedPageBreak/>
        <w:t xml:space="preserve">were kidnapped as sex slaves. The intentional injuring, torturing, or murdering of the victim frequently occurred either before or after the rape. Medical treatment was regularly denied to women who had been raped and suffered from illnesses or injuries. In addition, victims frequently experienced prejudice-related exclusion from their communities and spouse abandonment. This meant that they would live in abject poverty, as would their children (Fernández-Aballí, 2016). The Islamist militant group Boko Haram has abducted groups of schoolgirls in Nigeria, causing persistent instability. The majority of these girls are subjected to sexual abuse and torture </w:t>
      </w:r>
      <w:r w:rsidRPr="00E2630C">
        <w:rPr>
          <w:rFonts w:ascii="Times New Roman" w:eastAsia="Times New Roman" w:hAnsi="Times New Roman" w:cs="Times New Roman"/>
          <w:color w:val="000000" w:themeColor="text1"/>
          <w:sz w:val="24"/>
          <w:szCs w:val="24"/>
        </w:rPr>
        <w:t>(Derouen &amp; Heo, 2004)</w:t>
      </w:r>
      <w:r w:rsidRPr="00E2630C">
        <w:rPr>
          <w:rFonts w:ascii="Times New Roman" w:eastAsia="Times New Roman" w:hAnsi="Times New Roman" w:cs="Times New Roman"/>
          <w:color w:val="000000" w:themeColor="text1"/>
          <w:sz w:val="24"/>
          <w:szCs w:val="24"/>
          <w:lang w:eastAsia="en-GB"/>
        </w:rPr>
        <w:t>.</w:t>
      </w:r>
    </w:p>
    <w:p w14:paraId="54955443"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Warring groups regularly enlist children as child soldiers. Groups see them as an easily accessible source of recruits who are quickly trained and brainwashed, don't need to be paid, and consume less food than adults. Even eight-year-old children have been enlisted, frequently by coercion, and they are particularly susceptible when taken from their homes or left as orphans. While children are also employed as soldiers in many Asian nations, as well as in some regions of Latin America, Europe, and the Middle East, the situation is most severe in Africa (</w:t>
      </w:r>
      <w:r w:rsidRPr="00E2630C">
        <w:rPr>
          <w:rFonts w:ascii="Times New Roman" w:eastAsia="Times New Roman" w:hAnsi="Times New Roman" w:cs="Times New Roman"/>
          <w:color w:val="000000" w:themeColor="text1"/>
          <w:sz w:val="24"/>
          <w:szCs w:val="24"/>
        </w:rPr>
        <w:t>Derouen &amp; Heo, 2004</w:t>
      </w:r>
      <w:r w:rsidRPr="00E2630C">
        <w:rPr>
          <w:rFonts w:ascii="Times New Roman" w:eastAsia="Times New Roman" w:hAnsi="Times New Roman" w:cs="Times New Roman"/>
          <w:color w:val="000000" w:themeColor="text1"/>
          <w:sz w:val="24"/>
          <w:szCs w:val="24"/>
          <w:lang w:eastAsia="en-GB"/>
        </w:rPr>
        <w:t xml:space="preserve">). More than 75,000 juvenile soldiers are thought to have served in Myanmar, making it the nation with the highest number of such troops (Beehner, 2018). </w:t>
      </w:r>
    </w:p>
    <w:p w14:paraId="7FCE8240"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It is possible for more people to die under the regime that wins an argument. When a group feels its power is challenged, it is likely that they will resort to extreme methods to counter that threat. These groups are also likely to be willing and able to commit mass acts of violence. The use of violent force by Libyan leader Muammar Gaddafi in 2011 against uprisings that led to his murder and by Bashar al-Assad in 2011 against uprisings and the ensuing expensive civil war serve as examples of this. Moreover, </w:t>
      </w:r>
      <w:r w:rsidRPr="00E2630C">
        <w:rPr>
          <w:rFonts w:ascii="Times New Roman" w:eastAsia="Times New Roman" w:hAnsi="Times New Roman" w:cs="Times New Roman"/>
          <w:color w:val="000000" w:themeColor="text1"/>
          <w:sz w:val="24"/>
          <w:szCs w:val="24"/>
          <w:lang w:eastAsia="en-GB"/>
        </w:rPr>
        <w:lastRenderedPageBreak/>
        <w:t>successful organizations may use force to enforce the fulfilment of their directives, which may contain radical and violent ideas. Widespread hardships may arise from the ensuing upheaval of the social and economic order. After a civil war, the suffering of the Cambodian people during the Khmer Rouge from 1975 to 1979 is an especially vivid example of violence and drastic transformation. Up to 1.7 million people had perished from sickness, starvation, or mass executions by the time the Khmer Rouge were overthrown in early 1979 (Bellamy, 2017). Prior to a coalition of Syrian rebels backed by the US declaring in March 2019 that the terrorist group has lost its last Syrian stronghold, IS brutally governed the held territories in recent times. As a result, the "caliphate" it declared in 2014 was formally ended.</w:t>
      </w:r>
    </w:p>
    <w:p w14:paraId="3067D161"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Conflicts have terrible aftereffects that last long after hostilities have stopped. Because it takes time to repair the nation's devastated infrastructure, including the health and sanitation systems, higher death rates frequently persist. Public health will be negatively impacted by the combined consequences of damaged ecosystems and decreased agricultural productivity. The reconstruction process is hampered by the smaller pool of accessible resources. For instance, there might not be as many individuals with the required knowledge and abilities because they would have either died or fled the fighting. This is particularly concerning in light of the possibility of increased damage-related demand for basic services and the ensuing elevated risk of infectious diseases made worse by a diminished capacity to fend off health risks. One study found that infant mortality increased by 13% during a five-year civil war (civil wars typically last seven years), and that the rise persisted for the first five years of the post-war peace, when it was 11% higher than baseline (World Bank, 2018). Remnants of conflict pose a greater threat to lives. While unexploded ordnance and cluster munitions frequently result in fatalities and injuries, landmines pose a particularly </w:t>
      </w:r>
      <w:r w:rsidRPr="00E2630C">
        <w:rPr>
          <w:rFonts w:ascii="Times New Roman" w:eastAsia="Times New Roman" w:hAnsi="Times New Roman" w:cs="Times New Roman"/>
          <w:color w:val="000000" w:themeColor="text1"/>
          <w:sz w:val="24"/>
          <w:szCs w:val="24"/>
          <w:lang w:eastAsia="en-GB"/>
        </w:rPr>
        <w:lastRenderedPageBreak/>
        <w:t xml:space="preserve">dangerous threat due to their widespread use, low cost, and ease of use. Additionally, the difficulty and expense of clearing landmines and their indiscriminate harm to people and livestock exacerbate their threat. Those who survive encounters with landmines are frequently left maimed and face the possibility of losing their livelihoods. They could also experience social exclusion. Landmines are present in over 61 nations and regions worldwide, posing a threat to thousands of people. In 2016, landmines and other explosive remnants of war claimed the lives of 23 people worldwide on average every day. Therefore, according to the International Campaign to Ban Landmines, over 8,605 individuals were injured or murdered that year </w:t>
      </w:r>
      <w:r w:rsidRPr="00E2630C">
        <w:rPr>
          <w:rFonts w:ascii="Times New Roman" w:eastAsia="Times New Roman" w:hAnsi="Times New Roman" w:cs="Times New Roman"/>
          <w:color w:val="000000" w:themeColor="text1"/>
          <w:sz w:val="24"/>
          <w:szCs w:val="24"/>
        </w:rPr>
        <w:t>(Koorey &amp; Persi, 2020)</w:t>
      </w:r>
      <w:r w:rsidRPr="00E2630C">
        <w:rPr>
          <w:rFonts w:ascii="Times New Roman" w:eastAsia="Times New Roman" w:hAnsi="Times New Roman" w:cs="Times New Roman"/>
          <w:color w:val="000000" w:themeColor="text1"/>
          <w:sz w:val="24"/>
          <w:szCs w:val="24"/>
          <w:lang w:eastAsia="en-GB"/>
        </w:rPr>
        <w:t xml:space="preserve">. Due to their detrimental effects on the utilization of priceless natural resources, mined roads and collapsed bridges pose serious barriers to post-conflict reconstruction. For example, land suited for agriculture and resettlement cannot be used because of minefields encircling significant population centers. Mines are a threat, as evidenced by the numerous Cambodians who have died and been injured during the conflict there (Um, 2023). </w:t>
      </w:r>
    </w:p>
    <w:p w14:paraId="19D84118"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Many try to escape as death and damage increase. The little belongings that refugees frequently bring with them force them to make do until they find new homes or get aid at refugee camps. In an attempt to save their lives, people in the Bimbilla village flee, which lowers the number of employed people and crop production in the area (Field Survey, 2022). A weak state is unlikely to provide refugees with sufficient assistance, and they are open to disease and assault. The anguish of seeing friends and family members suffer injuries and die makes the situation of refugees even more dire. The number of persons who have been forcibly displaced worldwide increased from 43.3 million in 2009 to 70.8 million in 2018, a record high, according to the UN High Commissioner for Refugees (UNHCR). The Syrian crisis was the main cause of this </w:t>
      </w:r>
      <w:r w:rsidRPr="00E2630C">
        <w:rPr>
          <w:rFonts w:ascii="Times New Roman" w:eastAsia="Times New Roman" w:hAnsi="Times New Roman" w:cs="Times New Roman"/>
          <w:color w:val="000000" w:themeColor="text1"/>
          <w:sz w:val="24"/>
          <w:szCs w:val="24"/>
          <w:lang w:eastAsia="en-GB"/>
        </w:rPr>
        <w:lastRenderedPageBreak/>
        <w:t>increase, which occurred mostly between 2012 and 2015 (Syria had the highest number of refugees with 6.7 million). Along with the notable influx of Rohingya refugees from Myanmar to Bangladesh at the end of 2017, other crises such as those in Iraq, Yemen, the Democratic Republic of the Congo, and South Sudan also played a role in this rise. Since 2012, the number of refugees within UNHCR's mission has almost doubled. Asylum seekers escaping Venezuela and internal displacement in Ethiopia were the main causes of the surge in 2018 (Um, 2023).</w:t>
      </w:r>
    </w:p>
    <w:p w14:paraId="1845FACE"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It is frequently challenging for refugee camps to accommodate an inflow of people escaping a conflict with proper care, food, and shelter. Early in 2017, the UNHCR and the World Food Programme expressed grave alarm about the fact that two million refugees in ten African countries were being negatively impacted by severe food aid shortages. For example, a large number of undernourished refugees were escaping violence in South Sudan and Somalia (Um, 2023). Infectious infections can spread quickly among individuals who are already compromised by fleeing conflict, particularly the most vulnerable, in the absence of sufficient support. Significant issues also face a large number of refugees who have gone overseas and are not housed in camps. These individuals frequently lack the resources to pay for housing, are traumatized, and are unable to access community resources due to language or immigration issues. They are therefore susceptible to abuse, exploitation, and radicalization.</w:t>
      </w:r>
    </w:p>
    <w:p w14:paraId="4FB37672" w14:textId="77777777" w:rsidR="00CD3724" w:rsidRPr="00E2630C" w:rsidRDefault="00CD3724" w:rsidP="0049497D">
      <w:pPr>
        <w:pStyle w:val="Heading3"/>
      </w:pPr>
      <w:bookmarkStart w:id="51" w:name="_Toc182386244"/>
      <w:r w:rsidRPr="00E2630C">
        <w:t>2.18.2 Economic Impact</w:t>
      </w:r>
      <w:bookmarkEnd w:id="51"/>
    </w:p>
    <w:p w14:paraId="32D3C370"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Conflict has devastating economic effects. A society shifts some of its resources from constructive endeavors to devastation during a conflict. As a result, there are two types of losses: the harm caused and the loss of resources that went toward pre-conflict </w:t>
      </w:r>
      <w:r w:rsidRPr="00E2630C">
        <w:rPr>
          <w:rFonts w:ascii="Times New Roman" w:eastAsia="Times New Roman" w:hAnsi="Times New Roman" w:cs="Times New Roman"/>
          <w:color w:val="000000" w:themeColor="text1"/>
          <w:sz w:val="24"/>
          <w:szCs w:val="24"/>
          <w:lang w:eastAsia="en-GB"/>
        </w:rPr>
        <w:lastRenderedPageBreak/>
        <w:t xml:space="preserve">production (World Bank, 2018). Death and migration cause people to lose their skills, and environmental and infrastructure degradation severely impedes economic growth and activity in the nation. Productivity is negatively impacted by unreliable electrical supply, and transportation infrastructure damage impedes the flow of goods in and out of the country. Conflict-related uncertainty also deters investment and can exacerbate economic instability by encouraging individuals to hoard goods and devaluing currency due to inflation. The worldwide economic effect of violence decreased for the first time since 2012, or $475 billion, throughout the course of 2017 and 2018, according to the 2019 GPI. In 2018 the PPP value of the worldwide economic impact of violence was $14.1 trillion, or 11.2% of the world's gross domestic product. The main cause of this improvement was the decline in the effects of armed conflict, especially in Colombia, Ukraine, and Iraq </w:t>
      </w:r>
      <w:r w:rsidRPr="00E2630C">
        <w:rPr>
          <w:rFonts w:ascii="Times New Roman" w:eastAsia="Times New Roman" w:hAnsi="Times New Roman" w:cs="Times New Roman"/>
          <w:color w:val="000000" w:themeColor="text1"/>
          <w:sz w:val="24"/>
          <w:szCs w:val="24"/>
        </w:rPr>
        <w:t>(Raga &amp; Pettinotti, 2022)</w:t>
      </w:r>
      <w:r w:rsidRPr="00E2630C">
        <w:rPr>
          <w:rFonts w:ascii="Times New Roman" w:eastAsia="Times New Roman" w:hAnsi="Times New Roman" w:cs="Times New Roman"/>
          <w:color w:val="000000" w:themeColor="text1"/>
          <w:sz w:val="24"/>
          <w:szCs w:val="24"/>
          <w:lang w:eastAsia="en-GB"/>
        </w:rPr>
        <w:t>. Many homes and organizations were destroyed by fire during the Bimbilla chieftaincy battle, forcing some of these organizations to fold their operations and leave the neighbourhood, which has an impact on Ghana (Field Survey, 2022).</w:t>
      </w:r>
    </w:p>
    <w:p w14:paraId="00FD793B"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 economic results of nations experiencing conflict serve as an example of the effects of conflict. According to a World Bank research, countries that experience civil war typically have 2.2% slower growth than those that do not. As a result, incomes following a normal seven-year civil war would be about 15% lower than they would have been in the absence of the conflict (assuming default stable growth). This suggests a roughly 30% increase in the incidence of absolute poverty. Over the course of the conflict, revenue losses would have totalled about 60% of GDP annually. Using data from roughly eighteen nations afflicted by civil war, another study examined the economic effects of the conflict (World Bank, 2018). The average yearly growth rate was negative 3.3% for the fourteen countries whose GDP per capita average growth </w:t>
      </w:r>
      <w:r w:rsidRPr="00E2630C">
        <w:rPr>
          <w:rFonts w:ascii="Times New Roman" w:eastAsia="Times New Roman" w:hAnsi="Times New Roman" w:cs="Times New Roman"/>
          <w:color w:val="000000" w:themeColor="text1"/>
          <w:sz w:val="24"/>
          <w:szCs w:val="24"/>
          <w:lang w:eastAsia="en-GB"/>
        </w:rPr>
        <w:lastRenderedPageBreak/>
        <w:t>rates could be determined. Furthermore, during the battle, macroeconomic indices deteriorated. The external debt as a proportion of GDP rose in all eighteen economies; per capita income fell in fifteen; food production fell in thirteen; and export growth fell in twelve (World Bank, 2018). The devastating effects of violence are further demonstrated by the way that the civil war and international sanctions have destroyed Syria's economy. Following eight years of conflict, Syria's GDP was thought to be, at most, one-third of what it was before the conflict.</w:t>
      </w:r>
    </w:p>
    <w:p w14:paraId="1720823C"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 economic effects of a conflict extend beyond the nation involved. Due to the interdependence of nations due to the global economy, economic disruptions in one country frequently have repercussions for neighbouring ones. The structure of the nation's economy determines the extent of the influence. Conflict in a nation with a large economy and strategic resources, like oil, is probably going to affect the world economy more than conflict in a nation with a small economy and few resources (World Bank, 2018). Events in the Middle East provide insight into how conflict and instability affect the world economy. Rising oil prices in 2018 happened against the backdrop of that region's geopolitical unrest. Among these was the US's unilateral withdrawal from the July 2015 nuclear agreement with Iran, when Tehran consented to restrict its sensitive nuclear operations and welcome international inspectors in exchange for the easing of economic sanctions. Tensions between Saudi Arabia and Iran, internal unrest in Venezuela, and ongoing hostilities in Iraq, Libya, Syria, and Yemen all contributed to additional instability. </w:t>
      </w:r>
      <w:r w:rsidRPr="00E2630C">
        <w:rPr>
          <w:rFonts w:ascii="Times New Roman" w:eastAsia="Times New Roman" w:hAnsi="Times New Roman" w:cs="Times New Roman"/>
          <w:color w:val="000000" w:themeColor="text1"/>
          <w:sz w:val="24"/>
          <w:szCs w:val="24"/>
        </w:rPr>
        <w:t>Raga and Pettinotti (2022)</w:t>
      </w:r>
      <w:r w:rsidRPr="00E2630C">
        <w:rPr>
          <w:rFonts w:ascii="Times New Roman" w:eastAsia="Times New Roman" w:hAnsi="Times New Roman" w:cs="Times New Roman"/>
          <w:color w:val="000000" w:themeColor="text1"/>
          <w:sz w:val="24"/>
          <w:szCs w:val="24"/>
          <w:lang w:eastAsia="en-GB"/>
        </w:rPr>
        <w:t xml:space="preserve"> saw a continuation of regional tensions, sparked by an attack in September on significant Saudi oil installations that cut global oil supplies by 5% and raised prices. Price increases frequently have a negative effect on many economies and cultures, even though other oil-producing nations may view them as a beneficial development (Hamourtziadou, 2020). The </w:t>
      </w:r>
      <w:r w:rsidRPr="00E2630C">
        <w:rPr>
          <w:rFonts w:ascii="Times New Roman" w:eastAsia="Times New Roman" w:hAnsi="Times New Roman" w:cs="Times New Roman"/>
          <w:color w:val="000000" w:themeColor="text1"/>
          <w:sz w:val="24"/>
          <w:szCs w:val="24"/>
          <w:lang w:eastAsia="en-GB"/>
        </w:rPr>
        <w:lastRenderedPageBreak/>
        <w:t xml:space="preserve">economies of adjacent nations are particularly vulnerable to the negative effects of conflict. Trade interruption and decreased investment are two possible effects. A country's yearly growth is estimated by the World Bank to be lowered by about 0.5% when a neighbour is engaged in conflict (World Bank, 2018). There are a number of factors that can negatively impact economic growth rates. Conflict, for instance, frequently deters investment, as seen in Africa. The UN claimed in 2004 that the unrest and violence in Africa were deterring investment and creating a "ripple effect" throughout the continent. At roughly $15 billion annually, Africa received the least amount of foreign investment of any continent </w:t>
      </w:r>
      <w:r w:rsidRPr="00E2630C">
        <w:rPr>
          <w:rFonts w:ascii="Times New Roman" w:eastAsia="Times New Roman" w:hAnsi="Times New Roman" w:cs="Times New Roman"/>
          <w:color w:val="000000" w:themeColor="text1"/>
          <w:sz w:val="24"/>
          <w:szCs w:val="24"/>
        </w:rPr>
        <w:t>(Raga &amp; Pettinotti, 2022)</w:t>
      </w:r>
      <w:r w:rsidRPr="00E2630C">
        <w:rPr>
          <w:rFonts w:ascii="Times New Roman" w:eastAsia="Times New Roman" w:hAnsi="Times New Roman" w:cs="Times New Roman"/>
          <w:color w:val="000000" w:themeColor="text1"/>
          <w:sz w:val="24"/>
          <w:szCs w:val="24"/>
          <w:lang w:eastAsia="en-GB"/>
        </w:rPr>
        <w:t>. Conflict-related trade barriers are particularly difficult for landlocked nations like those in Africa. The civil war that raged in Mozambique from 1976 to 1992 caused an economic downturn and increased the cost of international transportation for neighbouring Malawi (World Bank, 2018).</w:t>
      </w:r>
    </w:p>
    <w:p w14:paraId="5530FB4F"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 extra pressures placed on regional economies amplify the economic consequences of conflict. The predicament of refugees who have fled violence can put pressure on the economics of nearby nations. According to reports from the World Health Organization (WHO), the influx of Afghan migrants into Pakistan has put a strain on resources and led to serious issues. The World Health Organization reports that there has been insufficient drinking water, subpar sanitation, and cruel housing conditions. WHO cautioned that these kinds of issues frequently accompanied infectious disease outbreaks (WHO, 2017). </w:t>
      </w:r>
    </w:p>
    <w:p w14:paraId="5325DDED"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Increased defense spending as a result of threat perceptions in conflict-prone nations creates additional economic demand. Concerns over the conflict's potential to expand have raised the possibility of regional instability and border issues as rival groups try </w:t>
      </w:r>
      <w:r w:rsidRPr="00E2630C">
        <w:rPr>
          <w:rFonts w:ascii="Times New Roman" w:eastAsia="Times New Roman" w:hAnsi="Times New Roman" w:cs="Times New Roman"/>
          <w:color w:val="000000" w:themeColor="text1"/>
          <w:sz w:val="24"/>
          <w:szCs w:val="24"/>
          <w:lang w:eastAsia="en-GB"/>
        </w:rPr>
        <w:lastRenderedPageBreak/>
        <w:t>to exploit border areas as safe havens. The previously discussed impact of perceptions of threat on international defense expenditures is demonstrated.</w:t>
      </w:r>
    </w:p>
    <w:p w14:paraId="6EBFB58C" w14:textId="77777777" w:rsidR="00CD3724" w:rsidRPr="0049497D" w:rsidRDefault="00CD3724" w:rsidP="0049497D">
      <w:pPr>
        <w:pStyle w:val="NoSpacing"/>
      </w:pPr>
    </w:p>
    <w:p w14:paraId="4BA49DA4" w14:textId="77777777" w:rsidR="00CD3724" w:rsidRPr="00E2630C" w:rsidRDefault="00CD3724" w:rsidP="0049497D">
      <w:pPr>
        <w:pStyle w:val="Heading2"/>
        <w:rPr>
          <w:rFonts w:eastAsia="Times New Roman"/>
          <w:lang w:eastAsia="en-GB"/>
        </w:rPr>
      </w:pPr>
      <w:bookmarkStart w:id="52" w:name="_Toc182386245"/>
      <w:r w:rsidRPr="00E2630C">
        <w:rPr>
          <w:rFonts w:eastAsia="Times New Roman"/>
          <w:lang w:eastAsia="en-GB"/>
        </w:rPr>
        <w:t>2.19 History of Past Violent Conflicts</w:t>
      </w:r>
      <w:bookmarkEnd w:id="52"/>
    </w:p>
    <w:p w14:paraId="05407812"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The likelihood of more violence increases once a nation has seen a conflict. Countries that have just been in a war are thought to be two to four times more likely to encounter another one in the future. The fact that the same elements that started the first war frequently continue to be active is one explanation for this (World Bank, 2018). In fact, the resulting devastation and casualties may have strengthened these elements. Reconciliation is hampered by suspicion, grudges, and ongoing animosity between rival factions, all of which take time to resolve. Another barrier to reconciliation is the difficulty of prosecuting important individuals who caused the violence. The extensive availability of weapons and the likelihood that many people with little experience other than fighting will be unemployed after a battle will also contribute to a return to conflict. Furthermore, when there is a lack of trust between factions, the destiny of weapon stockpiles after a battle might cause stress. The scenario in Angola, where war has existed since independence in 1975, serves as an example of the threat of persistent conflict. Conflict persists across Europe, Asia, Africa, and other regions despite a truce that was declared in 2002 and the creation of a UN mission to supervise the peace process.</w:t>
      </w:r>
    </w:p>
    <w:p w14:paraId="154AF5B3" w14:textId="77777777" w:rsidR="00CD3724" w:rsidRPr="00E2630C" w:rsidRDefault="00610DEB" w:rsidP="00E62964">
      <w:pPr>
        <w:pStyle w:val="Heading3"/>
      </w:pPr>
      <w:bookmarkStart w:id="53" w:name="_Toc182386246"/>
      <w:r w:rsidRPr="00E2630C">
        <w:t>2.19.1 Autocracy and conflicts</w:t>
      </w:r>
      <w:bookmarkEnd w:id="53"/>
      <w:r w:rsidR="00CD3724" w:rsidRPr="00E2630C">
        <w:t xml:space="preserve"> </w:t>
      </w:r>
    </w:p>
    <w:p w14:paraId="77C09F7A"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Autocratic state and insurgent leaders have the ability to intensify and worsen the conditions that lead to conflict. Leaders who abuse their power in nations experiencing insurgencies and instability frequently alienate a large portion of the populace. Often, </w:t>
      </w:r>
      <w:r w:rsidRPr="00E2630C">
        <w:rPr>
          <w:rFonts w:ascii="Times New Roman" w:eastAsia="Times New Roman" w:hAnsi="Times New Roman" w:cs="Times New Roman"/>
          <w:color w:val="000000" w:themeColor="text1"/>
          <w:sz w:val="24"/>
          <w:szCs w:val="24"/>
          <w:lang w:eastAsia="en-GB"/>
        </w:rPr>
        <w:lastRenderedPageBreak/>
        <w:t>this abuse takes the form of violence against those who oppose it, the installation of friends in positions of authority at the expense of others, the unscrupulous use of public funds, and the failure to address major problems facing the populace as a whole or to improve living conditions (Robert, 1999).  Additionally, weak and inept leadership undermines the legitimacy of the regime and fosters disenchantment, especially when there is clear policy failure, as in Ghana's situation (Field Survey 2022). The opposition to the regime can take advantage of this loss of legitimacy. President Slobodan Milosevic of Serbia played a significant role in the violence that erupted within the former Yugoslavia in the 1990s, demonstrating the responsibility of a leader for the start and continuation of conflict. Similar to this, Assad has surprised a lot of observers by continuing to rule Syria even though a substantial portion of the populace is in revolt. His violent suppression of the 2011 uprisings had set off a catastrophic conflict that involved the US, Russia, Iran, and other nations. The majority of the region that had been controlled by opposition troops had been recaptured by the regime by August 2019, while over 500,000 people were still considered missing or dead.</w:t>
      </w:r>
    </w:p>
    <w:p w14:paraId="33B30827"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Leaders of insurgencies frequently escalate tensions, which breed war. Typically, charismatic leaders wield enormous authority in hierarchical and dictatorial structures found in rebel armed formations (Robert, 1999).  Rebel leaders usually advocate for direct action against their opponents, intolerance, and retaliation. They will probably take advantage of the complaints of different groups in order to mobilize support for the insurgency and brutally seize control. The significant role played by extreme Shia preacher Moqtada Sadr serves as an example. The Mehdi Army, a militia led by Moqtada Sadr, was founded in 2003 and engaged in combat with US-led forces in Iraq. This group was accused of organizing retaliatory assaults against Sunni Arabs as sectarian violence escalated following the overthrow of Saddam Hussein (Robert, </w:t>
      </w:r>
      <w:r w:rsidRPr="00E2630C">
        <w:rPr>
          <w:rFonts w:ascii="Times New Roman" w:eastAsia="Times New Roman" w:hAnsi="Times New Roman" w:cs="Times New Roman"/>
          <w:color w:val="000000" w:themeColor="text1"/>
          <w:sz w:val="24"/>
          <w:szCs w:val="24"/>
          <w:lang w:eastAsia="en-GB"/>
        </w:rPr>
        <w:lastRenderedPageBreak/>
        <w:t>1999).  He eventually led a coalition that prevailed in the May 2018 Iraqi parliamentary elections after spending over four years overseas. He returned to Iraq in January 2011.</w:t>
      </w:r>
    </w:p>
    <w:p w14:paraId="764C8B51" w14:textId="77777777" w:rsidR="00CD3724" w:rsidRPr="00E2630C" w:rsidRDefault="00CD3724" w:rsidP="00E62964">
      <w:pPr>
        <w:pStyle w:val="Heading3"/>
      </w:pPr>
      <w:bookmarkStart w:id="54" w:name="_Toc182386247"/>
      <w:r w:rsidRPr="00E2630C">
        <w:t>2.19.2 External Actors</w:t>
      </w:r>
      <w:bookmarkEnd w:id="54"/>
    </w:p>
    <w:p w14:paraId="7189A9BE"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When organizations receive assistance from other parties, conflict might get worse. According to Gleditsch et al. (2002) 32 of the 163 internal wars that occurred between 1946 and 2001 featured involvement from other states. External actors can enter a fight by sending their own forces into it, by providing funding, supplies, or training to groups they support, or by sharing intelligence and managing logistics. Regardless of their specific involvement, when warring factions grow more powerful especially when other powers directly interfere on their behalf violence tends to escalate. When outside parties gain from the dispute or from a group's success that is in line with their own goals, this involvement may be welcomed. During the Cold War, external intervention was commonplace as the Superpowers and their allies used proxy wars to further their opposing geopolitical objectives. The Soviet and American involvement in Afghanistan in the late 1970s and early 1980s serves as an example of this. Iran's backing of militias in Iraq that are battling US-led forces is one example of a post-cold war case study. According to reports, this involved training people in Iran and supplying weapons and explosives </w:t>
      </w:r>
      <w:r w:rsidRPr="00E2630C">
        <w:rPr>
          <w:rFonts w:ascii="Times New Roman" w:eastAsia="Times New Roman" w:hAnsi="Times New Roman" w:cs="Times New Roman"/>
          <w:color w:val="000000" w:themeColor="text1"/>
          <w:sz w:val="24"/>
          <w:szCs w:val="24"/>
        </w:rPr>
        <w:t>(Gordon &amp; Lehren, 2010)</w:t>
      </w:r>
      <w:r w:rsidRPr="00E2630C">
        <w:rPr>
          <w:rFonts w:ascii="Times New Roman" w:eastAsia="Times New Roman" w:hAnsi="Times New Roman" w:cs="Times New Roman"/>
          <w:color w:val="000000" w:themeColor="text1"/>
          <w:sz w:val="24"/>
          <w:szCs w:val="24"/>
          <w:lang w:eastAsia="en-GB"/>
        </w:rPr>
        <w:t>. In 2011, Gaddafi also used mercenaries to combat rebel groups, and the Syrian regime has received substantial backing from Russian and Iranian forces.</w:t>
      </w:r>
    </w:p>
    <w:p w14:paraId="4941E006" w14:textId="77777777" w:rsidR="00CD3724" w:rsidRPr="00E2630C" w:rsidRDefault="00CD3724" w:rsidP="00CD3724">
      <w:pPr>
        <w:pStyle w:val="NoSpacing"/>
        <w:rPr>
          <w:rFonts w:ascii="Times New Roman" w:hAnsi="Times New Roman" w:cs="Times New Roman"/>
          <w:color w:val="000000" w:themeColor="text1"/>
          <w:sz w:val="24"/>
          <w:szCs w:val="24"/>
          <w:lang w:eastAsia="en-GB"/>
        </w:rPr>
      </w:pPr>
    </w:p>
    <w:p w14:paraId="7F3C25B6" w14:textId="77777777" w:rsidR="00CD3724" w:rsidRPr="00E2630C" w:rsidRDefault="00CD3724" w:rsidP="00E62964">
      <w:pPr>
        <w:pStyle w:val="Heading2"/>
      </w:pPr>
      <w:bookmarkStart w:id="55" w:name="_Toc182386248"/>
      <w:r w:rsidRPr="00E2630C">
        <w:t>2.20 Chieftaincy Conflicts and human security, the Ghanaian situation</w:t>
      </w:r>
      <w:bookmarkEnd w:id="55"/>
      <w:r w:rsidRPr="00E2630C">
        <w:t xml:space="preserve"> </w:t>
      </w:r>
    </w:p>
    <w:p w14:paraId="417FA7A9"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Instead of protracted warfare and chieftaincy struggle, growth is the key to achieving human security. Only when individuals live in security on a daily basis will there be world peace. Future conflicts may frequently arise within countries as opposed to </w:t>
      </w:r>
      <w:r w:rsidRPr="00E2630C">
        <w:rPr>
          <w:rFonts w:ascii="Times New Roman" w:hAnsi="Times New Roman" w:cs="Times New Roman"/>
          <w:color w:val="000000" w:themeColor="text1"/>
          <w:sz w:val="24"/>
          <w:szCs w:val="24"/>
        </w:rPr>
        <w:lastRenderedPageBreak/>
        <w:t xml:space="preserve">between them, with their roots deeply ingrained in the widening socioeconomic gaps and deprivations. In this kind of scenario, progress rather than armaments is the hunt for security. Human security is at the core of development, and it must always come first in every sustainable development plan. </w:t>
      </w:r>
    </w:p>
    <w:p w14:paraId="594FD1A3"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In general, the community of nations will not be able to accomplish any of its main objectives, with the exception of social integration within the framework of sustainable development that results in human security. These objectives include peace, environmental protection, human rights or democratization, fertility reduction, and social integration (Cammack, 2017). Human security was categorized into seven primary categories in the UNDP report of 1994 (Cammack, 2017). These categories include dangers to human and national development.</w:t>
      </w:r>
    </w:p>
    <w:p w14:paraId="662A52D9"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 Economic security </w:t>
      </w:r>
    </w:p>
    <w:p w14:paraId="00B9399C"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 Food security </w:t>
      </w:r>
    </w:p>
    <w:p w14:paraId="5CE3C2ED"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Health security</w:t>
      </w:r>
    </w:p>
    <w:p w14:paraId="28B9F337"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 Environmental security </w:t>
      </w:r>
    </w:p>
    <w:p w14:paraId="00B44041"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 Personal security </w:t>
      </w:r>
    </w:p>
    <w:p w14:paraId="1E11A4BA"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Economic security necessitates an assured basic income, which is typically obtained through profitable and productive employment or, in the worst-case scenario, from a publicly funded safety net, as stated in the UNDP study from 1994. However, just 25% of the world's population Africa excluded may currently be economically secure. Due to the difficulty in finding and keeping a job, many individuals in wealthy countries today feel uneasy. In Ghana and Africa, during times of violence, people flee, which </w:t>
      </w:r>
      <w:r w:rsidRPr="00E2630C">
        <w:rPr>
          <w:rFonts w:ascii="Times New Roman" w:hAnsi="Times New Roman" w:cs="Times New Roman"/>
          <w:color w:val="000000" w:themeColor="text1"/>
          <w:sz w:val="24"/>
          <w:szCs w:val="24"/>
        </w:rPr>
        <w:lastRenderedPageBreak/>
        <w:t>causes them to lose their work and increase unemployment. There was no economic activity in Bimbilla during the fighting since everyone was attempting to protect their own lives. Additionally, the curfew prevents you from opening early and forcing you to close. Over the last twenty years, industrialized nations have seen a decrease in GDP growth and a rise in employment that has not kept up with the expansion in the labour force. UN 1944.</w:t>
      </w:r>
    </w:p>
    <w:p w14:paraId="25E9465F"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topic of food security has drawn interest from numerous prestigious conferences worldwide. Even though there is supposedly more than enough food to feed everyone on the planet, an unacceptable amount of people continue to live in hunger (van Wijk, 2014). More than 820 million people faced hunger in 2018 compared to 777 million in 2015 (FAO, 2017), and two billion people globally experienced moderate to severe food insecurity (FAO, IFAD, UNICEF, WFP, WHO, 2019). According to the Food and Agriculture Organization (2017), conflict is a major global cause of food insecurity, with the Middle East and Sub-Saharan Africa accounting for the majority of this observation. Southeast Asia and Western Asia, particularly in the conflict-ridden nations. The topic of food security has drawn interest from numerous prestigious conferences worldwide. Even though there is supposedly more than enough food to feed everyone on the planet, an unacceptable amount of people continue to live in hunger (van Wijk, 2014). More than 820 million people faced hunger in 2018 compared to 777 million in 2015 (FAO, 2017), and two billion people globally experienced moderate to severe food insecurity (FAO, 2017; WHO, 2017). According to the Food and Agriculture Organization (2017), conflict is a major global cause of food insecurity, with the Middle East and Sub-Saharan Africa accounting for the majority of this observation. Southeast Asia and Western Asia, particularly in the conflict-ridden nations.</w:t>
      </w:r>
    </w:p>
    <w:p w14:paraId="013D5E7B"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Food security is the state in which all people always have physical and financial access to enough wholesome food that satisfies their dietary needs and food preferences for an active and healthy life, as defined by the World Food Summit in 1996. This definition of food security has received international recognition and includes food availability, access, usage, and stability. Nassè (2021), who portrays the West African setting, further emphasizes the idea of food insecurity by highlighting the scarcity and inadequateness of food in the context, where people frequently experience starvation or hunger (Nassè, 2021). In addition, this circumstance makes people and children more vulnerable </w:t>
      </w:r>
      <w:r w:rsidRPr="00E2630C">
        <w:rPr>
          <w:rFonts w:ascii="Times New Roman" w:eastAsia="Times New Roman" w:hAnsi="Times New Roman" w:cs="Times New Roman"/>
          <w:color w:val="000000" w:themeColor="text1"/>
          <w:sz w:val="24"/>
          <w:szCs w:val="24"/>
        </w:rPr>
        <w:t>(Dalinpuo &amp; Nassè, 2020)</w:t>
      </w:r>
      <w:r w:rsidRPr="00E2630C">
        <w:rPr>
          <w:rFonts w:ascii="Times New Roman" w:hAnsi="Times New Roman" w:cs="Times New Roman"/>
          <w:color w:val="000000" w:themeColor="text1"/>
          <w:sz w:val="24"/>
          <w:szCs w:val="24"/>
        </w:rPr>
        <w:t>. Food security is defined by the Ghanaian Ministry of Food and Agriculture (MoFA), as cited in Nkegbe et al. (2017), as the availability of wholesome food that is reasonably priced, hygienically packaged, attractively presented, available in sufficient quantities year-round, and situated in the appropriate location. This definition aligns with the claim that food security encompasses not only the availability of nutrient-dense food for each individual, but also the production, processing, and marketing systems that set prices, influence people's dietary preferences, and raise concerns about food acquisition both now and in the future (Simmons, 2013).</w:t>
      </w:r>
    </w:p>
    <w:p w14:paraId="2A5E33BE"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Infectious and parasitic diseases account for 17 million annual deaths in impoverished nations; these include 3.5 million cases of tuberculosis, 4.5 million cases of diarrheal illnesses, and 6.5 million cases of acute respiratory infections. A dangerous environment, especially one with contaminated water, is responsible for the majority of these deaths as well as the roughly one billion instances of diarrhoea that occur each year. This is corroborated by the fact that most of the Bimbilla chieftaincy conflict's water bodies were contaminated by either the Bang or Gbugma yili gates. UNDP study from 1994. The poorest, those living in rural regions, and especially children are </w:t>
      </w:r>
      <w:r w:rsidRPr="00E2630C">
        <w:rPr>
          <w:rFonts w:ascii="Times New Roman" w:hAnsi="Times New Roman" w:cs="Times New Roman"/>
          <w:color w:val="000000" w:themeColor="text1"/>
          <w:sz w:val="24"/>
          <w:szCs w:val="24"/>
        </w:rPr>
        <w:lastRenderedPageBreak/>
        <w:t>typically more vulnerable to threats to their health security, whether in developing or developed nations.</w:t>
      </w:r>
    </w:p>
    <w:p w14:paraId="7AF3D1CE"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Numerous non-fatal health injuries are part of the burden of conflict. Although there will always be some variance in disability from conflict to conflict, the precise amount of disability is highly unknown due to measurement challenges associated with non-fatal consequences (Hoeffler, 2017). The majority of the time, persons visiting medical facilities have had their war-related disability evaluated. These sources may be underestimating the non-fatal health consequences, but altogether these health effects should have a significant influence. In contemporary battles, the recorded ratio of casualties to fatalities varies from 1.9 to 13.0. According to the 1990 Global Burden of Disease research, non-fatal war-related events led to 4.8 million disability-adjusted life years globally, roughly equal to the number of years lost due to fires and more than half of which were attributable to traffic accidents (Hoeffler, 2017).</w:t>
      </w:r>
    </w:p>
    <w:p w14:paraId="76C4CE5C"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Landmines are one kind of the crippling repercussions of conflict, which also results in significant disability. The WHO calculated that, in 2000, conflict accounted for 0.70 percent of the worldwide disease burden, comprising years of life lost and years lived with disability, based on scant follow-up research. The global burden of conflict-related death and disability is lower than that of self-inflicted injuries (1.31%), road traffic injuries (2.80%), and homicide (1.09%). The ratio of years lived with a disability resulting from conflict to years lost owing to early mortality induced by conflict is 4.75 on a worldwide scale. This burden is dispersed over regions in a manner that is not surprising given the number of direct deaths resulting from conflict (Hoeffler, 2017).</w:t>
      </w:r>
    </w:p>
    <w:p w14:paraId="772D8971"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Chieftaincy and other associated conflicts have the greatest impact on personal security, and Bimbilla is not an exception. Protection from physical violence is arguably the most </w:t>
      </w:r>
      <w:r w:rsidRPr="00E2630C">
        <w:rPr>
          <w:rFonts w:ascii="Times New Roman" w:hAnsi="Times New Roman" w:cs="Times New Roman"/>
          <w:color w:val="000000" w:themeColor="text1"/>
          <w:sz w:val="24"/>
          <w:szCs w:val="24"/>
        </w:rPr>
        <w:lastRenderedPageBreak/>
        <w:t xml:space="preserve">important component of human security (Chandramohan, 2018). Unpredictable and abrupt acts of violence are a growing hazard to human life in both wealthy and impoverished societies. The dangers come in a few different shapes: UNDP study from 1994. </w:t>
      </w:r>
    </w:p>
    <w:p w14:paraId="28FEB527"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Human lives are under more danger than they have ever been in many countries. Conflict especially violent chieftaincy-related conflicts is often the biggest cause of concern for people. In Europe, drug trafficking is frequently linked to an increase in crime. Every year, 400 persons in Australia and 225 people per 100,000 in Canada suffer from drug-related crimes. Drug-related crimes more than tripled in Japan during the second half of the 1980s, and they nearly quadrupled in Denmark and Norway (Ho, 2019). The worst effects of most environmental degradation are felt closest to home. However, other impacts frequently move. Over national borders, contaminated air continues to float unabated, with emissions of sulfur dioxide from one nation falling as acid rain in another. Approximately 60% of the commercial forests in Europe experience detrimental amounts of sulfur deposition. Of the 90,000 lakes in Sweden, around 20,000 have some acidity; in Canada, 48,000 have acidity. Furthermore, the issue in these cases is not limited to the nation (Ho, 2019).</w:t>
      </w:r>
    </w:p>
    <w:p w14:paraId="4E7871CF" w14:textId="77777777" w:rsidR="00CD3724" w:rsidRPr="00E2630C" w:rsidRDefault="00CD3724" w:rsidP="00E62964">
      <w:pPr>
        <w:pStyle w:val="Heading3"/>
      </w:pPr>
      <w:bookmarkStart w:id="56" w:name="_Toc182386249"/>
      <w:r w:rsidRPr="00E2630C">
        <w:t>2.20.1 Economic implication of chieftaincy conflicts</w:t>
      </w:r>
      <w:bookmarkEnd w:id="56"/>
    </w:p>
    <w:p w14:paraId="7DB2E777"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Conflicts harm wellbeing and means of subsistence economically, as well as the standard of living and resource availability in the impacted areas. Chieftaincy disputes appear to have far-reaching implications on the economic well-being of Ghanaians in general and Bimbilla people in particular. According to Mbowura (2014) research, violent conflicts caused yam sales from most farmers to decline since customers, who were primarily from the South, were afraid to travel to Kpandai. He came to the conclusion that the violence had an adverse effect on yam business investment and </w:t>
      </w:r>
      <w:r w:rsidRPr="00E2630C">
        <w:rPr>
          <w:rFonts w:ascii="Times New Roman" w:hAnsi="Times New Roman" w:cs="Times New Roman"/>
          <w:color w:val="000000" w:themeColor="text1"/>
          <w:sz w:val="24"/>
          <w:szCs w:val="24"/>
        </w:rPr>
        <w:lastRenderedPageBreak/>
        <w:t>marketing, and that it had an impact outside of the region as well, particularly in areas of Southern Ghana where yam has grown in popularity as a food.  This implies that through upsetting the market chain, violent chieftaincy conflicts jeopardize the people's financial security. This may also lead to arbitrary food shortages and price increases.</w:t>
      </w:r>
    </w:p>
    <w:p w14:paraId="5366B531"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According to Issifu (2015) research on the Dagbon dispute, discrimination is the largest obstacle that businesses encounter since, on occasion, people willfully raise prices or stockpile items in order to fend off rivals and provide them to allies. His research also showed that Dagbon's state of emergency and curfew, which were implemented during the height of the fighting and forced merchants to open and close their establishments late in order to escape violence and harassment, caused businesses to fail. The research also showed that the distribution and marketing of commodities became more challenging since certain traders were afraid of being boycotted and were unable to travel to particular villages where they used to obtain their supplies. Once more, the research showed that some of the traders were forced to reduce the quantity, which inevitably had an impact on both their suppliers and sales. The study also discovered that due of the instability in Dagbon, investors moved their money to other areas, which raises the poverty rate. He therefore came to the conclusion that in order to allow for the development in Northern Ghana, it is necessary to lessen, if not entirely eliminate, the emergence of new economic terms as well as new patterns of economic relationships, such as business relocation, a decline in trade, trade boycotts, economic isolation, and low sales.</w:t>
      </w:r>
    </w:p>
    <w:p w14:paraId="26420779"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Africa Growth Initiative (2014) study similarly revealed that in most of the chieftaincy conflict affected communities in Ghana, most traders abandoned their businesses altogether due to the conflict. The results also showed that some traders lost money as a result of customers not having enough money to purchase enough produce, and that </w:t>
      </w:r>
      <w:r w:rsidRPr="00E2630C">
        <w:rPr>
          <w:rFonts w:ascii="Times New Roman" w:hAnsi="Times New Roman" w:cs="Times New Roman"/>
          <w:color w:val="000000" w:themeColor="text1"/>
          <w:sz w:val="24"/>
          <w:szCs w:val="24"/>
        </w:rPr>
        <w:lastRenderedPageBreak/>
        <w:t>both customers and dealers restricted their trips to markets as a result of sporadic attacks. Thus, the AGI found that poor or inconsistent supplies of commodities to market, lack of transportation, and fear of attacks were the main reasons why traders were unable to participate fully in the market. An emerging theme is that destructive conflicts do not affect community sense of weism, but equally endanger people’s right to life and due to the fear of death, people especially, traders and farmers are forced out of work. This nonetheless affects the employment opportunities of the people.</w:t>
      </w:r>
    </w:p>
    <w:p w14:paraId="4E256B4C"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Bukari et al. (2016)) study on the effects of chieftaincy conflict on the economic security of the people revealed that traders and organizations relocated to other places because the security of their investments and businesses could not be guaranteed coupled with the fact that the movement of buyers and sellers was restricted. Additionally, their research showed that six stores burned at the Sabon-Zongo border with North Natinga and more than 13 shops burned at the Gingande Lorry Station (Saabon-Station). Thus, they came to the conclusion that the conflict had a negative impact on trading activities and businesses in terms of income margins or profit (90%), security for conducting business freely (85%), access to banks and other financial services (67.5%), business investment (72.5%), transportation (82.5%), and increased operating costs (92.5%). Another challenge associated with destructive conflict as per Kendie and Bukari (2012) is that of dwindling investment of business operators. The burning of cars cumulatively destroys the investment spirit of the people. This explains why Nicolas Stern, the then Vice-President of the World Bank (cited in Collier, 2003, IX), remarked that ‘civil war, is development in reverse’. Furthermore, Aganah (2008) research showed that it is significantly harder to promote the development of large-scale industries because of the uncertain business climate, as well as the migration of individuals and companies to other locations. His research also showed that the ongoing </w:t>
      </w:r>
      <w:r w:rsidRPr="00E2630C">
        <w:rPr>
          <w:rFonts w:ascii="Times New Roman" w:hAnsi="Times New Roman" w:cs="Times New Roman"/>
          <w:color w:val="000000" w:themeColor="text1"/>
          <w:sz w:val="24"/>
          <w:szCs w:val="24"/>
        </w:rPr>
        <w:lastRenderedPageBreak/>
        <w:t>chieftaincy disputes in the Bawku Municipality prevented small-scale businesses from drawing in significant financial inputs that would have allowed them to grow. Therefore, he came to the conclusion that people were not conducting business with members of the opposing side, which restricted movement, caused disruptions in businesses, resulted in capital losses through the burning of homes and shops, and limited and selectively conducted business.</w:t>
      </w:r>
    </w:p>
    <w:p w14:paraId="0C92213F" w14:textId="77777777" w:rsidR="00CD3724" w:rsidRPr="00E2630C" w:rsidRDefault="00CD3724" w:rsidP="00CD3724">
      <w:pPr>
        <w:spacing w:after="0" w:line="480" w:lineRule="auto"/>
        <w:jc w:val="both"/>
        <w:rPr>
          <w:rFonts w:ascii="Times New Roman" w:hAnsi="Times New Roman" w:cs="Times New Roman"/>
          <w:b/>
          <w:color w:val="000000" w:themeColor="text1"/>
          <w:sz w:val="24"/>
          <w:szCs w:val="24"/>
        </w:rPr>
      </w:pPr>
      <w:r w:rsidRPr="00E2630C">
        <w:rPr>
          <w:rFonts w:ascii="Times New Roman" w:hAnsi="Times New Roman" w:cs="Times New Roman"/>
          <w:color w:val="000000" w:themeColor="text1"/>
          <w:sz w:val="24"/>
          <w:szCs w:val="24"/>
        </w:rPr>
        <w:t>In sum, chieftaincy in Ghana is bedevilled with conflicts that tend to retard the livelihoods of people and in many cases destroy their lives and properties of people. The chieftaincy conflicts challenge the economic security of the people due to unhealthy competition and polarization among people in various communities which have negative economic repercussions on the vulnerable sections of the society. It should be noted that improving the livelihood of people will remain a mirage if the effects of conflicts are not addressed readily and supported by or linked to livelihood and their economic condition strategies and programs that promote and support the economic empowerment of people. Chiefs therefore have a significant impact on the political economy, commercial and industrial development, the building sector, and agricultural output in stable and peaceful circumstances.</w:t>
      </w:r>
    </w:p>
    <w:p w14:paraId="5D12312C" w14:textId="77777777" w:rsidR="00CD3724" w:rsidRPr="00E2630C" w:rsidRDefault="00CD3724" w:rsidP="00E62964">
      <w:pPr>
        <w:pStyle w:val="Heading3"/>
      </w:pPr>
      <w:bookmarkStart w:id="57" w:name="_Toc182386250"/>
      <w:r w:rsidRPr="00E2630C">
        <w:t>2.20.2 Chieftaincy conflicts and Food Security Implication</w:t>
      </w:r>
      <w:bookmarkEnd w:id="57"/>
    </w:p>
    <w:p w14:paraId="1DF5432C"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distribution and supply of food crop inputs and outputs can be disrupted by conflicts, leading to price shocks and a significant labor displacement. In politically unstable contexts, agricultural investments are challenging to preserve due to the compounding obstacles of conflicts. In this sense, Mbowura (2014) research on the Nawuri and Gonja conflict in Kpandai showed that the three war phases broke out during the height of the farming season, just as new farms were being prepared, making it impossible to harvest food crops and leaving many of the harvests on the farms to rot. </w:t>
      </w:r>
      <w:r w:rsidRPr="00E2630C">
        <w:rPr>
          <w:rFonts w:ascii="Times New Roman" w:hAnsi="Times New Roman" w:cs="Times New Roman"/>
          <w:color w:val="000000" w:themeColor="text1"/>
          <w:sz w:val="24"/>
          <w:szCs w:val="24"/>
        </w:rPr>
        <w:lastRenderedPageBreak/>
        <w:t xml:space="preserve">This according to him cast a gloomy picture on the farming industry. His findings also revealed that the 1991 farming season was characterized by poor harvests because of the insecurity in the area which reduced the incomes of the people. According to his findings, the majority of farmers were unable to prepare their land for the production of food crops, and the yield of these crops was impacted in Kpandai by a number of factors, including agricultural neglect, a lack of planting supplies and incentives, and a host of other issues. These findings had significant ramifications for the nation as a whole. The picture from this finding is that destructive chieftaincy conflicts are inimical to any creative approach to the maintenance and achievement of food security. Communities whose livelihood depends on agricultural (farming) products either abandon their products in the field or restrain from cultivating the land due to fear of death. This, does not only create food shortages and price hikes within the immediate conflict prone zones, but also endanger the lives of distant people who patronise the food crops of the immediate affected farmers (producers) for their survival. This may also lead to various coping strategies, which nonetheless may affect their health of the people. </w:t>
      </w:r>
    </w:p>
    <w:p w14:paraId="651EAED2"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conclusions of (Africa Growth Initiative, 2014) analysis of the disputes between Mali and Nigeria support this claim. According to the projection, agricultural output decreases annually by an average of 12.3 percent during times of conflict. Furthermore, the AGI study showed that the impact of violence on crop output for example, rice production in 2012 showed a 43 percent drop in real yield when compared to 2011 levels. The AGI findings also showed that the decrease in crop output was caused by a decrease in labor availability because farmers and farm laborers were afraid of attacks on their properties or while traveling to them, which resulted in insufficient and inappropriate time for weeding and harvesting. Therefore, AGI came to the conclusion </w:t>
      </w:r>
      <w:r w:rsidRPr="00E2630C">
        <w:rPr>
          <w:rFonts w:ascii="Times New Roman" w:hAnsi="Times New Roman" w:cs="Times New Roman"/>
          <w:color w:val="000000" w:themeColor="text1"/>
          <w:sz w:val="24"/>
          <w:szCs w:val="24"/>
        </w:rPr>
        <w:lastRenderedPageBreak/>
        <w:t>that there are four main effects of the violence in Mali and Nigeria on food crops along the agricultural value chain: lower human mobility; decreased market and input access; increased asset theft; and higher input and product pricing.</w:t>
      </w:r>
    </w:p>
    <w:p w14:paraId="6525A533" w14:textId="34C5E66D"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Furthermore, farm labor was also impacted by the Bawku war, according to Kendie and Bukari (201</w:t>
      </w:r>
      <w:r w:rsidR="00532B46" w:rsidRPr="00E2630C">
        <w:rPr>
          <w:rFonts w:ascii="Times New Roman" w:hAnsi="Times New Roman" w:cs="Times New Roman"/>
          <w:color w:val="000000" w:themeColor="text1"/>
          <w:sz w:val="24"/>
          <w:szCs w:val="24"/>
        </w:rPr>
        <w:t>2</w:t>
      </w:r>
      <w:r w:rsidRPr="00E2630C">
        <w:rPr>
          <w:rFonts w:ascii="Times New Roman" w:hAnsi="Times New Roman" w:cs="Times New Roman"/>
          <w:color w:val="000000" w:themeColor="text1"/>
          <w:sz w:val="24"/>
          <w:szCs w:val="24"/>
        </w:rPr>
        <w:t>) findings. This was because many farmers who previously employed "cheap" labor on their fields were unable to do so due to the insecurity and violence that had made many people reluctant to travel to Bawku for employment. They, therefore, concluded that the protracted conflict in Bawku has a debilitating effects on agriculture - food crop production, livestock rearing, marketing of farm produce, and the provision of agricultural services. Aganah (2008) conducted a study on the Bawku conflict that found farmers, particularly those who cultivate perishable goods like onions and watermelons, incur significant losses during the onset of violence in the Municipality. His research also showed that the majority of farmers were compelled to give up their crops during the turmoil because they were afraid of being assaulted or because the government/security apparatus had imposed a curfew. Therefore, he came to the conclusion that the chieftaincy war had a negative impact on agricultural productivity, marketing, and investment since it prevented farmers from visiting their farms, forcing the majority of them to give up farming completely during violent confrontations. One crucial component of human well-being that is directly impacted by conflicts is food security. In fact, agricultural operations, market accessibility, and food supply chains are disrupted by destructive conflicts.</w:t>
      </w:r>
    </w:p>
    <w:p w14:paraId="703F797B" w14:textId="77777777" w:rsidR="00CD3724" w:rsidRPr="00E2630C" w:rsidRDefault="00CD3724" w:rsidP="00E62964">
      <w:pPr>
        <w:pStyle w:val="Heading3"/>
      </w:pPr>
      <w:bookmarkStart w:id="58" w:name="_Toc182386251"/>
      <w:r w:rsidRPr="00E2630C">
        <w:t>2.20.3 Conflict and community security</w:t>
      </w:r>
      <w:bookmarkEnd w:id="58"/>
    </w:p>
    <w:p w14:paraId="4E24495C"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Community security is conceived as the protection and well-being of individuals and communities within a society. Conflicts can significantly impact community security, leading to increased vulnerability, social unrest, and instability. Conflicts can disrupt </w:t>
      </w:r>
      <w:r w:rsidRPr="00E2630C">
        <w:rPr>
          <w:rFonts w:ascii="Times New Roman" w:hAnsi="Times New Roman" w:cs="Times New Roman"/>
          <w:color w:val="000000" w:themeColor="text1"/>
          <w:sz w:val="24"/>
          <w:szCs w:val="24"/>
        </w:rPr>
        <w:lastRenderedPageBreak/>
        <w:t>social cohesion within communities, leading to divisions along ethnic, religious, or political lines. Issifu (2015) study on the Dagbon conflict revealed that discriminatory practices and violence during conflicts create deep-seated mistrust and suspicion among different community members. This erosion of social bonds can weaken community support systems and hinder collective responses to challenges.</w:t>
      </w:r>
    </w:p>
    <w:p w14:paraId="611F3AFE"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Conflict situations often lead to an escalation of communal tensions, as grievances and competition over resources intensify. Chieftaincy and ethnic conflicts, as observed in Ghana can polarize communities and perpetuate historical grievances, leading to cycles of violence and retribution. (Bukari et al., 2016) study demonstrated that the Bawku conflict resulted in strained relationships and economic isolation due to division along ethnic lines. Conflict-induced displacement can make communities more vulnerable to violence, exploitation, and insecurity. The UNDP (2012) study on conflict mapping in northern Ghana revealed that conflicts force community members to seek safety in unfamiliar areas, where they may face hostility or lack essential services. Displaced populations are at higher risk of experiencing food insecurity, lack of access to healthcare, and psychological trauma.</w:t>
      </w:r>
    </w:p>
    <w:p w14:paraId="062703AF"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Conflict situations can disrupt local governance structures, weakening institutions responsible for ensuring community security and well-being. The UNDP (2012) study further highlighted that conflicts divert scarce resources from development projects to security measures, undermining community development and support systems. The breakdown of local governance can leave communities without adequate protection and essential services. Conflicts severely affect livelihoods within communities, leading to economic insecurity and increased vulnerability. The destruction of agricultural fields, disruption of trade and commerce, and reduced access to markets and resources (Africa </w:t>
      </w:r>
      <w:r w:rsidRPr="00E2630C">
        <w:rPr>
          <w:rFonts w:ascii="Times New Roman" w:hAnsi="Times New Roman" w:cs="Times New Roman"/>
          <w:color w:val="000000" w:themeColor="text1"/>
          <w:sz w:val="24"/>
          <w:szCs w:val="24"/>
        </w:rPr>
        <w:lastRenderedPageBreak/>
        <w:t>Growth Initiative, 2014) hinder the economic well-being of community members. The resulting economic strain can exacerbate tensions and social instability.</w:t>
      </w:r>
    </w:p>
    <w:p w14:paraId="21C50926" w14:textId="77777777" w:rsidR="00CD3724" w:rsidRPr="00E2630C" w:rsidRDefault="00CD3724" w:rsidP="00E62964">
      <w:pPr>
        <w:pStyle w:val="Heading3"/>
      </w:pPr>
      <w:bookmarkStart w:id="59" w:name="_Toc182386252"/>
      <w:r w:rsidRPr="00E2630C">
        <w:t>2.20.4 Conflict and Environmental Security</w:t>
      </w:r>
      <w:bookmarkEnd w:id="59"/>
    </w:p>
    <w:p w14:paraId="1EFCAF9A"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Environmental security is an essential component of overall human well-being, yet conflicts can have detrimental effects on natural resources, ecosystems, and environmental sustainability (Reiterer, 2015)</w:t>
      </w:r>
      <w:r w:rsidRPr="00E2630C">
        <w:rPr>
          <w:rStyle w:val="yiv2909838055s1"/>
          <w:rFonts w:ascii="Times New Roman" w:hAnsi="Times New Roman" w:cs="Times New Roman"/>
          <w:color w:val="000000" w:themeColor="text1"/>
          <w:sz w:val="24"/>
          <w:szCs w:val="24"/>
        </w:rPr>
        <w:t xml:space="preserve">. </w:t>
      </w:r>
      <w:bookmarkStart w:id="60" w:name="_Hlk157771827"/>
      <w:r w:rsidRPr="00E2630C">
        <w:rPr>
          <w:rFonts w:ascii="Times New Roman" w:hAnsi="Times New Roman" w:cs="Times New Roman"/>
          <w:color w:val="000000" w:themeColor="text1"/>
          <w:sz w:val="24"/>
          <w:szCs w:val="24"/>
        </w:rPr>
        <w:t xml:space="preserve">Conflicts often result in environmental degradation due to factors such as deforestation, land degradation, and pollution. </w:t>
      </w:r>
      <w:bookmarkEnd w:id="60"/>
      <w:r w:rsidRPr="00E2630C">
        <w:rPr>
          <w:rFonts w:ascii="Times New Roman" w:hAnsi="Times New Roman" w:cs="Times New Roman"/>
          <w:color w:val="000000" w:themeColor="text1"/>
          <w:sz w:val="24"/>
          <w:szCs w:val="24"/>
        </w:rPr>
        <w:t>During conflicts, activities such as illegal logging, mining, and agriculture expansion may intensify as regulatory mechanisms weaken or collapse (Africa Growth Initiative, 2014). Africa Growth Initiative AGI's (2014) study on conflicts in Mali and Nigeria revealed that insecurity in these regions led to increased theft of various assets, including natural resources, exacerbating environmental degradation.</w:t>
      </w:r>
    </w:p>
    <w:p w14:paraId="5EE974A5" w14:textId="77777777" w:rsidR="00CD3724" w:rsidRPr="00E2630C" w:rsidRDefault="00CD3724" w:rsidP="00CD3724">
      <w:pPr>
        <w:pStyle w:val="NoSpacing"/>
        <w:rPr>
          <w:rFonts w:ascii="Times New Roman" w:hAnsi="Times New Roman" w:cs="Times New Roman"/>
          <w:color w:val="000000" w:themeColor="text1"/>
          <w:sz w:val="24"/>
          <w:szCs w:val="24"/>
        </w:rPr>
      </w:pPr>
    </w:p>
    <w:p w14:paraId="3D2CC5A5"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Conflict zones can experience a loss of biodiversity as ecosystems face disruptions and habitat destruction. The displacement of communities and the breakdown of governance structures may lead to unsustainable hunting, fishing, and land use practices, negatively impacting wildlife populations. AGI's (2014) research in Mali and Nigeria further found that conflict-induced insecurity reduced human mobility, restricted access to biodiverse areas and affected wildlife conservation efforts in the study localities. Conflicts have affected water scarcity contributed to pollution, affecting both human populations and the environment in some conflict prone communities. For instance, AGI (2014) study revealed the destruction of infrastructure and contamination of water sources during the conflict can compromise access to clean and safe water for drinking and agriculture. AGI (2014) highlighted that the reduction in human mobility during conflicts can also affect water availability for irrigation and livestock rearing.</w:t>
      </w:r>
    </w:p>
    <w:p w14:paraId="79A70D66"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In addition to the above, Conflict can have implications for climate change and vice versa. Conflicts may lead to increased greenhouse gas emissions, as disruptions in governance and law enforcement enable illegal activities that contribute to environmental degradation (Reiterer, 2015)</w:t>
      </w:r>
      <w:r w:rsidRPr="00E2630C">
        <w:rPr>
          <w:rStyle w:val="yiv2909838055s1"/>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t>On the other hand, climate change-induced resource scarcity and environmental stress can exacerbate pre-existing conflicts over natural resources. Conflicts may have long-term ecological consequences that persist even after the cessation of hostilities. Landmines and unexploded ordnance can continue to cause environmental damage and endanger human and animal populations (Reiterer, 2015)</w:t>
      </w:r>
      <w:r w:rsidRPr="00E2630C">
        <w:rPr>
          <w:rStyle w:val="yiv2909838055s1"/>
          <w:rFonts w:ascii="Times New Roman" w:hAnsi="Times New Roman" w:cs="Times New Roman"/>
          <w:color w:val="000000" w:themeColor="text1"/>
          <w:sz w:val="24"/>
          <w:szCs w:val="24"/>
        </w:rPr>
        <w:t>.</w:t>
      </w:r>
      <w:r w:rsidRPr="00E2630C">
        <w:rPr>
          <w:rFonts w:ascii="Times New Roman" w:hAnsi="Times New Roman" w:cs="Times New Roman"/>
          <w:color w:val="000000" w:themeColor="text1"/>
          <w:sz w:val="24"/>
          <w:szCs w:val="24"/>
        </w:rPr>
        <w:t xml:space="preserve"> For instance, during the conflict in Bimbilla the community was under curfew which led to people stealing the livestock of the indigenes during night by unknown personalities who purported to be security personnel because they were in their uniform and others were shot dead due to the conflict, this put the environment at risk, also most of the farms were burnt by the conflicting parties. Recently the rift between the Manprusis and the kusasis has led to people stealing and killing livestock’s and other agric produce which makes the environment unstable for the citizens to live. Additionally, post-conflict environmental rehabilitation may be hampered by continued insecurity and limited resources.</w:t>
      </w:r>
    </w:p>
    <w:p w14:paraId="339F082B" w14:textId="77777777" w:rsidR="00CD3724" w:rsidRPr="00E2630C" w:rsidRDefault="00CD3724" w:rsidP="00E62964">
      <w:pPr>
        <w:pStyle w:val="Heading3"/>
      </w:pPr>
      <w:bookmarkStart w:id="61" w:name="_Toc182386253"/>
      <w:r w:rsidRPr="00E2630C">
        <w:t>2.20.5 Conflict and Health Security</w:t>
      </w:r>
      <w:bookmarkEnd w:id="61"/>
    </w:p>
    <w:p w14:paraId="770933FB"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Health security is a critical aspect of overall well-being that is profoundly affected by conflicts. Conflicts can severely damage healthcare infrastructure, leading to a significant reduction in the capacity to provide essential medical services. Studies have shown that conflict situations often destroy health facilities, hindering access to healthcare for the affected population. The UNDP (2012) study on conflict mapping in northern Ghana revealed that conflicts divert scarce resources from development to security, leading to a deterioration of health facilities and services in the region. Conflict </w:t>
      </w:r>
      <w:r w:rsidRPr="00E2630C">
        <w:rPr>
          <w:rFonts w:ascii="Times New Roman" w:hAnsi="Times New Roman" w:cs="Times New Roman"/>
          <w:color w:val="000000" w:themeColor="text1"/>
          <w:sz w:val="24"/>
          <w:szCs w:val="24"/>
        </w:rPr>
        <w:lastRenderedPageBreak/>
        <w:t>zones thus, often face restricted access to medical services due to security risks and disruptions in transportation and communication networks. The UNDP (2012) study further highlighted that during conflicts, heavy loss of life, injury to affected and innocent bystanders, and destruction of property occur, leading to a decrease in the availability of medical personnel and resources. This restricted access to medical services significantly impacts the health security of the affected population.</w:t>
      </w:r>
    </w:p>
    <w:p w14:paraId="371C26A2"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Conflicts can create significant health vulnerabilities, making the population susceptible to various health risks and disease outbreaks. Displaced populations living in overcrowded and unsanitary conditions are more prone to infectious diseases. Studies have shown that conflicts disrupt vaccination programs and disease surveillance systems, increasing the risk of epidemics. Additionally, Africa Growth Initiative (2014) research in Mali and Nigeria revealed that conflict-induced insecurity disrupted development projects, leading to reduced access to healthcare and public health interventions.</w:t>
      </w:r>
    </w:p>
    <w:p w14:paraId="4E02F7D5"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psychological impact of conflicts on individuals and communities can have long-lasting effects on mental health. Studies have shown that conflict-affected populations, including children and women, experience high levels of trauma, anxiety, and depression. The disruption of social networks, loss of loved ones, and exposure to violence contribute to deteriorating mental health outcomes (Africa Growth Initiative, 2014). Additionally, the psychological trauma resulting from conflicts further compounds health challenges in these regions. Policymakers and humanitarian organizations must prioritize efforts to rebuild healthcare infrastructure, support mental health services, and strengthen disease surveillance systems in conflict-affected areas to improve health security and overall well-being. Addressing the root causes of </w:t>
      </w:r>
      <w:r w:rsidRPr="00E2630C">
        <w:rPr>
          <w:rFonts w:ascii="Times New Roman" w:hAnsi="Times New Roman" w:cs="Times New Roman"/>
          <w:color w:val="000000" w:themeColor="text1"/>
          <w:sz w:val="24"/>
          <w:szCs w:val="24"/>
        </w:rPr>
        <w:lastRenderedPageBreak/>
        <w:t>conflicts and investing in sustainable healthcare solutions are crucial for enhancing health security in these vulnerable regions.</w:t>
      </w:r>
    </w:p>
    <w:p w14:paraId="62EA7E31" w14:textId="77777777" w:rsidR="00CD3724" w:rsidRPr="00E2630C" w:rsidRDefault="00CD3724" w:rsidP="00E62964">
      <w:pPr>
        <w:pStyle w:val="NoSpacing"/>
        <w:rPr>
          <w:lang w:eastAsia="en-GB"/>
        </w:rPr>
      </w:pPr>
    </w:p>
    <w:p w14:paraId="58F81982" w14:textId="77777777" w:rsidR="00CD3724" w:rsidRPr="00E2630C" w:rsidRDefault="00CD3724" w:rsidP="00E62964">
      <w:pPr>
        <w:pStyle w:val="Heading2"/>
        <w:rPr>
          <w:rFonts w:eastAsia="Times New Roman"/>
          <w:lang w:eastAsia="en-GB"/>
        </w:rPr>
      </w:pPr>
      <w:bookmarkStart w:id="62" w:name="_Toc182386254"/>
      <w:r w:rsidRPr="00E2630C">
        <w:rPr>
          <w:rFonts w:eastAsia="Times New Roman"/>
          <w:lang w:eastAsia="en-GB"/>
        </w:rPr>
        <w:t>2.21 Theories of conflict</w:t>
      </w:r>
      <w:bookmarkEnd w:id="62"/>
    </w:p>
    <w:p w14:paraId="40F765CC" w14:textId="77777777" w:rsidR="00CD3724" w:rsidRPr="00E2630C" w:rsidRDefault="00CD3724" w:rsidP="00E62964">
      <w:pPr>
        <w:pStyle w:val="Heading3"/>
      </w:pPr>
      <w:bookmarkStart w:id="63" w:name="_Toc182386255"/>
      <w:r w:rsidRPr="00E2630C">
        <w:t>2.21.1 Hobbes’ inherency theory of conflict</w:t>
      </w:r>
      <w:bookmarkEnd w:id="63"/>
    </w:p>
    <w:p w14:paraId="6E090737" w14:textId="77777777" w:rsidR="00CD3724" w:rsidRPr="00E2630C" w:rsidRDefault="00CD3724" w:rsidP="00CD3724">
      <w:pPr>
        <w:spacing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One well-known English philosopher who focused on the political and social structure of society is Hobbes (1998). The philosopher has focused on how people can coexist happily without worrying about social turmoil. The philosopher contends that anarchy is inherently linked to violent conflict. He continues by saying that every human being is at war with every other human being and that this is the state of nature. Hobbes believed that because people are constantly afraid of dying violently, their lives may be brief and unpleasant. This is due to the fact that people need security and defense against all types of conflict. which in the absence of industry, agriculture, health, trade, science, or the arts is impossible. Therefore, according to Hobbes' perspective and interpretation, human life is "solitary, poor, nasty, brutish, and short" (Hobbes, 1998).  </w:t>
      </w:r>
    </w:p>
    <w:p w14:paraId="6B66CD74"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lang w:eastAsia="en-GB"/>
        </w:rPr>
        <w:t xml:space="preserve">In essence, Hobbes seeks to demonstrate to the world that, despite human nature's preference for peaceful coexistence over conflict, hostile behavior actually advances and strengthens an individual's goal and motive more than acts of peace. Hobbes argues that because humans are inherently aggressive and crave power, their pursuit of it leads to conflict and the escalation of conflict. Hobbes goes on to argue that three aspects of human nature competition, diffidence, and glory necessitate conflict. It is impossible to contain the violent and aggressive tendencies of human nature when one pursues any of these three goals. It can be argued, however, that the idea of humans as being forceful and intransigent fails to consider environmental and other aspects of human security that might persuade people to act violently or aggressively, which could result in economic, environmental, personal, health, and food insecurity. Hobbes noted that the </w:t>
      </w:r>
      <w:r w:rsidRPr="00E2630C">
        <w:rPr>
          <w:rFonts w:ascii="Times New Roman" w:eastAsia="Times New Roman" w:hAnsi="Times New Roman" w:cs="Times New Roman"/>
          <w:color w:val="000000" w:themeColor="text1"/>
          <w:sz w:val="24"/>
          <w:szCs w:val="24"/>
          <w:lang w:eastAsia="en-GB"/>
        </w:rPr>
        <w:lastRenderedPageBreak/>
        <w:t>human race is marked by an unquenchable, even unrelenting, desire for power. According to Hobbes, people have an innate desire to battle, which means that power must rule communities. The only way to organize society for effective and peaceful operation is to impose will upon the ruled.</w:t>
      </w:r>
    </w:p>
    <w:p w14:paraId="61E4BA5F" w14:textId="77777777" w:rsidR="00CD3724" w:rsidRPr="00E2630C" w:rsidRDefault="00CD3724" w:rsidP="00CD3724">
      <w:pPr>
        <w:spacing w:before="240"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hAnsi="Times New Roman" w:cs="Times New Roman"/>
          <w:color w:val="000000" w:themeColor="text1"/>
          <w:sz w:val="24"/>
          <w:szCs w:val="24"/>
        </w:rPr>
        <w:t>A few years after Hobbes, Burke made the same argument, claiming that law and tradition are the only ways to limit human nature and human security's desire for conflict and bloodshed (Hampson, 2013). These British political philosophers' writings had a significant impact on how the democratic liberal state evolved in the West. The three pillars of Hobbes' inherency theory glory, competitiveness, and diffidence elucidate how these variables may contribute to conflict and impact human security. Hobbes' perspective on conflict illustrates how individuals, groups, and society import various weapons throughout battles in order to defend the things they have initiated. However, this causes some people to lose their property and die, raising concerns about human security.</w:t>
      </w:r>
    </w:p>
    <w:p w14:paraId="1ECEC99F" w14:textId="77777777" w:rsidR="00CD3724" w:rsidRPr="00E2630C" w:rsidRDefault="00CD3724" w:rsidP="00CD3724">
      <w:pPr>
        <w:spacing w:before="240"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Hobbes believed that people compete to fulfil their perceived wants, interests, and desires. As some observers have noted, competition is not solely caused by the overall shortage of natural resources (Malnes, 1993). However, they can also emerge as a result of the desire to enhance and maximize their instrumental power, and in this way, they can climb to the position of chief or subchief. Power is a concept that Hobbes defines as man's "present means to obtain some future apparent good," and competition makes people very concerned about it. Power is not absolute, and any lack of "natural power" can be made up for by an increase in "instrumental power," such as gaining friends, allies, cash, or a good reputation (Sorell, 1989). According to Hobbes's theory, power is deemed inflationary in and of itself because it is based on the power of others </w:t>
      </w:r>
      <w:r w:rsidRPr="00E2630C">
        <w:rPr>
          <w:rFonts w:ascii="Times New Roman" w:eastAsia="Times New Roman" w:hAnsi="Times New Roman" w:cs="Times New Roman"/>
          <w:color w:val="000000" w:themeColor="text1"/>
          <w:sz w:val="24"/>
          <w:szCs w:val="24"/>
          <w:lang w:eastAsia="en-GB"/>
        </w:rPr>
        <w:lastRenderedPageBreak/>
        <w:t>(Gauthier, 1969). For example, a person's ability to obtain and maintain a chieftaincy position or title in life may be considered sufficient if it is comparatively greater than the ability of others who share that desire, and insufficient if it is comparatively lesser than the ability of others who share that desire. Because of its inflationary character, those who seek power must inevitably obtain more power in order to preserve the authority they already possess (Lis-Balchin, 2012).  As a result, according to Lis-Balchin (2012), man has a perpetual and restless desire for power after power that can only be ended by death. This helps to explain why people are constantly fighting for resources and would stop at nothing to increase their authority.</w:t>
      </w:r>
    </w:p>
    <w:p w14:paraId="7E199CF1" w14:textId="77777777" w:rsidR="00CD3724" w:rsidRPr="00E2630C" w:rsidRDefault="00CD3724" w:rsidP="00CD3724">
      <w:pPr>
        <w:pStyle w:val="NoSpacing"/>
        <w:rPr>
          <w:rFonts w:ascii="Times New Roman" w:hAnsi="Times New Roman" w:cs="Times New Roman"/>
          <w:color w:val="000000" w:themeColor="text1"/>
          <w:sz w:val="24"/>
          <w:szCs w:val="24"/>
          <w:lang w:eastAsia="en-GB"/>
        </w:rPr>
      </w:pPr>
    </w:p>
    <w:p w14:paraId="37A6D4FE" w14:textId="77777777" w:rsidR="00CD3724" w:rsidRPr="00E2630C" w:rsidRDefault="00CD3724" w:rsidP="00CD3724">
      <w:pPr>
        <w:spacing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One of the main characteristics of Bimbilla chieftaincy disputes is competition and the battle for power, which is the initial source of conflict according to Hobbes' inherency theory. This is due to the fierce battle between the Bang Yili and Gbugma Yili lineages over the past 50 years to determine who will dominate Bimbilla in the future (Field Survey 2019). According to Field Survey (2019), these power conflicts have led to violent clashes that have resulted in numerous deaths and property devastation. important factor for human security. Since none of the royal gates is willing to give up on taking control of their domain and resources, there are still power battles.</w:t>
      </w:r>
    </w:p>
    <w:p w14:paraId="1645EF77" w14:textId="77777777" w:rsidR="00CD3724" w:rsidRPr="00E2630C" w:rsidRDefault="00CD3724" w:rsidP="00CD3724">
      <w:pPr>
        <w:spacing w:before="240"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Hobbes believes that distrust or a lack of confidence in other people is the second reason for conflict. He explains that people's quest for protection and security gives rise to diffidence. Hobbes defined diffidence as a result of friction between individuals being a lack of trust. Hobbes based this on his belief that no individual or group of individuals should assert inherent superiority over the other in the competition. Competition and mistrust are the two factors that eventually cause social unrest in society because parties and their opponents believe they can destroy each other in order to achieve their goals, </w:t>
      </w:r>
      <w:r w:rsidRPr="00E2630C">
        <w:rPr>
          <w:rFonts w:ascii="Times New Roman" w:eastAsia="Times New Roman" w:hAnsi="Times New Roman" w:cs="Times New Roman"/>
          <w:color w:val="000000" w:themeColor="text1"/>
          <w:sz w:val="24"/>
          <w:szCs w:val="24"/>
          <w:lang w:eastAsia="en-GB"/>
        </w:rPr>
        <w:lastRenderedPageBreak/>
        <w:t>either through cunning maneuvers or by working with a third ally that is at least as dangerous as them in an effort to start a conflict. Because of this, a situation like this in human nature eventually fosters a climate of mutual fear, which forces people to attack one another based only on the logic of the circumstance, regardless of their true motivations (Ryan, 1996).</w:t>
      </w:r>
    </w:p>
    <w:p w14:paraId="14005DE2" w14:textId="77777777" w:rsidR="00CD3724" w:rsidRPr="00E2630C" w:rsidRDefault="00CD3724" w:rsidP="00CD3724">
      <w:pPr>
        <w:spacing w:before="240"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The Bimbilla chieftaincy dispute is one way that the issue of diffidence shows up. Because of the mistrust issue, attempts by many stakeholders to step in and resolve the quarrel have failed. The parties are constantly wary of one another and have not been able to have faith in the opponent's attempts to resolve the problem, legitimate or otherwise. Any shareholder that any party believes to be an opponent's ally is equally subject to suspicion and mistrust. Any sympathiser who makes an effort to assist in settling the dispute is viewed through the eyes of the other and is doubtful. As a result, the royal families' lack of mutual trust and suspicion of one another serves to prolong the struggle.</w:t>
      </w:r>
    </w:p>
    <w:p w14:paraId="6D1E5CAC" w14:textId="77777777" w:rsidR="00CD3724" w:rsidRPr="00E2630C" w:rsidRDefault="00CD3724" w:rsidP="00CD3724">
      <w:pPr>
        <w:pStyle w:val="NoSpacing"/>
        <w:spacing w:before="240" w:line="480" w:lineRule="auto"/>
        <w:jc w:val="both"/>
        <w:rPr>
          <w:rFonts w:ascii="Times New Roman" w:hAnsi="Times New Roman" w:cs="Times New Roman"/>
          <w:color w:val="000000" w:themeColor="text1"/>
          <w:sz w:val="24"/>
          <w:szCs w:val="24"/>
          <w:lang w:eastAsia="en-GB"/>
        </w:rPr>
      </w:pPr>
      <w:r w:rsidRPr="00E2630C">
        <w:rPr>
          <w:rFonts w:ascii="Times New Roman" w:hAnsi="Times New Roman" w:cs="Times New Roman"/>
          <w:color w:val="000000" w:themeColor="text1"/>
          <w:sz w:val="24"/>
          <w:szCs w:val="24"/>
          <w:lang w:eastAsia="en-GB"/>
        </w:rPr>
        <w:t xml:space="preserve">Hobbes believed that the natural human drive for glory is the third source of conflict. This desire is universal and common to all people. The goal of true glory is to assist in granting the safety and security that each individual naturally possesses so that the adversary can value each other according to their own standards. As a result, everyone in the natural condition of affairs has a rational desire for glory and will do whatever it takes to obtain it. Hobbes believed that a person's worth was determined by the cost others were willing to pay to use their influence (Gauthier, 1969). According to Gauthier (1969), glory seekers desire to be valued in some way, and that value "is the price that others would pay for the use of his glory (power)". Glory is linked to reputation and fosters a social climate where people highly value the power that others </w:t>
      </w:r>
      <w:r w:rsidRPr="00E2630C">
        <w:rPr>
          <w:rFonts w:ascii="Times New Roman" w:hAnsi="Times New Roman" w:cs="Times New Roman"/>
          <w:color w:val="000000" w:themeColor="text1"/>
          <w:sz w:val="24"/>
          <w:szCs w:val="24"/>
          <w:lang w:eastAsia="en-GB"/>
        </w:rPr>
        <w:lastRenderedPageBreak/>
        <w:t>wield. Therefore, the affected person's safety and security are at risk due to their lack of glory or value. People are therefore more likely to disagree with persons who are thought to be of less worth (Hampsher-Monk, 2010). When someone is seeking glory, their actions are motivated by the desire to establish a positive reputation for themselves, often at the expense of those who they perceive to be less valuable or superior. However, a person's safety and security cannot be in jeopardy if they are able to fend off attacks and are difficult to control in a conflict situation. Nonetheless, there exist both pragmatic and irrational aspirants to fame (Malnes, 1993).</w:t>
      </w:r>
    </w:p>
    <w:p w14:paraId="40D62DD1" w14:textId="77777777" w:rsidR="00CD3724" w:rsidRPr="00E2630C" w:rsidRDefault="00CD3724" w:rsidP="00CD3724">
      <w:pPr>
        <w:spacing w:before="240"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Those that adhere to opposing organizations or gates are the realistic glory seekers. The conceited or unrealistic glory seekers seek fame primarily from the flattery of others or from their own inflated perceptions of themselves, not from their deeds or abilities. These people lack the guts and willpower to face a challenging circumstance or danger, and they may choose to give up or forfeit their honor and reputation (i.e., glory) with justifications (Simmons, 2013)</w:t>
      </w:r>
    </w:p>
    <w:p w14:paraId="73A8842A" w14:textId="77777777" w:rsidR="00CD3724" w:rsidRPr="00E2630C" w:rsidRDefault="00CD3724" w:rsidP="00CD3724">
      <w:pPr>
        <w:spacing w:before="240"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Therefore, grandeur is referred to as vain glory when it is not supported by wonderful deeds. Realistic glory serves the purpose of providing protection and security for its claimant(s), but foolish glory by definition does not. Hobbes' definition of glory is inconsistent with the concept of power held by aggressors. The reason for this is that their ambition for fame is predicated on their "acts of conquest." Aggressors believe that by acting violently, they are demonstrating to others especially those who might attack them that they are capable of resisting and defending themselves. Because of their very nature, aggressors are people who value glory so highly that they are constantly willing to put their lives in danger to obtain it (Ryan, 1996)</w:t>
      </w:r>
    </w:p>
    <w:p w14:paraId="22E325E9"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One of the primary features of the Bimbilla battle is the quest for glory. The royal families of Bang Yili and Gbugma Yili both view their respective groups as dominant, so in order to demonstrate their dominance over one another, they must fight each other, which often results in violent altercations, in order to achieve what Hobbes refers to as "realistic glory." One of the main reasons for the decades-long war between the Bang Yili and Gbugma Yili was their competing claims to realistic greatness. Inherency theories share common characteristics and sources of conflict, as described by (Webb, 1992). These are: People are inherently inclined toward domination and power; violence is merely an extreme but common manifestation of this inclination. </w:t>
      </w:r>
    </w:p>
    <w:p w14:paraId="7F322FC9"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Collective political violence is just one avenue for power; there are other avenues as well. The main issue is figuring out why there aren't more violent episodes. The decision to use violence must take tactical considerations into account. Cost-benefit analyses have an impact on tactical decisions. Cultural influences both discourage an</w:t>
      </w:r>
      <w:r w:rsidR="00610DEB" w:rsidRPr="00E2630C">
        <w:rPr>
          <w:rFonts w:ascii="Times New Roman" w:hAnsi="Times New Roman" w:cs="Times New Roman"/>
          <w:color w:val="000000" w:themeColor="text1"/>
          <w:sz w:val="24"/>
          <w:szCs w:val="24"/>
        </w:rPr>
        <w:t>d encourage the use of violence.</w:t>
      </w:r>
      <w:r w:rsidRPr="00E2630C">
        <w:rPr>
          <w:rFonts w:ascii="Times New Roman" w:hAnsi="Times New Roman" w:cs="Times New Roman"/>
          <w:color w:val="000000" w:themeColor="text1"/>
          <w:sz w:val="24"/>
          <w:szCs w:val="24"/>
        </w:rPr>
        <w:t xml:space="preserve"> </w:t>
      </w:r>
    </w:p>
    <w:p w14:paraId="4360318C" w14:textId="77777777" w:rsidR="00CD3724" w:rsidRPr="00E2630C" w:rsidRDefault="00CD3724" w:rsidP="00990904">
      <w:pPr>
        <w:pStyle w:val="Heading3"/>
      </w:pPr>
      <w:bookmarkStart w:id="64" w:name="_Toc182386256"/>
      <w:r w:rsidRPr="00E2630C">
        <w:t>2.21.2 Ron Kurtus Theory of Security</w:t>
      </w:r>
      <w:bookmarkEnd w:id="64"/>
    </w:p>
    <w:p w14:paraId="5C59A7B1"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Ron Kurtus theory of security has three dimensions: (1) the types of possible attacks or causes of conflict, (2) aware of the motivations for the attacks and (3) a person’s relationship to those motives. According to the theory, the best way to provide security or defend against such a threat is to make it difficult for an attacker to succeed, protect the community and its members from harm, threaten to take countermeasures, or launch an early attack on the threat's source to keep everyone safe. Kurtus suggests three questions to address in order to stop individuals from being attacked: </w:t>
      </w:r>
    </w:p>
    <w:p w14:paraId="7683175A"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What kind of potential attacks need security?</w:t>
      </w:r>
    </w:p>
    <w:p w14:paraId="1E23C0AC"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lastRenderedPageBreak/>
        <w:t>• How ought one to respond to these threats?</w:t>
      </w:r>
    </w:p>
    <w:p w14:paraId="5CA34C64"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What kinds of defenses are available to you?</w:t>
      </w:r>
    </w:p>
    <w:p w14:paraId="7FB68439"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To prevent an attack on a person, piece of property, or organization, security is necessary. You must be aware of your vulnerabilities, the different kinds of potential assaults, and their goals. Making it harder to attack, threatening countermeasures, or launching an early strike on a threat source are the security or defense against such a threat. Kurtus further suggested that prior to implementing mechanisms to safeguard the security of a community or a nation, there should be instruction in responding to concerns raised by members of the community or other impacted parties.</w:t>
      </w:r>
    </w:p>
    <w:p w14:paraId="17FB6E21" w14:textId="77777777" w:rsidR="00CD3724" w:rsidRPr="00E2630C" w:rsidRDefault="00CD3724" w:rsidP="00CD3724">
      <w:pPr>
        <w:pStyle w:val="NormalWeb"/>
        <w:spacing w:line="480" w:lineRule="auto"/>
        <w:jc w:val="both"/>
        <w:rPr>
          <w:color w:val="000000" w:themeColor="text1"/>
        </w:rPr>
      </w:pPr>
      <w:r w:rsidRPr="00E2630C">
        <w:rPr>
          <w:b/>
          <w:color w:val="000000" w:themeColor="text1"/>
        </w:rPr>
        <w:t>Possible attacks</w:t>
      </w:r>
      <w:r w:rsidRPr="00E2630C">
        <w:rPr>
          <w:color w:val="000000" w:themeColor="text1"/>
        </w:rPr>
        <w:t>: There are criminally-minded people who may attempt to attack individuals, property or organizations. During conflict in the communities, people are forced to migrate to cities in anticipation of jobs. Those who are unable to succeed economically, often come back to the communities and may engage robbery activities and attack individuals or traders.</w:t>
      </w:r>
    </w:p>
    <w:p w14:paraId="23BC9F5D"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Attack on person: An attack on a person may be intended to injure them physically or psychologically. It might also be meant to cause financial harm or damage to someone's reputation. The goal of a physical attack could be to cause the victim harm or even death. Water bodies in Bimbilla were poisoned and there were reciprocal gun attacks throughout the fighting.  </w:t>
      </w:r>
    </w:p>
    <w:p w14:paraId="163A6F2E"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b/>
          <w:color w:val="000000" w:themeColor="text1"/>
          <w:sz w:val="24"/>
          <w:szCs w:val="24"/>
        </w:rPr>
        <w:t>Attack on properties</w:t>
      </w:r>
      <w:r w:rsidRPr="00E2630C">
        <w:rPr>
          <w:rFonts w:ascii="Times New Roman" w:hAnsi="Times New Roman" w:cs="Times New Roman"/>
          <w:color w:val="000000" w:themeColor="text1"/>
          <w:sz w:val="24"/>
          <w:szCs w:val="24"/>
        </w:rPr>
        <w:t xml:space="preserve">: An attack has the potential to destroy or seriously damage property and buildings. Theft and home burning are two other forms of attacks against property. It is normal for people to be burning their enemies’ properties during conflict which could either be their houses, farms or means of transportation. For instance, </w:t>
      </w:r>
      <w:r w:rsidRPr="00E2630C">
        <w:rPr>
          <w:rFonts w:ascii="Times New Roman" w:hAnsi="Times New Roman" w:cs="Times New Roman"/>
          <w:color w:val="000000" w:themeColor="text1"/>
          <w:sz w:val="24"/>
          <w:szCs w:val="24"/>
        </w:rPr>
        <w:lastRenderedPageBreak/>
        <w:t>Aganah (2008) study found that the chieftaincy conflict in Bawku Municipality resulted in the loss of capital through burning of houses and shops, and restricted and discriminatory business transactions.</w:t>
      </w:r>
    </w:p>
    <w:p w14:paraId="5AC7FA9F" w14:textId="77777777" w:rsidR="00CD3724" w:rsidRPr="00E2630C" w:rsidRDefault="00CD3724" w:rsidP="00CD3724">
      <w:pPr>
        <w:pStyle w:val="NormalWeb"/>
        <w:spacing w:before="0" w:beforeAutospacing="0" w:after="0" w:afterAutospacing="0" w:line="480" w:lineRule="auto"/>
        <w:jc w:val="both"/>
        <w:rPr>
          <w:color w:val="000000" w:themeColor="text1"/>
        </w:rPr>
      </w:pPr>
      <w:r w:rsidRPr="00E2630C">
        <w:rPr>
          <w:b/>
          <w:color w:val="000000" w:themeColor="text1"/>
        </w:rPr>
        <w:t>Attack on organisation:</w:t>
      </w:r>
      <w:r w:rsidRPr="00E2630C">
        <w:rPr>
          <w:color w:val="000000" w:themeColor="text1"/>
        </w:rPr>
        <w:t xml:space="preserve"> Attacks against businesses, groups, governments, and nations are possible. The goal is to either completely demolish the organization's structure or potentially seize control of it by coercion or deceit. During conflict in the community most of the organisations both the public and NGO sector are always close in fear of their life.</w:t>
      </w:r>
    </w:p>
    <w:p w14:paraId="44E68778" w14:textId="77777777" w:rsidR="00CD3724" w:rsidRPr="00E2630C" w:rsidRDefault="00CD3724" w:rsidP="00CD3724">
      <w:pPr>
        <w:pStyle w:val="NormalWeb"/>
        <w:spacing w:line="480" w:lineRule="auto"/>
        <w:jc w:val="both"/>
        <w:rPr>
          <w:color w:val="000000" w:themeColor="text1"/>
        </w:rPr>
      </w:pPr>
      <w:r w:rsidRPr="00E2630C">
        <w:rPr>
          <w:b/>
          <w:color w:val="000000" w:themeColor="text1"/>
        </w:rPr>
        <w:t xml:space="preserve">Self-Protection: self-protection </w:t>
      </w:r>
      <w:r w:rsidRPr="00E2630C">
        <w:rPr>
          <w:color w:val="000000" w:themeColor="text1"/>
        </w:rPr>
        <w:t>against a threat</w:t>
      </w:r>
      <w:r w:rsidRPr="00E2630C">
        <w:rPr>
          <w:b/>
          <w:color w:val="000000" w:themeColor="text1"/>
        </w:rPr>
        <w:t xml:space="preserve"> requires an </w:t>
      </w:r>
      <w:r w:rsidRPr="00E2630C">
        <w:rPr>
          <w:color w:val="000000" w:themeColor="text1"/>
        </w:rPr>
        <w:t>awareness of possible threats, knowing the motivations of attackers and examining ones vulnerabilities against those motives. In conflict situation, a major self-protection mechanisms where possible is to migrate to safer zones or regions.</w:t>
      </w:r>
    </w:p>
    <w:p w14:paraId="5AE7DB09" w14:textId="77777777" w:rsidR="00CD3724" w:rsidRPr="00E2630C" w:rsidRDefault="00CD3724" w:rsidP="00CD3724">
      <w:pPr>
        <w:pStyle w:val="NormalWeb"/>
        <w:spacing w:line="480" w:lineRule="auto"/>
        <w:jc w:val="both"/>
        <w:rPr>
          <w:color w:val="000000" w:themeColor="text1"/>
        </w:rPr>
      </w:pPr>
      <w:r w:rsidRPr="00E2630C">
        <w:rPr>
          <w:b/>
          <w:color w:val="000000" w:themeColor="text1"/>
        </w:rPr>
        <w:t>Motivation:</w:t>
      </w:r>
      <w:r w:rsidRPr="00E2630C">
        <w:rPr>
          <w:color w:val="000000" w:themeColor="text1"/>
        </w:rPr>
        <w:t xml:space="preserve"> For financial gain, personal vengeance, to further a cause, or just for fun and excitement, a criminal assailant may wish to target another person, piece of property, or organization. Others also do that by following the instruction of their pay masters which is the (conflict) financiers, this nonetheless protracts conflicts as found by Marfo et al. (2022) in their study involving the Dagbon chieftaincy conflicts. </w:t>
      </w:r>
    </w:p>
    <w:p w14:paraId="0BCADD50" w14:textId="77777777" w:rsidR="00CD3724" w:rsidRPr="00E2630C" w:rsidRDefault="00CD3724" w:rsidP="00CD3724">
      <w:pPr>
        <w:pStyle w:val="NormalWeb"/>
        <w:spacing w:line="480" w:lineRule="auto"/>
        <w:jc w:val="both"/>
        <w:rPr>
          <w:color w:val="000000" w:themeColor="text1"/>
        </w:rPr>
      </w:pPr>
      <w:r w:rsidRPr="00E2630C">
        <w:rPr>
          <w:b/>
          <w:color w:val="000000" w:themeColor="text1"/>
        </w:rPr>
        <w:t>Vulnerability:</w:t>
      </w:r>
      <w:r w:rsidRPr="00E2630C">
        <w:rPr>
          <w:color w:val="000000" w:themeColor="text1"/>
        </w:rPr>
        <w:t xml:space="preserve"> There are instances where individuals or their belongings could be attacked. They can assess their potential weak points by being aware of the potential reasons and applying common sense. It goes without saying that wandering in your enemy's territory or alone on a gloomy night during hostilities are dangerous and increase your risk of being attacked. People are exposed and vulnerable in a lot of different settings. Personal property that is outside of your borders is extremely open to attack. For instance, keeping your properties out of your enemies premises or zone are </w:t>
      </w:r>
      <w:r w:rsidRPr="00E2630C">
        <w:rPr>
          <w:color w:val="000000" w:themeColor="text1"/>
        </w:rPr>
        <w:lastRenderedPageBreak/>
        <w:t xml:space="preserve">good security measures. Property within the areas your enemies lives can be easily damaged or stolen during conflict. An enemy can break into a building through doors and windows to get you killed during conflict. Since those are vulnerable areas. Chieftaincy conflicts polarise communities as found in Bawku (Bukari et al., 2016) making the people and their properties susceptible to attacks by the opponents. </w:t>
      </w:r>
    </w:p>
    <w:p w14:paraId="0098EEE7" w14:textId="77777777" w:rsidR="00CD3724" w:rsidRPr="00E2630C" w:rsidRDefault="00CD3724" w:rsidP="00CD3724">
      <w:pPr>
        <w:pStyle w:val="NormalWeb"/>
        <w:spacing w:line="480" w:lineRule="auto"/>
        <w:jc w:val="both"/>
        <w:rPr>
          <w:color w:val="000000" w:themeColor="text1"/>
        </w:rPr>
      </w:pPr>
      <w:r w:rsidRPr="00E2630C">
        <w:rPr>
          <w:b/>
          <w:color w:val="000000" w:themeColor="text1"/>
        </w:rPr>
        <w:t>Deffense:</w:t>
      </w:r>
      <w:r w:rsidRPr="00E2630C">
        <w:rPr>
          <w:color w:val="000000" w:themeColor="text1"/>
        </w:rPr>
        <w:t xml:space="preserve"> Security or defense methods must be available in order to fend off an attack. It's also critical to react quickly to an attack. Attacking potential threats before they become a threat is sometimes a wise course of action. The only way to respond in the conflicting areas during conflict is to resort to the security by involving the police. However, because people often do not trust the security system in conflict situations, they usually resort to their own ways by also attacking back fuelling mutual destruction. This implies that rapid defensive and trusted security apparatus could help prevent most clashes engenderd by (chieftaincy) conflicts. This means that preparatory mechanisms should be put in place to make it difficult for the enemies or the criminal-mined person to launch an attack as outlined by Kurtus (2022) theory of security.  </w:t>
      </w:r>
    </w:p>
    <w:p w14:paraId="0611C72C" w14:textId="77777777" w:rsidR="00CD3724" w:rsidRPr="00E2630C" w:rsidRDefault="00CD3724" w:rsidP="00CD3724">
      <w:pPr>
        <w:pStyle w:val="NormalWeb"/>
        <w:spacing w:line="480" w:lineRule="auto"/>
        <w:jc w:val="both"/>
        <w:rPr>
          <w:color w:val="000000" w:themeColor="text1"/>
        </w:rPr>
      </w:pPr>
      <w:r w:rsidRPr="00E2630C">
        <w:rPr>
          <w:b/>
          <w:color w:val="000000" w:themeColor="text1"/>
        </w:rPr>
        <w:t>Threaten counter-attack:</w:t>
      </w:r>
      <w:r w:rsidRPr="00E2630C">
        <w:rPr>
          <w:color w:val="000000" w:themeColor="text1"/>
        </w:rPr>
        <w:t xml:space="preserve"> Demonstrating the capacity to mount a potent counteroffensive can deter criminals and conflict entrepreneurs. It would not be worth the danger to launch an attack. For example, a civilian is not allowed to attack a property if they are aware that security staff are directing them. An adversary is unlikely to attempt an infiltration of a structure that is fortified by armed security personnel. An alarm system on a vehicle or in a building is designed to notify the authorities of an intruder. This means that countries have to build fortified and trusted security agencies ready to fend off any forms of attack. This may also call for pre-emptive attack to foil any criminal and related plans. </w:t>
      </w:r>
      <w:r w:rsidR="00215E0E" w:rsidRPr="00E2630C">
        <w:rPr>
          <w:color w:val="000000" w:themeColor="text1"/>
        </w:rPr>
        <w:t xml:space="preserve">What this suggests is that early warning signs and </w:t>
      </w:r>
      <w:r w:rsidR="00215E0E" w:rsidRPr="00E2630C">
        <w:rPr>
          <w:color w:val="000000" w:themeColor="text1"/>
        </w:rPr>
        <w:lastRenderedPageBreak/>
        <w:t xml:space="preserve">signals pertaining to chieftaincy conflicts should be frequently updated to enable swift approach to any emergent violent clashes. In this regard, timely information sharing between the state security agencies and the citizenry is an essential proactive approach to any creeping chieftaincy conflicts before they explode to violent confrontations. </w:t>
      </w:r>
    </w:p>
    <w:p w14:paraId="73129FC0" w14:textId="77777777" w:rsidR="00CD3724" w:rsidRPr="00E2630C" w:rsidRDefault="00CD3724" w:rsidP="00990904">
      <w:pPr>
        <w:pStyle w:val="Heading3"/>
      </w:pPr>
      <w:bookmarkStart w:id="65" w:name="_Toc182386257"/>
      <w:r w:rsidRPr="00E2630C">
        <w:t>2.21.3 Theory of Securitization</w:t>
      </w:r>
      <w:bookmarkEnd w:id="65"/>
    </w:p>
    <w:p w14:paraId="2C877A00"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Securitization theory demonstrates that politicians and other decision-makers consciously choose national security policies; they are not predetermined. Securitization theory states that when political issues are labelled as "dangerous," "menacing," "threatening," "alarming," and so forth by a "securitizing actor" who has the institutional and social power to take the issue "beyond politics," they become extreme security issues that need to be addressed immediately. Therefore, security concerns need to be identified as problems by securitizing</w:t>
      </w:r>
      <w:r w:rsidR="00215E0E" w:rsidRPr="00E2630C">
        <w:rPr>
          <w:rFonts w:ascii="Times New Roman" w:eastAsia="Times New Roman" w:hAnsi="Times New Roman" w:cs="Times New Roman"/>
          <w:color w:val="000000" w:themeColor="text1"/>
          <w:sz w:val="24"/>
          <w:szCs w:val="24"/>
          <w:lang w:eastAsia="en-GB"/>
        </w:rPr>
        <w:t xml:space="preserve"> actors rather than just being </w:t>
      </w:r>
      <w:r w:rsidRPr="00E2630C">
        <w:rPr>
          <w:rFonts w:ascii="Times New Roman" w:eastAsia="Times New Roman" w:hAnsi="Times New Roman" w:cs="Times New Roman"/>
          <w:color w:val="000000" w:themeColor="text1"/>
          <w:sz w:val="24"/>
          <w:szCs w:val="24"/>
          <w:lang w:eastAsia="en-GB"/>
        </w:rPr>
        <w:t>out there</w:t>
      </w:r>
      <w:r w:rsidR="00215E0E" w:rsidRPr="00E2630C">
        <w:rPr>
          <w:rFonts w:ascii="Times New Roman" w:eastAsia="Times New Roman" w:hAnsi="Times New Roman" w:cs="Times New Roman"/>
          <w:color w:val="000000" w:themeColor="text1"/>
          <w:sz w:val="24"/>
          <w:szCs w:val="24"/>
        </w:rPr>
        <w:t xml:space="preserve"> (Kapur &amp; Mabon, 2018)</w:t>
      </w:r>
      <w:r w:rsidR="00215E0E" w:rsidRPr="00E2630C">
        <w:rPr>
          <w:rFonts w:ascii="Times New Roman" w:eastAsia="Times New Roman" w:hAnsi="Times New Roman" w:cs="Times New Roman"/>
          <w:color w:val="000000" w:themeColor="text1"/>
          <w:sz w:val="24"/>
          <w:szCs w:val="24"/>
          <w:lang w:eastAsia="en-GB"/>
        </w:rPr>
        <w:t>.</w:t>
      </w:r>
      <w:r w:rsidRPr="00E2630C">
        <w:rPr>
          <w:rFonts w:ascii="Times New Roman" w:eastAsia="Times New Roman" w:hAnsi="Times New Roman" w:cs="Times New Roman"/>
          <w:color w:val="000000" w:themeColor="text1"/>
          <w:sz w:val="24"/>
          <w:szCs w:val="24"/>
          <w:lang w:eastAsia="en-GB"/>
        </w:rPr>
        <w:t xml:space="preserve"> For example, designating immigration as a "threat to national security" elevates immigration from a low political priority to a high priority issue requiring border security and other actions. According to securitization theory, which questions conventional approaches to security in international relations (IR), </w:t>
      </w:r>
      <w:bookmarkStart w:id="66" w:name="_Hlk157759488"/>
      <w:r w:rsidRPr="00E2630C">
        <w:rPr>
          <w:rFonts w:ascii="Times New Roman" w:eastAsia="Times New Roman" w:hAnsi="Times New Roman" w:cs="Times New Roman"/>
          <w:color w:val="000000" w:themeColor="text1"/>
          <w:sz w:val="24"/>
          <w:szCs w:val="24"/>
          <w:lang w:eastAsia="en-GB"/>
        </w:rPr>
        <w:t xml:space="preserve">problems are not fundamentally dangerous in and of themselves; rather, problems only become security problems when they are labeled as "security" issues </w:t>
      </w:r>
      <w:r w:rsidRPr="00E2630C">
        <w:rPr>
          <w:rFonts w:ascii="Times New Roman" w:eastAsia="Times New Roman" w:hAnsi="Times New Roman" w:cs="Times New Roman"/>
          <w:color w:val="000000" w:themeColor="text1"/>
          <w:sz w:val="24"/>
          <w:szCs w:val="24"/>
        </w:rPr>
        <w:t>(Kapur &amp; Mabon, 2018)</w:t>
      </w:r>
      <w:r w:rsidRPr="00E2630C">
        <w:rPr>
          <w:rFonts w:ascii="Times New Roman" w:eastAsia="Times New Roman" w:hAnsi="Times New Roman" w:cs="Times New Roman"/>
          <w:color w:val="000000" w:themeColor="text1"/>
          <w:sz w:val="24"/>
          <w:szCs w:val="24"/>
          <w:lang w:eastAsia="en-GB"/>
        </w:rPr>
        <w:t>.</w:t>
      </w:r>
    </w:p>
    <w:bookmarkEnd w:id="66"/>
    <w:p w14:paraId="64602624" w14:textId="77777777" w:rsidR="00CD3724" w:rsidRPr="00E2630C" w:rsidRDefault="00CD3724" w:rsidP="00CD3724">
      <w:pPr>
        <w:spacing w:line="480" w:lineRule="auto"/>
        <w:jc w:val="both"/>
        <w:rPr>
          <w:rFonts w:ascii="Times New Roman" w:hAnsi="Times New Roman" w:cs="Times New Roman"/>
          <w:color w:val="000000" w:themeColor="text1"/>
          <w:sz w:val="24"/>
          <w:szCs w:val="24"/>
          <w:lang w:eastAsia="en-GB"/>
        </w:rPr>
      </w:pPr>
      <w:r w:rsidRPr="00E2630C">
        <w:rPr>
          <w:rFonts w:ascii="Times New Roman" w:hAnsi="Times New Roman" w:cs="Times New Roman"/>
          <w:color w:val="000000" w:themeColor="text1"/>
          <w:sz w:val="24"/>
          <w:szCs w:val="24"/>
          <w:lang w:eastAsia="en-GB"/>
        </w:rPr>
        <w:t xml:space="preserve">Politicians and other key stakeholders in the communities try to decide on security matters based on their affiliation and gate in Bimbilla and most other conflict-prone areas in the northern region, as evidenced by securitization theory, which shows that national security policy is not something that just happens naturally (Field Survey, 2022). Securitization theory states that when political issues are labeled as "dangerous," </w:t>
      </w:r>
      <w:r w:rsidRPr="00E2630C">
        <w:rPr>
          <w:rFonts w:ascii="Times New Roman" w:hAnsi="Times New Roman" w:cs="Times New Roman"/>
          <w:color w:val="000000" w:themeColor="text1"/>
          <w:sz w:val="24"/>
          <w:szCs w:val="24"/>
          <w:lang w:eastAsia="en-GB"/>
        </w:rPr>
        <w:lastRenderedPageBreak/>
        <w:t xml:space="preserve">"menacing," "threatening," "alarming," and so forth by a "securitizing actor" who has the institutional and social power to take the issue "beyond politics," they become extreme security issues that need to be addressed immediately. For example, designating immigration as a "threat to national security" elevates immigration from a low political priority to a high priority issue requiring border security and other actions. According to securitization theory, security in international relations (IR) is not fundamentally threatening in and of itself; rather, problems become security issues when they are labeled as "security" issues. This puts established approaches to security in question. A discussion between "narrowers" and "wideners" about security concepts in information retrieval began with the conclusion of the Cold War. The narrowers, who were worried about national security, frequently examined the political and military stability between the US and the USSR. Wideners were not content with this and tried to incorporate threats that did not have a military component and that harmed individuals rather than states. This broadened the scope of the security agenda by incorporating notions of identity and culture together with ideas of regional and human security </w:t>
      </w:r>
      <w:r w:rsidRPr="00E2630C">
        <w:rPr>
          <w:rFonts w:ascii="Times New Roman" w:eastAsia="Times New Roman" w:hAnsi="Times New Roman" w:cs="Times New Roman"/>
          <w:color w:val="000000" w:themeColor="text1"/>
          <w:sz w:val="24"/>
          <w:szCs w:val="24"/>
        </w:rPr>
        <w:t>(Kapur &amp; Mabon, 2018)</w:t>
      </w:r>
      <w:r w:rsidRPr="00E2630C">
        <w:rPr>
          <w:rFonts w:ascii="Times New Roman" w:hAnsi="Times New Roman" w:cs="Times New Roman"/>
          <w:color w:val="000000" w:themeColor="text1"/>
          <w:sz w:val="24"/>
          <w:szCs w:val="24"/>
          <w:lang w:eastAsia="en-GB"/>
        </w:rPr>
        <w:t xml:space="preserve">. By refuting the notion that the state was the only source of security and that gender had no bearing on security matters, feminism had a significant role in expanding the agenda. On the contrary, women's fears were frequently brought on by the state. Furthermore, it has been determined that, in the Ghanaian context, security is not solely the province of the state; rather, indigenous people belonging to different groups or gates are also protected by the young and traditional leaders (Field Survey 2022).  By putting women's and gender equality at the center of security calculations and illustrating the connections between gender, security, and war, a feminist agenda-widening approach brought gender into sharper focus. It was a significant step toward the emergence of a more comprehensive understanding </w:t>
      </w:r>
      <w:r w:rsidRPr="00E2630C">
        <w:rPr>
          <w:rFonts w:ascii="Times New Roman" w:hAnsi="Times New Roman" w:cs="Times New Roman"/>
          <w:color w:val="000000" w:themeColor="text1"/>
          <w:sz w:val="24"/>
          <w:szCs w:val="24"/>
          <w:lang w:eastAsia="en-GB"/>
        </w:rPr>
        <w:lastRenderedPageBreak/>
        <w:t xml:space="preserve">of security. No matter who is in favor of wider or narrower definitions, security was fundamentally a contentious term at the end of the Cold War, according to Fischer (2015), who stated that it "generates debates that cannot be resolved by reference to empirical evidence because the concept contains a clear ideological or moral element and defies precise, generally accepted definition." Critical approaches to security highlight the fundamentally contentious nature of security and contend that, rather than always being positive or universal, "security" is sometimes contingent on context, subject, and even circumstance </w:t>
      </w:r>
      <w:r w:rsidRPr="00E2630C">
        <w:rPr>
          <w:rFonts w:ascii="Times New Roman" w:eastAsia="Times New Roman" w:hAnsi="Times New Roman" w:cs="Times New Roman"/>
          <w:color w:val="000000" w:themeColor="text1"/>
          <w:sz w:val="24"/>
          <w:szCs w:val="24"/>
        </w:rPr>
        <w:t>(Kapur &amp; Mabon, 2018)</w:t>
      </w:r>
      <w:r w:rsidRPr="00E2630C">
        <w:rPr>
          <w:rFonts w:ascii="Times New Roman" w:hAnsi="Times New Roman" w:cs="Times New Roman"/>
          <w:color w:val="000000" w:themeColor="text1"/>
          <w:sz w:val="24"/>
          <w:szCs w:val="24"/>
          <w:lang w:eastAsia="en-GB"/>
        </w:rPr>
        <w:t>.</w:t>
      </w:r>
    </w:p>
    <w:p w14:paraId="57A4329B"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Securitization theory's central claim is that security is a (illocutionary) speech act, meaning that nothing happens merely by saying the word "security." "Things become security issues when they are labeled as such" (Wæver, 2011, p. 13). A securitizing actor asserts a right take extreme steps to preserve the life of a referent object by claiming that the referent object in question is threatened. After that, the problem is transferred from the domain of regular politics to that of emergency politics, where it can be resolved quickly and without the usual (democratic) procedures and guidelines of policy-making. This implies that, in terms of security, a term no longer has any predetermined, pre-existing meaning and can instead be defined by the securitizing actor. The concept of security is socially and individually constructed. That's what security entails.  Three procedures are involved in a successful securitization to keep "everything" from turning into a security risk. These are as follows: (1) recognizing existential dangers; (2) acting in an emergency; and (3) affecting inter-unit connections by defying conventions </w:t>
      </w:r>
      <w:r w:rsidRPr="00E2630C">
        <w:rPr>
          <w:rFonts w:ascii="Times New Roman" w:eastAsia="Times New Roman" w:hAnsi="Times New Roman" w:cs="Times New Roman"/>
          <w:color w:val="000000" w:themeColor="text1"/>
          <w:sz w:val="24"/>
          <w:szCs w:val="24"/>
        </w:rPr>
        <w:t>(Buzan &amp; Hansen, 2020</w:t>
      </w:r>
      <w:r w:rsidRPr="00E2630C">
        <w:rPr>
          <w:rFonts w:ascii="Times New Roman" w:eastAsia="Times New Roman" w:hAnsi="Times New Roman" w:cs="Times New Roman"/>
          <w:color w:val="000000" w:themeColor="text1"/>
          <w:sz w:val="24"/>
          <w:szCs w:val="24"/>
          <w:lang w:eastAsia="en-GB"/>
        </w:rPr>
        <w:t xml:space="preserve">, p.6). The reason the Bimbilla chieftaincy conflict persists is that these three crucial elements have been compromised; early conflict warnings are not taken into account, and prompt action is not maintained to stop these conflicts from escalating and damaging community relations (Field </w:t>
      </w:r>
      <w:r w:rsidRPr="00E2630C">
        <w:rPr>
          <w:rFonts w:ascii="Times New Roman" w:eastAsia="Times New Roman" w:hAnsi="Times New Roman" w:cs="Times New Roman"/>
          <w:color w:val="000000" w:themeColor="text1"/>
          <w:sz w:val="24"/>
          <w:szCs w:val="24"/>
          <w:lang w:eastAsia="en-GB"/>
        </w:rPr>
        <w:lastRenderedPageBreak/>
        <w:t xml:space="preserve">Survey, 2022).  "If we do not tackle this problem, everything else will be irrelevant (because we will not be here or will not be free to deal with it in our own way)" is how one presents a problem as an existential threat </w:t>
      </w:r>
      <w:r w:rsidRPr="00E2630C">
        <w:rPr>
          <w:rFonts w:ascii="Times New Roman" w:eastAsia="Times New Roman" w:hAnsi="Times New Roman" w:cs="Times New Roman"/>
          <w:color w:val="000000" w:themeColor="text1"/>
          <w:sz w:val="24"/>
          <w:szCs w:val="24"/>
        </w:rPr>
        <w:t>(Buzan &amp; Hansen, 2020</w:t>
      </w:r>
      <w:r w:rsidRPr="00E2630C">
        <w:rPr>
          <w:rFonts w:ascii="Times New Roman" w:eastAsia="Times New Roman" w:hAnsi="Times New Roman" w:cs="Times New Roman"/>
          <w:color w:val="000000" w:themeColor="text1"/>
          <w:sz w:val="24"/>
          <w:szCs w:val="24"/>
          <w:lang w:eastAsia="en-GB"/>
        </w:rPr>
        <w:t xml:space="preserve">, p. 24). A securitizing maneuver is the first step towards a successful securitization </w:t>
      </w:r>
      <w:r w:rsidRPr="00E2630C">
        <w:rPr>
          <w:rFonts w:ascii="Times New Roman" w:eastAsia="Times New Roman" w:hAnsi="Times New Roman" w:cs="Times New Roman"/>
          <w:color w:val="000000" w:themeColor="text1"/>
          <w:sz w:val="24"/>
          <w:szCs w:val="24"/>
        </w:rPr>
        <w:t>(Buzan &amp; Hansen, 2020)</w:t>
      </w:r>
      <w:r w:rsidRPr="00E2630C">
        <w:rPr>
          <w:rFonts w:ascii="Times New Roman" w:eastAsia="Times New Roman" w:hAnsi="Times New Roman" w:cs="Times New Roman"/>
          <w:color w:val="000000" w:themeColor="text1"/>
          <w:sz w:val="24"/>
          <w:szCs w:val="24"/>
          <w:lang w:eastAsia="en-GB"/>
        </w:rPr>
        <w:t xml:space="preserve">. Any unit can utilize a securitizing maneuver as a theoretical option because securitization can only be identified after an actor has persuaded an audience (inter-unit relations) of its justifiable need to deviate from otherwise legally enforceable norms and regulations (emergency mode). Securitization is not yet accessible to all units and their varying subjective threats in practice. Instead, it mostly rests on the skill and authority to create a threat on a social and political level. This keeps the study of security broad but prevents it from being unmanageable or illogical by limiting "who" can securitize. Having said that, it is important to highlight that (Wæver, 2015) is harsh when it comes to defining problems in terms of security. According to him, failing to address concerns of regular politics should be viewed as a negative, or security </w:t>
      </w:r>
      <w:r w:rsidRPr="00E2630C">
        <w:rPr>
          <w:rFonts w:ascii="Times New Roman" w:eastAsia="Times New Roman" w:hAnsi="Times New Roman" w:cs="Times New Roman"/>
          <w:color w:val="000000" w:themeColor="text1"/>
          <w:sz w:val="24"/>
          <w:szCs w:val="24"/>
        </w:rPr>
        <w:t>(Kapur &amp; Mabon, 2018)</w:t>
      </w:r>
      <w:r w:rsidRPr="00E2630C">
        <w:rPr>
          <w:rFonts w:ascii="Times New Roman" w:eastAsia="Times New Roman" w:hAnsi="Times New Roman" w:cs="Times New Roman"/>
          <w:color w:val="000000" w:themeColor="text1"/>
          <w:sz w:val="24"/>
          <w:szCs w:val="24"/>
          <w:lang w:eastAsia="en-GB"/>
        </w:rPr>
        <w:t xml:space="preserve">. </w:t>
      </w:r>
    </w:p>
    <w:p w14:paraId="513643FE"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To address these concerns and bring them out of "the threat defence sequence and into the ordinary public sphere," where they can be handled in compliance with the laws of the (democratic) political system, he favors a desecuritization plan (ibid.). Waever's statement is undoubtedly normative, but it's vital to note that it has no influence on the potential applications of securitization theory. This is true, and the thesis will make this much clearer because desecuritization and securitization are political acts that are independent of the preferences of the securitization theorist. According to </w:t>
      </w:r>
      <w:r w:rsidRPr="00E2630C">
        <w:rPr>
          <w:rFonts w:ascii="Times New Roman" w:eastAsia="Times New Roman" w:hAnsi="Times New Roman" w:cs="Times New Roman"/>
          <w:color w:val="000000" w:themeColor="text1"/>
          <w:sz w:val="24"/>
          <w:szCs w:val="24"/>
        </w:rPr>
        <w:t>Kapur and Mabon (2018)</w:t>
      </w:r>
      <w:r w:rsidRPr="00E2630C">
        <w:rPr>
          <w:rFonts w:ascii="Times New Roman" w:eastAsia="Times New Roman" w:hAnsi="Times New Roman" w:cs="Times New Roman"/>
          <w:color w:val="000000" w:themeColor="text1"/>
          <w:sz w:val="24"/>
          <w:szCs w:val="24"/>
          <w:lang w:eastAsia="en-GB"/>
        </w:rPr>
        <w:t xml:space="preserve">, on page 14, securitization theory is a theoretical instrument of analysis that allows one to track instances of securitization and desecuritization rather than being a political claim. Analysts cannot determine whether kind of security is appropriate or </w:t>
      </w:r>
      <w:r w:rsidRPr="00E2630C">
        <w:rPr>
          <w:rFonts w:ascii="Times New Roman" w:eastAsia="Times New Roman" w:hAnsi="Times New Roman" w:cs="Times New Roman"/>
          <w:color w:val="000000" w:themeColor="text1"/>
          <w:sz w:val="24"/>
          <w:szCs w:val="24"/>
          <w:lang w:eastAsia="en-GB"/>
        </w:rPr>
        <w:lastRenderedPageBreak/>
        <w:t xml:space="preserve">inappropriate based just on securitization theory. Thus, securitization theory focuses primarily on responding to the question, "What does security do?" (Clara, 2018).  </w:t>
      </w:r>
    </w:p>
    <w:p w14:paraId="29DB3F64"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The conclusion of the Cold War spurred a discussion between "narrowers" and "wideners" over IR security concepts (Wæver, 2015). The narrowers, who were worried about national security, frequently examined the political and military stability between the US and the USSR. Wideners were not content with this and tried to incorporate threats that did not have a military component and that harmed individuals rather than states. This broadened the scope of the security agenda by incorporating notions of culture and identity along with ideas of regional and human security. By refuting the notion that the state was the only source of security and that gender had no bearing on security matters, feminism had a significant role in expanding the agenda. On the contrary, women's fears were frequently brought on by the state. Gender was brought into focus by expanding the agenda from a feminist viewpoint, which showed how gender, conflict, and security were interconnected and put women's and gender's needs at the center of security calculations (Wæver, 2015). It was a significant step toward the emergence of a more comprehensive understanding of security. No matter who is in favor of wider or narrower definitions, security was fundamentally a contentious term at the end of the Cold War, according to Fischer (2012), who stated that it "generates debates that cannot be resolved by reference to empirical evidence because the concept contains a clear ideological or moral element and defies precise, generally accepted definition." Critical approaches to security suggest that security is context and subject dependent, often even negative, and highlight the fundamentally contested nature of security (Fierke, 2015, p. 35).</w:t>
      </w:r>
    </w:p>
    <w:p w14:paraId="5B1BAA2E"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lastRenderedPageBreak/>
        <w:t xml:space="preserve">Uneven power relations are created by security, with some people providing it and others receiving it. For instance, in the context of the War on Terror, an individual who appears Arab has come to be seen suspiciously as a dangerous "other," and Muslim communities have seen an increase in surveillance operations based on the assumption that these individuals may be associated with terrorism because they fit a particular profile. When seen in this context, monitoring turns into a source of unease as well as a control mechanism for security. People in the research region (Bimbilla) are categorized into gates based on a variety of factors, including their place of origin, the language they speak, and occasionally the parties they are associated with (Field Survey, 2022). Securitization theory emerged as a result of challenging the fundamental nature of security in situations like this and expanding its definition to encompass referent objects other than the state. The item that is in danger and requires protection is a referent object, a key concept in securitization. Five domains were identified by securitization theorists: the political, sociological, military, economic, and environmental sectors (Wæver, 2015). A particular hazard is described as endangering a referent object in each sector. For instance, the referent object in the sociological sector is identity, whereas the ecosystem and endangered species are the referent objects in the environmental sector. The state continues to be the referent object solely in the military domain. By "sectorializing" security, we come to see that existential dangers are related to the various attributes of each referent object rather than being objective. </w:t>
      </w:r>
    </w:p>
    <w:p w14:paraId="4F5C9228"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This method also emphasizes how contextual security and threats are. For instance, some people today experience more fear than others due to suicide bomb attacks. However, suicide terrorism is frequently presented as a "global" threat. Securitization demonstrates that it is inaccurate to discuss problems like terrorism as though they affect everyone on the planet equally. It is crucial to conceptualize securitization as a </w:t>
      </w:r>
      <w:r w:rsidRPr="00E2630C">
        <w:rPr>
          <w:rFonts w:ascii="Times New Roman" w:eastAsia="Times New Roman" w:hAnsi="Times New Roman" w:cs="Times New Roman"/>
          <w:color w:val="000000" w:themeColor="text1"/>
          <w:sz w:val="24"/>
          <w:szCs w:val="24"/>
          <w:lang w:eastAsia="en-GB"/>
        </w:rPr>
        <w:lastRenderedPageBreak/>
        <w:t>speech act because it demonstrates how words not only describe but also create reality, which in turn sets forth particular reactions. We engage with the world we see and take a step that will significantly help us perceive it differently while we describe the reality we observe.    For instance, calling a Calais immigration camp "the Jungle" conveys an image of the camp as dangerous and anarchic rather than just reporting what it is. Therefore, threats are not only dangers in and of themselves; they are also threats created by words. The securitizing actor must highlight and frequently exaggerate the seriousness and urgency of the threat, communicate a point of no return that is, "if we do not address this problem, everything else will be irrelevant" and present a potential solution often couched in military language in order to persuade the audience to take extraordinary measures. By doing this, the securitizing actor facilitates a regime of truth regarding the nature of the threat and the referent object, making certain acts more understandable than others.</w:t>
      </w:r>
    </w:p>
    <w:p w14:paraId="2D5FF481"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When a group of people agrees on the nature of the threat and is in favor of adopting drastic steps, an issue is said to be securitized. The speaking act of the securitizing actor is only a securitizing motion, and the securitization has failed, if the audience rejects it </w:t>
      </w:r>
      <w:r w:rsidRPr="00E2630C">
        <w:rPr>
          <w:rFonts w:ascii="Times New Roman" w:eastAsia="Times New Roman" w:hAnsi="Times New Roman" w:cs="Times New Roman"/>
          <w:color w:val="000000" w:themeColor="text1"/>
          <w:sz w:val="24"/>
          <w:szCs w:val="24"/>
        </w:rPr>
        <w:t>(Kapur &amp; Mabon, 2018)</w:t>
      </w:r>
      <w:r w:rsidRPr="00E2630C">
        <w:rPr>
          <w:rFonts w:ascii="Times New Roman" w:eastAsia="Times New Roman" w:hAnsi="Times New Roman" w:cs="Times New Roman"/>
          <w:color w:val="000000" w:themeColor="text1"/>
          <w:sz w:val="24"/>
          <w:szCs w:val="24"/>
          <w:lang w:eastAsia="en-GB"/>
        </w:rPr>
        <w:t xml:space="preserve">. In this way, it takes far more than just "saying security" to focus on the audience and the process. Some academics have criticized this and suggested that securitization be viewed as a protracted process of continuous social constructions and negotiation between different speakers and listeners. A spectrum can be used to present any security issue: non-politicized (not yet brought up for public discussion), politicized (perhaps on the agenda due to public worries), and securitized (sometimes positioned as an existential threat). When a problem is securitized, methods that would normally be considered undemocratic are frequently justified by using terms like "urgency" and "existential threats." </w:t>
      </w:r>
    </w:p>
    <w:p w14:paraId="5533C8E3" w14:textId="77777777" w:rsidR="00CD3724" w:rsidRPr="00E2630C" w:rsidRDefault="00CD3724" w:rsidP="00CD3724">
      <w:pPr>
        <w:spacing w:before="100" w:beforeAutospacing="1" w:after="100" w:afterAutospacing="1"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lastRenderedPageBreak/>
        <w:t xml:space="preserve">The logic of exceptionality is demonstrated by security measures used in the War on Terror, including the detention camp at Guantanamo Bay, the use of torture, heightened citizen surveillance, extraordinary renditions, and covert drone strikes. These security measures most likely would not have been implemented in the first place or survived to the current day if the War on Terror had not been framed in a way that made the suspension of regular politics both acceptable and necessary. A successful securitization elevates "security" to the status of an exceptional domain, giving securitizing actors nominally, states the authority to control populations and determine when to suspend the democratic framework. According to Wæver (2015), securitization theory was developed to shield politics from the state's excessive power by putting the audience, not the securitizing actor, in control of the securitization process's success or failure. Adopting a securitization framework highlights the ways in which knowledge is not just "out there" but is influenced by interests, challenging hegemonic and accepted notions about the universality and objectivity of security. The idea of securitization serves as a reminder that securitization is a political act rather than a neutral one. </w:t>
      </w:r>
    </w:p>
    <w:p w14:paraId="3EAE8601" w14:textId="77777777" w:rsidR="00CD3724" w:rsidRPr="00E2630C" w:rsidRDefault="00CD3724" w:rsidP="00CD3724">
      <w:pPr>
        <w:tabs>
          <w:tab w:val="left" w:pos="8011"/>
        </w:tabs>
        <w:spacing w:line="480" w:lineRule="auto"/>
        <w:rPr>
          <w:rFonts w:ascii="Times New Roman" w:hAnsi="Times New Roman" w:cs="Times New Roman"/>
          <w:color w:val="000000" w:themeColor="text1"/>
          <w:sz w:val="24"/>
          <w:szCs w:val="24"/>
        </w:rPr>
      </w:pPr>
    </w:p>
    <w:p w14:paraId="4857B086" w14:textId="77777777" w:rsidR="00CD3724" w:rsidRPr="00E2630C" w:rsidRDefault="00CD3724" w:rsidP="00CD3724">
      <w:pPr>
        <w:tabs>
          <w:tab w:val="left" w:pos="8011"/>
        </w:tabs>
        <w:spacing w:line="480" w:lineRule="auto"/>
        <w:rPr>
          <w:rFonts w:ascii="Times New Roman" w:hAnsi="Times New Roman" w:cs="Times New Roman"/>
          <w:color w:val="000000" w:themeColor="text1"/>
          <w:sz w:val="24"/>
          <w:szCs w:val="24"/>
        </w:rPr>
      </w:pPr>
    </w:p>
    <w:p w14:paraId="671BEE8D" w14:textId="77777777" w:rsidR="00CD3724" w:rsidRPr="00E2630C" w:rsidRDefault="00CD3724" w:rsidP="00CD3724">
      <w:pPr>
        <w:tabs>
          <w:tab w:val="left" w:pos="8011"/>
        </w:tabs>
        <w:spacing w:line="480" w:lineRule="auto"/>
        <w:rPr>
          <w:rFonts w:ascii="Times New Roman" w:hAnsi="Times New Roman" w:cs="Times New Roman"/>
          <w:color w:val="000000" w:themeColor="text1"/>
          <w:sz w:val="24"/>
          <w:szCs w:val="24"/>
        </w:rPr>
      </w:pPr>
    </w:p>
    <w:p w14:paraId="359B8A50" w14:textId="77777777" w:rsidR="00CD3724" w:rsidRPr="00E2630C" w:rsidRDefault="00CD3724" w:rsidP="00CD3724">
      <w:pPr>
        <w:tabs>
          <w:tab w:val="left" w:pos="8011"/>
        </w:tabs>
        <w:spacing w:line="480" w:lineRule="auto"/>
        <w:rPr>
          <w:rFonts w:ascii="Times New Roman" w:hAnsi="Times New Roman" w:cs="Times New Roman"/>
          <w:color w:val="000000" w:themeColor="text1"/>
          <w:sz w:val="24"/>
          <w:szCs w:val="24"/>
        </w:rPr>
      </w:pPr>
    </w:p>
    <w:p w14:paraId="2B15F8E7" w14:textId="77777777" w:rsidR="00CD3724" w:rsidRPr="00E2630C" w:rsidRDefault="00CD3724" w:rsidP="00CD3724">
      <w:pPr>
        <w:tabs>
          <w:tab w:val="left" w:pos="8011"/>
        </w:tabs>
        <w:spacing w:line="480" w:lineRule="auto"/>
        <w:rPr>
          <w:rFonts w:ascii="Times New Roman" w:hAnsi="Times New Roman" w:cs="Times New Roman"/>
          <w:color w:val="000000" w:themeColor="text1"/>
          <w:sz w:val="24"/>
          <w:szCs w:val="24"/>
        </w:rPr>
      </w:pPr>
    </w:p>
    <w:p w14:paraId="04FA8798" w14:textId="77777777" w:rsidR="00CD3724" w:rsidRPr="00E2630C" w:rsidRDefault="00CD3724" w:rsidP="00CD3724">
      <w:pPr>
        <w:tabs>
          <w:tab w:val="left" w:pos="8011"/>
        </w:tabs>
        <w:spacing w:line="480" w:lineRule="auto"/>
        <w:rPr>
          <w:rFonts w:ascii="Times New Roman" w:hAnsi="Times New Roman" w:cs="Times New Roman"/>
          <w:color w:val="000000" w:themeColor="text1"/>
          <w:sz w:val="24"/>
          <w:szCs w:val="24"/>
        </w:rPr>
      </w:pPr>
    </w:p>
    <w:p w14:paraId="1A30853F" w14:textId="77777777"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br w:type="page"/>
      </w:r>
    </w:p>
    <w:p w14:paraId="5274901C" w14:textId="77777777" w:rsidR="00CD3724" w:rsidRPr="00E2630C" w:rsidRDefault="00CD3724" w:rsidP="00CD3724">
      <w:pPr>
        <w:jc w:val="center"/>
        <w:rPr>
          <w:rFonts w:ascii="Times New Roman" w:hAnsi="Times New Roman" w:cs="Times New Roman"/>
          <w:b/>
          <w:color w:val="000000" w:themeColor="text1"/>
          <w:sz w:val="24"/>
          <w:szCs w:val="24"/>
        </w:rPr>
      </w:pPr>
      <w:r w:rsidRPr="00E2630C">
        <w:rPr>
          <w:rFonts w:ascii="Times New Roman" w:hAnsi="Times New Roman" w:cs="Times New Roman"/>
          <w:noProof/>
          <w:color w:val="000000" w:themeColor="text1"/>
          <w:sz w:val="24"/>
          <w:szCs w:val="24"/>
          <w:lang w:val="en-US"/>
        </w:rPr>
        <w:lastRenderedPageBreak/>
        <mc:AlternateContent>
          <mc:Choice Requires="wps">
            <w:drawing>
              <wp:anchor distT="4294967295" distB="4294967295" distL="114300" distR="114300" simplePos="0" relativeHeight="251691008" behindDoc="0" locked="0" layoutInCell="1" allowOverlap="1" wp14:anchorId="6EC91F86" wp14:editId="34CB4587">
                <wp:simplePos x="0" y="0"/>
                <wp:positionH relativeFrom="column">
                  <wp:posOffset>68580</wp:posOffset>
                </wp:positionH>
                <wp:positionV relativeFrom="paragraph">
                  <wp:posOffset>267969</wp:posOffset>
                </wp:positionV>
                <wp:extent cx="750570" cy="0"/>
                <wp:effectExtent l="0" t="0" r="0" b="0"/>
                <wp:wrapNone/>
                <wp:docPr id="887403048"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75057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56256C1E" id="Straight Arrow Connector 47" o:spid="_x0000_s1026" type="#_x0000_t32" style="position:absolute;margin-left:5.4pt;margin-top:21.1pt;width:59.1pt;height:0;flip:x;z-index:2516910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">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299" distR="114299" simplePos="0" relativeHeight="251692032" behindDoc="0" locked="0" layoutInCell="1" allowOverlap="1" wp14:anchorId="75370A9B" wp14:editId="5B9ECFD9">
                <wp:simplePos x="0" y="0"/>
                <wp:positionH relativeFrom="column">
                  <wp:posOffset>68579</wp:posOffset>
                </wp:positionH>
                <wp:positionV relativeFrom="paragraph">
                  <wp:posOffset>267970</wp:posOffset>
                </wp:positionV>
                <wp:extent cx="0" cy="170815"/>
                <wp:effectExtent l="63500" t="0" r="25400" b="19685"/>
                <wp:wrapNone/>
                <wp:docPr id="868657225" name="Straight Arrow Connector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7081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6EAAC4B3" id="Straight Arrow Connector 46" o:spid="_x0000_s1026" type="#_x0000_t32" style="position:absolute;margin-left:5.4pt;margin-top:21.1pt;width:0;height:13.45pt;z-index:2516920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">
                <v:stroke endarrow="block"/>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83840" behindDoc="0" locked="0" layoutInCell="1" allowOverlap="1" wp14:anchorId="76989544" wp14:editId="56A33EF3">
                <wp:simplePos x="0" y="0"/>
                <wp:positionH relativeFrom="column">
                  <wp:posOffset>818515</wp:posOffset>
                </wp:positionH>
                <wp:positionV relativeFrom="paragraph">
                  <wp:posOffset>267970</wp:posOffset>
                </wp:positionV>
                <wp:extent cx="635" cy="2395855"/>
                <wp:effectExtent l="0" t="0" r="12065" b="4445"/>
                <wp:wrapNone/>
                <wp:docPr id="411065513"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239585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1E0C37CF" id="Straight Arrow Connector 45" o:spid="_x0000_s1026" type="#_x0000_t32" style="position:absolute;margin-left:64.45pt;margin-top:21.1pt;width:.05pt;height:188.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">
                <o:lock v:ext="edit" shapetype="f"/>
              </v:shape>
            </w:pict>
          </mc:Fallback>
        </mc:AlternateContent>
      </w:r>
    </w:p>
    <w:p w14:paraId="5CC97449"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71552" behindDoc="0" locked="0" layoutInCell="1" allowOverlap="1" wp14:anchorId="4FB2C3D2" wp14:editId="180F3D70">
                <wp:simplePos x="0" y="0"/>
                <wp:positionH relativeFrom="column">
                  <wp:posOffset>-235585</wp:posOffset>
                </wp:positionH>
                <wp:positionV relativeFrom="paragraph">
                  <wp:posOffset>111125</wp:posOffset>
                </wp:positionV>
                <wp:extent cx="940435" cy="603885"/>
                <wp:effectExtent l="12700" t="12700" r="24765" b="43815"/>
                <wp:wrapNone/>
                <wp:docPr id="758256868"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40435" cy="603885"/>
                        </a:xfrm>
                        <a:prstGeom prst="rect">
                          <a:avLst/>
                        </a:prstGeom>
                        <a:solidFill>
                          <a:schemeClr val="accent4">
                            <a:lumMod val="100000"/>
                            <a:lumOff val="0"/>
                          </a:schemeClr>
                        </a:solidFill>
                        <a:ln w="38100">
                          <a:solidFill>
                            <a:schemeClr val="lt1">
                              <a:lumMod val="95000"/>
                              <a:lumOff val="0"/>
                            </a:schemeClr>
                          </a:solidFill>
                          <a:miter lim="800000"/>
                          <a:headEnd/>
                          <a:tailEnd/>
                        </a:ln>
                        <a:effectLst>
                          <a:outerShdw dist="28398" dir="3806097" algn="ctr" rotWithShape="0">
                            <a:schemeClr val="accent4">
                              <a:lumMod val="50000"/>
                              <a:lumOff val="0"/>
                              <a:alpha val="50000"/>
                            </a:schemeClr>
                          </a:outerShdw>
                        </a:effectLst>
                      </wps:spPr>
                      <wps:txbx>
                        <w:txbxContent>
                          <w:p w14:paraId="5AD2BD02" w14:textId="77777777" w:rsidR="0067586A" w:rsidRPr="0082667E" w:rsidRDefault="0067586A" w:rsidP="00CD3724">
                            <w:pPr>
                              <w:rPr>
                                <w:b/>
                                <w:color w:val="FFFFFF" w:themeColor="background1"/>
                              </w:rPr>
                            </w:pPr>
                            <w:r w:rsidRPr="0082667E">
                              <w:rPr>
                                <w:b/>
                                <w:color w:val="FFFFFF" w:themeColor="background1"/>
                              </w:rPr>
                              <w:t>Chieftaincy conflict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B2C3D2" id="Rectangle 44" o:spid="_x0000_s1031" style="position:absolute;left:0;text-align:left;margin-left:-18.55pt;margin-top:8.75pt;width:74.05pt;height:47.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" fillcolor="#ffc000 [3207]" strokecolor="#f2f2f2 [3041]" strokeweight="3pt">
                <v:shadow on="t" color="#7f5f00 [1607]" opacity=".5" offset="1pt"/>
                <v:path arrowok="t"/>
                <v:textbox>
                  <w:txbxContent>
                    <w:p w14:paraId="5AD2BD02" w14:textId="77777777" w:rsidR="0067586A" w:rsidRPr="0082667E" w:rsidRDefault="0067586A" w:rsidP="00CD3724">
                      <w:pPr>
                        <w:rPr>
                          <w:b/>
                          <w:color w:val="FFFFFF" w:themeColor="background1"/>
                        </w:rPr>
                      </w:pPr>
                      <w:r w:rsidRPr="0082667E">
                        <w:rPr>
                          <w:b/>
                          <w:color w:val="FFFFFF" w:themeColor="background1"/>
                        </w:rPr>
                        <w:t>Chieftaincy conflict</w:t>
                      </w:r>
                    </w:p>
                  </w:txbxContent>
                </v:textbox>
              </v:rect>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16608" behindDoc="0" locked="0" layoutInCell="1" allowOverlap="1" wp14:anchorId="1BB4A59E" wp14:editId="7C424D26">
                <wp:simplePos x="0" y="0"/>
                <wp:positionH relativeFrom="column">
                  <wp:posOffset>1866900</wp:posOffset>
                </wp:positionH>
                <wp:positionV relativeFrom="paragraph">
                  <wp:posOffset>294005</wp:posOffset>
                </wp:positionV>
                <wp:extent cx="1447800" cy="6350"/>
                <wp:effectExtent l="12700" t="12700" r="0" b="6350"/>
                <wp:wrapNone/>
                <wp:docPr id="879315495" name="Straight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47800" cy="63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1AC7232" id="Straight Connector 43" o:spid="_x0000_s1026" style="position:absolute;flip: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pt,23.15pt" to="261pt,2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" strokecolor="black [3213]" strokeweight="1.5pt">
                <v:stroke joinstyle="miter"/>
                <o:lock v:ext="edit" shapetype="f"/>
              </v:lin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299" distR="114299" simplePos="0" relativeHeight="251715584" behindDoc="0" locked="0" layoutInCell="1" allowOverlap="1" wp14:anchorId="1696B832" wp14:editId="2F2526B7">
                <wp:simplePos x="0" y="0"/>
                <wp:positionH relativeFrom="column">
                  <wp:posOffset>1866899</wp:posOffset>
                </wp:positionH>
                <wp:positionV relativeFrom="paragraph">
                  <wp:posOffset>294005</wp:posOffset>
                </wp:positionV>
                <wp:extent cx="0" cy="133350"/>
                <wp:effectExtent l="12700" t="0" r="0" b="6350"/>
                <wp:wrapNone/>
                <wp:docPr id="587121829" name="Straight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3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CDB02AD" id="Straight Connector 42" o:spid="_x0000_s1026" style="position:absolute;z-index:2517155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47pt,23.15pt" to="147pt,3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" strokecolor="black [3213]" strokeweight="1.5pt">
                <v:stroke joinstyle="miter"/>
                <o:lock v:ext="edit" shapetype="f"/>
              </v:lin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299" distR="114299" simplePos="0" relativeHeight="251714560" behindDoc="0" locked="0" layoutInCell="1" allowOverlap="1" wp14:anchorId="3F4AF812" wp14:editId="3A1BB038">
                <wp:simplePos x="0" y="0"/>
                <wp:positionH relativeFrom="column">
                  <wp:posOffset>3301999</wp:posOffset>
                </wp:positionH>
                <wp:positionV relativeFrom="paragraph">
                  <wp:posOffset>300355</wp:posOffset>
                </wp:positionV>
                <wp:extent cx="0" cy="247650"/>
                <wp:effectExtent l="50800" t="0" r="38100" b="19050"/>
                <wp:wrapNone/>
                <wp:docPr id="280906636"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3C651CC" id="Straight Arrow Connector 41" o:spid="_x0000_s1026" type="#_x0000_t32" style="position:absolute;margin-left:260pt;margin-top:23.65pt;width:0;height:19.5pt;z-index:2517145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" strokecolor="black [3213]" strokeweight="1.5pt">
                <v:stroke endarrow="block" joinstyle="miter"/>
                <o:lock v:ext="edit" shapetype="f"/>
              </v:shape>
            </w:pict>
          </mc:Fallback>
        </mc:AlternateContent>
      </w:r>
    </w:p>
    <w:p w14:paraId="377F06DC"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8480" behindDoc="0" locked="0" layoutInCell="1" allowOverlap="1" wp14:anchorId="53441A7A" wp14:editId="76B894C1">
                <wp:simplePos x="0" y="0"/>
                <wp:positionH relativeFrom="column">
                  <wp:posOffset>1092835</wp:posOffset>
                </wp:positionH>
                <wp:positionV relativeFrom="paragraph">
                  <wp:posOffset>100330</wp:posOffset>
                </wp:positionV>
                <wp:extent cx="1487170" cy="537845"/>
                <wp:effectExtent l="12700" t="12700" r="24130" b="33655"/>
                <wp:wrapNone/>
                <wp:docPr id="3786121" name="Rounded 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87170" cy="53784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14:paraId="4D3040F5" w14:textId="77777777" w:rsidR="0067586A" w:rsidRPr="00DA4F6A" w:rsidRDefault="0067586A" w:rsidP="00CD3724">
                            <w:pPr>
                              <w:jc w:val="center"/>
                            </w:pPr>
                            <w:r>
                              <w:rPr>
                                <w:rFonts w:ascii="Times New Roman" w:eastAsia="Times New Roman" w:hAnsi="Times New Roman" w:cs="Times New Roman"/>
                                <w:sz w:val="24"/>
                                <w:szCs w:val="24"/>
                                <w:lang w:eastAsia="en-GB"/>
                              </w:rPr>
                              <w:t>C</w:t>
                            </w:r>
                            <w:r w:rsidRPr="00F84AF5">
                              <w:rPr>
                                <w:rFonts w:ascii="Times New Roman" w:eastAsia="Times New Roman" w:hAnsi="Times New Roman" w:cs="Times New Roman"/>
                                <w:sz w:val="24"/>
                                <w:szCs w:val="24"/>
                                <w:lang w:eastAsia="en-GB"/>
                              </w:rPr>
                              <w:t>ompetition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3441A7A" id="Rounded Rectangle 40" o:spid="_x0000_s1032" style="position:absolute;left:0;text-align:left;margin-left:86.05pt;margin-top:7.9pt;width:117.1pt;height:42.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" fillcolor="#4472c4 [3208]" strokecolor="#f2f2f2 [3041]" strokeweight="3pt">
                <v:shadow on="t" color="#1f3763 [1608]" opacity=".5" offset="1pt"/>
                <v:path arrowok="t"/>
                <v:textbox>
                  <w:txbxContent>
                    <w:p w14:paraId="4D3040F5" w14:textId="77777777" w:rsidR="0067586A" w:rsidRPr="00DA4F6A" w:rsidRDefault="0067586A" w:rsidP="00CD3724">
                      <w:pPr>
                        <w:jc w:val="center"/>
                      </w:pPr>
                      <w:r>
                        <w:rPr>
                          <w:rFonts w:ascii="Times New Roman" w:eastAsia="Times New Roman" w:hAnsi="Times New Roman" w:cs="Times New Roman"/>
                          <w:sz w:val="24"/>
                          <w:szCs w:val="24"/>
                          <w:lang w:eastAsia="en-GB"/>
                        </w:rPr>
                        <w:t>C</w:t>
                      </w:r>
                      <w:r w:rsidRPr="00F84AF5">
                        <w:rPr>
                          <w:rFonts w:ascii="Times New Roman" w:eastAsia="Times New Roman" w:hAnsi="Times New Roman" w:cs="Times New Roman"/>
                          <w:sz w:val="24"/>
                          <w:szCs w:val="24"/>
                          <w:lang w:eastAsia="en-GB"/>
                        </w:rPr>
                        <w:t>ompetition</w:t>
                      </w:r>
                    </w:p>
                  </w:txbxContent>
                </v:textbox>
              </v:roundrect>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72576" behindDoc="0" locked="0" layoutInCell="1" allowOverlap="1" wp14:anchorId="222FB989" wp14:editId="1BED7558">
                <wp:simplePos x="0" y="0"/>
                <wp:positionH relativeFrom="column">
                  <wp:posOffset>2630805</wp:posOffset>
                </wp:positionH>
                <wp:positionV relativeFrom="paragraph">
                  <wp:posOffset>187960</wp:posOffset>
                </wp:positionV>
                <wp:extent cx="1328420" cy="729615"/>
                <wp:effectExtent l="12700" t="12700" r="30480" b="32385"/>
                <wp:wrapNone/>
                <wp:docPr id="898294065" name="Oval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8420" cy="729615"/>
                        </a:xfrm>
                        <a:prstGeom prst="ellipse">
                          <a:avLst/>
                        </a:prstGeom>
                        <a:solidFill>
                          <a:schemeClr val="accent3">
                            <a:lumMod val="100000"/>
                            <a:lumOff val="0"/>
                          </a:schemeClr>
                        </a:solidFill>
                        <a:ln w="38100">
                          <a:solidFill>
                            <a:schemeClr val="lt1">
                              <a:lumMod val="95000"/>
                              <a:lumOff val="0"/>
                            </a:schemeClr>
                          </a:solidFill>
                          <a:round/>
                          <a:headEnd/>
                          <a:tailEnd/>
                        </a:ln>
                        <a:effectLst>
                          <a:outerShdw dist="28398" dir="3806097" algn="ctr" rotWithShape="0">
                            <a:schemeClr val="accent3">
                              <a:lumMod val="50000"/>
                              <a:lumOff val="0"/>
                              <a:alpha val="50000"/>
                            </a:schemeClr>
                          </a:outerShdw>
                        </a:effectLst>
                      </wps:spPr>
                      <wps:txbx>
                        <w:txbxContent>
                          <w:p w14:paraId="50383115" w14:textId="77777777" w:rsidR="0067586A" w:rsidRDefault="0067586A" w:rsidP="00CD3724">
                            <w:pPr>
                              <w:jc w:val="center"/>
                            </w:pPr>
                            <w:r>
                              <w:t>Importation of weapons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22FB989" id="Oval 39" o:spid="_x0000_s1033" style="position:absolute;left:0;text-align:left;margin-left:207.15pt;margin-top:14.8pt;width:104.6pt;height:57.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" fillcolor="#a5a5a5 [3206]" strokecolor="#f2f2f2 [3041]" strokeweight="3pt">
                <v:shadow on="t" color="#525252 [1606]" opacity=".5" offset="1pt"/>
                <v:path arrowok="t"/>
                <v:textbox>
                  <w:txbxContent>
                    <w:p w14:paraId="50383115" w14:textId="77777777" w:rsidR="0067586A" w:rsidRDefault="0067586A" w:rsidP="00CD3724">
                      <w:pPr>
                        <w:jc w:val="center"/>
                      </w:pPr>
                      <w:r>
                        <w:t>Importation of weapons</w:t>
                      </w:r>
                    </w:p>
                  </w:txbxContent>
                </v:textbox>
              </v:oval>
            </w:pict>
          </mc:Fallback>
        </mc:AlternateContent>
      </w:r>
    </w:p>
    <w:p w14:paraId="1F3706CE"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4294967295" distB="4294967295" distL="114300" distR="114300" simplePos="0" relativeHeight="251694080" behindDoc="0" locked="0" layoutInCell="1" allowOverlap="1" wp14:anchorId="7FBB69C3" wp14:editId="53D551E7">
                <wp:simplePos x="0" y="0"/>
                <wp:positionH relativeFrom="column">
                  <wp:posOffset>837565</wp:posOffset>
                </wp:positionH>
                <wp:positionV relativeFrom="paragraph">
                  <wp:posOffset>42544</wp:posOffset>
                </wp:positionV>
                <wp:extent cx="243840" cy="0"/>
                <wp:effectExtent l="25400" t="63500" r="0" b="63500"/>
                <wp:wrapNone/>
                <wp:docPr id="1621332799" name="Straight Arrow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24384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63ED53ED" id="Straight Arrow Connector 38" o:spid="_x0000_s1026" type="#_x0000_t32" style="position:absolute;margin-left:65.95pt;margin-top:3.35pt;width:19.2pt;height:0;flip:x;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">
                <v:stroke endarrow="block"/>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76672" behindDoc="0" locked="0" layoutInCell="1" allowOverlap="1" wp14:anchorId="39B3F2B2" wp14:editId="47726018">
                <wp:simplePos x="0" y="0"/>
                <wp:positionH relativeFrom="column">
                  <wp:posOffset>4277995</wp:posOffset>
                </wp:positionH>
                <wp:positionV relativeFrom="paragraph">
                  <wp:posOffset>83820</wp:posOffset>
                </wp:positionV>
                <wp:extent cx="871220" cy="524510"/>
                <wp:effectExtent l="0" t="0" r="17780" b="21590"/>
                <wp:wrapNone/>
                <wp:docPr id="135659499"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71220" cy="524510"/>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txbx>
                        <w:txbxContent>
                          <w:p w14:paraId="576D0541" w14:textId="77777777" w:rsidR="0067586A" w:rsidRDefault="0067586A" w:rsidP="00CD3724">
                            <w:pPr>
                              <w:jc w:val="center"/>
                            </w:pPr>
                            <w:r>
                              <w:t>Economic Insecurity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B3F2B2" id="Rectangle 37" o:spid="_x0000_s1034" style="position:absolute;left:0;text-align:left;margin-left:336.85pt;margin-top:6.6pt;width:68.6pt;height:41.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" fillcolor="#8eaadb [1944]" strokecolor="#8eaadb [1944]" strokeweight="1pt">
                <v:fill color2="#d9e2f3 [664]" angle="135" focus="50%" type="gradient"/>
                <v:shadow on="t" color="#1f3763 [1608]" opacity=".5" offset="1pt"/>
                <v:path arrowok="t"/>
                <v:textbox>
                  <w:txbxContent>
                    <w:p w14:paraId="576D0541" w14:textId="77777777" w:rsidR="0067586A" w:rsidRDefault="0067586A" w:rsidP="00CD3724">
                      <w:pPr>
                        <w:jc w:val="center"/>
                      </w:pPr>
                      <w:r>
                        <w:t>Economic Insecurity</w:t>
                      </w:r>
                    </w:p>
                  </w:txbxContent>
                </v:textbox>
              </v:rect>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4294967295" distB="4294967295" distL="114300" distR="114300" simplePos="0" relativeHeight="251686912" behindDoc="0" locked="0" layoutInCell="1" allowOverlap="1" wp14:anchorId="09DD52DC" wp14:editId="0AC0891B">
                <wp:simplePos x="0" y="0"/>
                <wp:positionH relativeFrom="column">
                  <wp:posOffset>4014470</wp:posOffset>
                </wp:positionH>
                <wp:positionV relativeFrom="paragraph">
                  <wp:posOffset>282574</wp:posOffset>
                </wp:positionV>
                <wp:extent cx="266700" cy="0"/>
                <wp:effectExtent l="0" t="63500" r="0" b="63500"/>
                <wp:wrapNone/>
                <wp:docPr id="169452435" name="Straight Arrow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6670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068C4212" id="Straight Arrow Connector 36" o:spid="_x0000_s1026" type="#_x0000_t32" style="position:absolute;margin-left:316.1pt;margin-top:22.25pt;width:21pt;height:0;z-index:25168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">
                <v:stroke endarrow="block"/>
                <o:lock v:ext="edit" shapetype="f"/>
              </v:shape>
            </w:pict>
          </mc:Fallback>
        </mc:AlternateContent>
      </w:r>
    </w:p>
    <w:p w14:paraId="1D0CE15C" w14:textId="77777777" w:rsidR="00CD3724" w:rsidRPr="00E2630C" w:rsidRDefault="00CD3724" w:rsidP="00CD3724">
      <w:pPr>
        <w:tabs>
          <w:tab w:val="right" w:pos="9026"/>
        </w:tabs>
        <w:jc w:val="both"/>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97152" behindDoc="0" locked="0" layoutInCell="1" allowOverlap="1" wp14:anchorId="175899B7" wp14:editId="3D0DD134">
                <wp:simplePos x="0" y="0"/>
                <wp:positionH relativeFrom="column">
                  <wp:posOffset>3328035</wp:posOffset>
                </wp:positionH>
                <wp:positionV relativeFrom="paragraph">
                  <wp:posOffset>278765</wp:posOffset>
                </wp:positionV>
                <wp:extent cx="635" cy="224155"/>
                <wp:effectExtent l="63500" t="25400" r="37465" b="17145"/>
                <wp:wrapNone/>
                <wp:docPr id="1858507932"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224155"/>
                        </a:xfrm>
                        <a:prstGeom prst="straightConnector1">
                          <a:avLst/>
                        </a:prstGeom>
                        <a:noFill/>
                        <a:ln w="9525">
                          <a:solidFill>
                            <a:srgbClr val="000000"/>
                          </a:solidFill>
                          <a:round/>
                          <a:headEnd type="triangl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1C2D4815" id="Straight Arrow Connector 35" o:spid="_x0000_s1026" type="#_x0000_t32" style="position:absolute;margin-left:262.05pt;margin-top:21.95pt;width:.05pt;height:17.6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">
                <v:stroke startarrow="block" endarrow="block"/>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95104" behindDoc="0" locked="0" layoutInCell="1" allowOverlap="1" wp14:anchorId="561F9BEB" wp14:editId="15AD7305">
                <wp:simplePos x="0" y="0"/>
                <wp:positionH relativeFrom="column">
                  <wp:posOffset>1878330</wp:posOffset>
                </wp:positionH>
                <wp:positionV relativeFrom="paragraph">
                  <wp:posOffset>27305</wp:posOffset>
                </wp:positionV>
                <wp:extent cx="5715" cy="251460"/>
                <wp:effectExtent l="63500" t="25400" r="45085" b="27940"/>
                <wp:wrapNone/>
                <wp:docPr id="1699175190"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715" cy="251460"/>
                        </a:xfrm>
                        <a:prstGeom prst="straightConnector1">
                          <a:avLst/>
                        </a:prstGeom>
                        <a:noFill/>
                        <a:ln w="9525">
                          <a:solidFill>
                            <a:srgbClr val="000000"/>
                          </a:solidFill>
                          <a:round/>
                          <a:headEnd type="triangl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6BA5AF17" id="Straight Arrow Connector 34" o:spid="_x0000_s1026" type="#_x0000_t32" style="position:absolute;margin-left:147.9pt;margin-top:2.15pt;width:.45pt;height:19.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">
                <v:stroke startarrow="block" endarrow="block"/>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9504" behindDoc="0" locked="0" layoutInCell="1" allowOverlap="1" wp14:anchorId="3A2248D4" wp14:editId="5050C7D4">
                <wp:simplePos x="0" y="0"/>
                <wp:positionH relativeFrom="column">
                  <wp:posOffset>1092835</wp:posOffset>
                </wp:positionH>
                <wp:positionV relativeFrom="paragraph">
                  <wp:posOffset>259715</wp:posOffset>
                </wp:positionV>
                <wp:extent cx="1457325" cy="632460"/>
                <wp:effectExtent l="12700" t="12700" r="28575" b="40640"/>
                <wp:wrapNone/>
                <wp:docPr id="1242256257" name="Rounded 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57325" cy="632460"/>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14:paraId="2CCFB03B" w14:textId="77777777" w:rsidR="0067586A" w:rsidRPr="00DA4F6A" w:rsidRDefault="0067586A" w:rsidP="00CD3724">
                            <w:pPr>
                              <w:jc w:val="center"/>
                            </w:pPr>
                            <w:r>
                              <w:rPr>
                                <w:rFonts w:ascii="Times New Roman" w:eastAsia="Times New Roman" w:hAnsi="Times New Roman" w:cs="Times New Roman"/>
                                <w:sz w:val="24"/>
                                <w:szCs w:val="24"/>
                                <w:lang w:eastAsia="en-GB"/>
                              </w:rPr>
                              <w:t>D</w:t>
                            </w:r>
                            <w:r w:rsidRPr="00F84AF5">
                              <w:rPr>
                                <w:rFonts w:ascii="Times New Roman" w:eastAsia="Times New Roman" w:hAnsi="Times New Roman" w:cs="Times New Roman"/>
                                <w:sz w:val="24"/>
                                <w:szCs w:val="24"/>
                                <w:lang w:eastAsia="en-GB"/>
                              </w:rPr>
                              <w:t>iffidence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A2248D4" id="Rounded Rectangle 33" o:spid="_x0000_s1035" style="position:absolute;left:0;text-align:left;margin-left:86.05pt;margin-top:20.45pt;width:114.75pt;height:49.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" fillcolor="#4472c4 [3208]" strokecolor="#f2f2f2 [3041]" strokeweight="3pt">
                <v:shadow on="t" color="#1f3763 [1608]" opacity=".5" offset="1pt"/>
                <v:path arrowok="t"/>
                <v:textbox>
                  <w:txbxContent>
                    <w:p w14:paraId="2CCFB03B" w14:textId="77777777" w:rsidR="0067586A" w:rsidRPr="00DA4F6A" w:rsidRDefault="0067586A" w:rsidP="00CD3724">
                      <w:pPr>
                        <w:jc w:val="center"/>
                      </w:pPr>
                      <w:r>
                        <w:rPr>
                          <w:rFonts w:ascii="Times New Roman" w:eastAsia="Times New Roman" w:hAnsi="Times New Roman" w:cs="Times New Roman"/>
                          <w:sz w:val="24"/>
                          <w:szCs w:val="24"/>
                          <w:lang w:eastAsia="en-GB"/>
                        </w:rPr>
                        <w:t>D</w:t>
                      </w:r>
                      <w:r w:rsidRPr="00F84AF5">
                        <w:rPr>
                          <w:rFonts w:ascii="Times New Roman" w:eastAsia="Times New Roman" w:hAnsi="Times New Roman" w:cs="Times New Roman"/>
                          <w:sz w:val="24"/>
                          <w:szCs w:val="24"/>
                          <w:lang w:eastAsia="en-GB"/>
                        </w:rPr>
                        <w:t>iffidence</w:t>
                      </w:r>
                    </w:p>
                  </w:txbxContent>
                </v:textbox>
              </v:roundrect>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04320" behindDoc="0" locked="0" layoutInCell="1" allowOverlap="1" wp14:anchorId="460EEF8D" wp14:editId="4608BE67">
                <wp:simplePos x="0" y="0"/>
                <wp:positionH relativeFrom="column">
                  <wp:posOffset>4761230</wp:posOffset>
                </wp:positionH>
                <wp:positionV relativeFrom="paragraph">
                  <wp:posOffset>280670</wp:posOffset>
                </wp:positionV>
                <wp:extent cx="9525" cy="339090"/>
                <wp:effectExtent l="76200" t="25400" r="28575" b="29210"/>
                <wp:wrapNone/>
                <wp:docPr id="1549636928"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3909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7BD0E8E" id="Straight Arrow Connector 32" o:spid="_x0000_s1026" type="#_x0000_t32" style="position:absolute;margin-left:374.9pt;margin-top:22.1pt;width:.75pt;height:26.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" strokecolor="black [3200]" strokeweight=".5pt">
                <v:stroke startarrow="open" endarrow="open" joinstyle="miter"/>
                <o:lock v:ext="edit" shapetype="f"/>
              </v:shape>
            </w:pict>
          </mc:Fallback>
        </mc:AlternateContent>
      </w:r>
    </w:p>
    <w:p w14:paraId="122E35B4"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4294967295" distB="4294967295" distL="114300" distR="114300" simplePos="0" relativeHeight="251693056" behindDoc="0" locked="0" layoutInCell="1" allowOverlap="1" wp14:anchorId="587D4883" wp14:editId="5953B449">
                <wp:simplePos x="0" y="0"/>
                <wp:positionH relativeFrom="column">
                  <wp:posOffset>838200</wp:posOffset>
                </wp:positionH>
                <wp:positionV relativeFrom="paragraph">
                  <wp:posOffset>266064</wp:posOffset>
                </wp:positionV>
                <wp:extent cx="243205" cy="0"/>
                <wp:effectExtent l="25400" t="63500" r="0" b="63500"/>
                <wp:wrapNone/>
                <wp:docPr id="693232726"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24320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53DF52DD" id="Straight Arrow Connector 31" o:spid="_x0000_s1026" type="#_x0000_t32" style="position:absolute;margin-left:66pt;margin-top:20.95pt;width:19.15pt;height:0;flip:x;z-index:2516930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">
                <v:stroke endarrow="block"/>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77696" behindDoc="0" locked="0" layoutInCell="1" allowOverlap="1" wp14:anchorId="7B384788" wp14:editId="391D25A4">
                <wp:simplePos x="0" y="0"/>
                <wp:positionH relativeFrom="column">
                  <wp:posOffset>4304030</wp:posOffset>
                </wp:positionH>
                <wp:positionV relativeFrom="paragraph">
                  <wp:posOffset>289560</wp:posOffset>
                </wp:positionV>
                <wp:extent cx="845185" cy="511810"/>
                <wp:effectExtent l="0" t="0" r="18415" b="21590"/>
                <wp:wrapNone/>
                <wp:docPr id="903676064"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45185" cy="511810"/>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txbx>
                        <w:txbxContent>
                          <w:p w14:paraId="7D067A32" w14:textId="77777777" w:rsidR="0067586A" w:rsidRDefault="0067586A" w:rsidP="00CD3724">
                            <w:pPr>
                              <w:jc w:val="center"/>
                            </w:pPr>
                            <w:r>
                              <w:t>Health Insecurity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384788" id="Rectangle 30" o:spid="_x0000_s1036" style="position:absolute;left:0;text-align:left;margin-left:338.9pt;margin-top:22.8pt;width:66.55pt;height:40.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" fillcolor="#8eaadb [1944]" strokecolor="#8eaadb [1944]" strokeweight="1pt">
                <v:fill color2="#d9e2f3 [664]" angle="135" focus="50%" type="gradient"/>
                <v:shadow on="t" color="#1f3763 [1608]" opacity=".5" offset="1pt"/>
                <v:path arrowok="t"/>
                <v:textbox>
                  <w:txbxContent>
                    <w:p w14:paraId="7D067A32" w14:textId="77777777" w:rsidR="0067586A" w:rsidRDefault="0067586A" w:rsidP="00CD3724">
                      <w:pPr>
                        <w:jc w:val="center"/>
                      </w:pPr>
                      <w:r>
                        <w:t>Health Insecurity</w:t>
                      </w:r>
                    </w:p>
                  </w:txbxContent>
                </v:textbox>
              </v:rect>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73600" behindDoc="0" locked="0" layoutInCell="1" allowOverlap="1" wp14:anchorId="2E39DA86" wp14:editId="7C810744">
                <wp:simplePos x="0" y="0"/>
                <wp:positionH relativeFrom="column">
                  <wp:posOffset>2630805</wp:posOffset>
                </wp:positionH>
                <wp:positionV relativeFrom="paragraph">
                  <wp:posOffset>160020</wp:posOffset>
                </wp:positionV>
                <wp:extent cx="1371600" cy="622300"/>
                <wp:effectExtent l="12700" t="12700" r="25400" b="38100"/>
                <wp:wrapNone/>
                <wp:docPr id="923202109" name="Oval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71600" cy="622300"/>
                        </a:xfrm>
                        <a:prstGeom prst="ellipse">
                          <a:avLst/>
                        </a:prstGeom>
                        <a:solidFill>
                          <a:schemeClr val="accent3">
                            <a:lumMod val="100000"/>
                            <a:lumOff val="0"/>
                          </a:schemeClr>
                        </a:solidFill>
                        <a:ln w="38100">
                          <a:solidFill>
                            <a:schemeClr val="lt1">
                              <a:lumMod val="95000"/>
                              <a:lumOff val="0"/>
                            </a:schemeClr>
                          </a:solidFill>
                          <a:round/>
                          <a:headEnd/>
                          <a:tailEnd/>
                        </a:ln>
                        <a:effectLst>
                          <a:outerShdw dist="28398" dir="3806097" algn="ctr" rotWithShape="0">
                            <a:schemeClr val="accent3">
                              <a:lumMod val="50000"/>
                              <a:lumOff val="0"/>
                              <a:alpha val="50000"/>
                            </a:schemeClr>
                          </a:outerShdw>
                        </a:effectLst>
                      </wps:spPr>
                      <wps:txbx>
                        <w:txbxContent>
                          <w:p w14:paraId="72AAEBDD" w14:textId="77777777" w:rsidR="0067586A" w:rsidRDefault="0067586A" w:rsidP="00CD3724">
                            <w:pPr>
                              <w:jc w:val="center"/>
                            </w:pPr>
                            <w:r>
                              <w:t>Loss of lives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E39DA86" id="Oval 29" o:spid="_x0000_s1037" style="position:absolute;left:0;text-align:left;margin-left:207.15pt;margin-top:12.6pt;width:108pt;height:4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" fillcolor="#a5a5a5 [3206]" strokecolor="#f2f2f2 [3041]" strokeweight="3pt">
                <v:shadow on="t" color="#525252 [1606]" opacity=".5" offset="1pt"/>
                <v:path arrowok="t"/>
                <v:textbox>
                  <w:txbxContent>
                    <w:p w14:paraId="72AAEBDD" w14:textId="77777777" w:rsidR="0067586A" w:rsidRDefault="0067586A" w:rsidP="00CD3724">
                      <w:pPr>
                        <w:jc w:val="center"/>
                      </w:pPr>
                      <w:r>
                        <w:t>Loss of lives</w:t>
                      </w:r>
                    </w:p>
                  </w:txbxContent>
                </v:textbox>
              </v:oval>
            </w:pict>
          </mc:Fallback>
        </mc:AlternateContent>
      </w:r>
    </w:p>
    <w:p w14:paraId="11CF0579"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299" distR="114299" simplePos="0" relativeHeight="251696128" behindDoc="0" locked="0" layoutInCell="1" allowOverlap="1" wp14:anchorId="7D00AB91" wp14:editId="1DC2E139">
                <wp:simplePos x="0" y="0"/>
                <wp:positionH relativeFrom="column">
                  <wp:posOffset>1878329</wp:posOffset>
                </wp:positionH>
                <wp:positionV relativeFrom="paragraph">
                  <wp:posOffset>254000</wp:posOffset>
                </wp:positionV>
                <wp:extent cx="0" cy="198120"/>
                <wp:effectExtent l="63500" t="25400" r="25400" b="17780"/>
                <wp:wrapNone/>
                <wp:docPr id="174451091"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98120"/>
                        </a:xfrm>
                        <a:prstGeom prst="straightConnector1">
                          <a:avLst/>
                        </a:prstGeom>
                        <a:noFill/>
                        <a:ln w="9525">
                          <a:solidFill>
                            <a:srgbClr val="000000"/>
                          </a:solidFill>
                          <a:round/>
                          <a:headEnd type="triangl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62A654D2" id="Straight Arrow Connector 28" o:spid="_x0000_s1026" type="#_x0000_t32" style="position:absolute;margin-left:147.9pt;margin-top:20pt;width:0;height:15.6pt;z-index:2516961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">
                <v:stroke startarrow="block" endarrow="block"/>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4294967295" distB="4294967295" distL="114300" distR="114300" simplePos="0" relativeHeight="251713536" behindDoc="0" locked="0" layoutInCell="1" allowOverlap="1" wp14:anchorId="584711CF" wp14:editId="398324B1">
                <wp:simplePos x="0" y="0"/>
                <wp:positionH relativeFrom="column">
                  <wp:posOffset>4037330</wp:posOffset>
                </wp:positionH>
                <wp:positionV relativeFrom="paragraph">
                  <wp:posOffset>170179</wp:posOffset>
                </wp:positionV>
                <wp:extent cx="266700" cy="0"/>
                <wp:effectExtent l="0" t="63500" r="0" b="63500"/>
                <wp:wrapNone/>
                <wp:docPr id="1124495354"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6670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75BA0C1B" id="Straight Arrow Connector 27" o:spid="_x0000_s1026" type="#_x0000_t32" style="position:absolute;margin-left:317.9pt;margin-top:13.4pt;width:21pt;height:0;z-index:2517135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">
                <v:stroke endarrow="block"/>
                <o:lock v:ext="edit" shapetype="f"/>
              </v:shape>
            </w:pict>
          </mc:Fallback>
        </mc:AlternateContent>
      </w:r>
    </w:p>
    <w:p w14:paraId="4E11A695"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98176" behindDoc="0" locked="0" layoutInCell="1" allowOverlap="1" wp14:anchorId="772362C1" wp14:editId="239078C1">
                <wp:simplePos x="0" y="0"/>
                <wp:positionH relativeFrom="column">
                  <wp:posOffset>3369310</wp:posOffset>
                </wp:positionH>
                <wp:positionV relativeFrom="paragraph">
                  <wp:posOffset>193040</wp:posOffset>
                </wp:positionV>
                <wp:extent cx="635" cy="281305"/>
                <wp:effectExtent l="63500" t="25400" r="62865" b="23495"/>
                <wp:wrapNone/>
                <wp:docPr id="545280903"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281305"/>
                        </a:xfrm>
                        <a:prstGeom prst="straightConnector1">
                          <a:avLst/>
                        </a:prstGeom>
                        <a:noFill/>
                        <a:ln w="9525">
                          <a:solidFill>
                            <a:srgbClr val="000000"/>
                          </a:solidFill>
                          <a:round/>
                          <a:headEnd type="triangl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287E29A0" id="Straight Arrow Connector 26" o:spid="_x0000_s1026" type="#_x0000_t32" style="position:absolute;margin-left:265.3pt;margin-top:15.2pt;width:.05pt;height:22.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">
                <v:stroke startarrow="block" endarrow="block"/>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70528" behindDoc="0" locked="0" layoutInCell="1" allowOverlap="1" wp14:anchorId="78755AA7" wp14:editId="4923B101">
                <wp:simplePos x="0" y="0"/>
                <wp:positionH relativeFrom="column">
                  <wp:posOffset>1092835</wp:posOffset>
                </wp:positionH>
                <wp:positionV relativeFrom="paragraph">
                  <wp:posOffset>123190</wp:posOffset>
                </wp:positionV>
                <wp:extent cx="1457325" cy="603250"/>
                <wp:effectExtent l="12700" t="12700" r="28575" b="44450"/>
                <wp:wrapNone/>
                <wp:docPr id="824478193" name="Rounded 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57325" cy="603250"/>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14:paraId="5DF50DF4" w14:textId="77777777" w:rsidR="0067586A" w:rsidRDefault="0067586A" w:rsidP="00CD3724">
                            <w:pPr>
                              <w:jc w:val="center"/>
                            </w:pPr>
                            <w:r>
                              <w:rPr>
                                <w:rFonts w:ascii="Times New Roman" w:eastAsia="Times New Roman" w:hAnsi="Times New Roman" w:cs="Times New Roman"/>
                                <w:sz w:val="24"/>
                                <w:szCs w:val="24"/>
                                <w:lang w:eastAsia="en-GB"/>
                              </w:rPr>
                              <w:t>G</w:t>
                            </w:r>
                            <w:r w:rsidRPr="00F84AF5">
                              <w:rPr>
                                <w:rFonts w:ascii="Times New Roman" w:eastAsia="Times New Roman" w:hAnsi="Times New Roman" w:cs="Times New Roman"/>
                                <w:sz w:val="24"/>
                                <w:szCs w:val="24"/>
                                <w:lang w:eastAsia="en-GB"/>
                              </w:rPr>
                              <w:t>lory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8755AA7" id="Rounded Rectangle 25" o:spid="_x0000_s1038" style="position:absolute;left:0;text-align:left;margin-left:86.05pt;margin-top:9.7pt;width:114.75pt;height:4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" fillcolor="#4472c4 [3208]" strokecolor="#f2f2f2 [3041]" strokeweight="3pt">
                <v:shadow on="t" color="#1f3763 [1608]" opacity=".5" offset="1pt"/>
                <v:path arrowok="t"/>
                <v:textbox>
                  <w:txbxContent>
                    <w:p w14:paraId="5DF50DF4" w14:textId="77777777" w:rsidR="0067586A" w:rsidRDefault="0067586A" w:rsidP="00CD3724">
                      <w:pPr>
                        <w:jc w:val="center"/>
                      </w:pPr>
                      <w:r>
                        <w:rPr>
                          <w:rFonts w:ascii="Times New Roman" w:eastAsia="Times New Roman" w:hAnsi="Times New Roman" w:cs="Times New Roman"/>
                          <w:sz w:val="24"/>
                          <w:szCs w:val="24"/>
                          <w:lang w:eastAsia="en-GB"/>
                        </w:rPr>
                        <w:t>G</w:t>
                      </w:r>
                      <w:r w:rsidRPr="00F84AF5">
                        <w:rPr>
                          <w:rFonts w:ascii="Times New Roman" w:eastAsia="Times New Roman" w:hAnsi="Times New Roman" w:cs="Times New Roman"/>
                          <w:sz w:val="24"/>
                          <w:szCs w:val="24"/>
                          <w:lang w:eastAsia="en-GB"/>
                        </w:rPr>
                        <w:t>lory</w:t>
                      </w:r>
                    </w:p>
                  </w:txbxContent>
                </v:textbox>
              </v:roundrect>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05344" behindDoc="0" locked="0" layoutInCell="1" allowOverlap="1" wp14:anchorId="794A4269" wp14:editId="30E2A830">
                <wp:simplePos x="0" y="0"/>
                <wp:positionH relativeFrom="column">
                  <wp:posOffset>4770755</wp:posOffset>
                </wp:positionH>
                <wp:positionV relativeFrom="paragraph">
                  <wp:posOffset>208915</wp:posOffset>
                </wp:positionV>
                <wp:extent cx="9525" cy="339090"/>
                <wp:effectExtent l="76200" t="25400" r="28575" b="29210"/>
                <wp:wrapNone/>
                <wp:docPr id="910171841"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3909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270C606" id="Straight Arrow Connector 24" o:spid="_x0000_s1026" type="#_x0000_t32" style="position:absolute;margin-left:375.65pt;margin-top:16.45pt;width:.75pt;height:26.7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" strokecolor="black [3200]" strokeweight=".5pt">
                <v:stroke startarrow="open" endarrow="open" joinstyle="miter"/>
                <o:lock v:ext="edit" shapetype="f"/>
              </v:shape>
            </w:pict>
          </mc:Fallback>
        </mc:AlternateContent>
      </w:r>
    </w:p>
    <w:p w14:paraId="163081BE"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4294967295" distB="4294967295" distL="114300" distR="114300" simplePos="0" relativeHeight="251699200" behindDoc="0" locked="0" layoutInCell="1" allowOverlap="1" wp14:anchorId="025AFE9A" wp14:editId="77E60028">
                <wp:simplePos x="0" y="0"/>
                <wp:positionH relativeFrom="column">
                  <wp:posOffset>831850</wp:posOffset>
                </wp:positionH>
                <wp:positionV relativeFrom="paragraph">
                  <wp:posOffset>10794</wp:posOffset>
                </wp:positionV>
                <wp:extent cx="243205" cy="0"/>
                <wp:effectExtent l="25400" t="63500" r="0" b="63500"/>
                <wp:wrapNone/>
                <wp:docPr id="87670491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24320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3A37ADBF" id="Straight Arrow Connector 23" o:spid="_x0000_s1026" type="#_x0000_t32" style="position:absolute;margin-left:65.5pt;margin-top:.85pt;width:19.15pt;height:0;flip:x;z-index:251699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">
                <v:stroke endarrow="block"/>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78720" behindDoc="0" locked="0" layoutInCell="1" allowOverlap="1" wp14:anchorId="4DA0F0CC" wp14:editId="3242B307">
                <wp:simplePos x="0" y="0"/>
                <wp:positionH relativeFrom="column">
                  <wp:posOffset>4338320</wp:posOffset>
                </wp:positionH>
                <wp:positionV relativeFrom="paragraph">
                  <wp:posOffset>252730</wp:posOffset>
                </wp:positionV>
                <wp:extent cx="1078230" cy="505460"/>
                <wp:effectExtent l="0" t="0" r="13970" b="27940"/>
                <wp:wrapNone/>
                <wp:docPr id="1864008629"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8230" cy="505460"/>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txbx>
                        <w:txbxContent>
                          <w:p w14:paraId="34701BA0" w14:textId="77777777" w:rsidR="0067586A" w:rsidRDefault="0067586A" w:rsidP="00CD3724">
                            <w:pPr>
                              <w:jc w:val="center"/>
                            </w:pPr>
                            <w:r>
                              <w:t>Environmental Insecurity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A0F0CC" id="Rectangle 22" o:spid="_x0000_s1039" style="position:absolute;left:0;text-align:left;margin-left:341.6pt;margin-top:19.9pt;width:84.9pt;height:39.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" fillcolor="#8eaadb [1944]" strokecolor="#8eaadb [1944]" strokeweight="1pt">
                <v:fill color2="#d9e2f3 [664]" angle="135" focus="50%" type="gradient"/>
                <v:shadow on="t" color="#1f3763 [1608]" opacity=".5" offset="1pt"/>
                <v:path arrowok="t"/>
                <v:textbox>
                  <w:txbxContent>
                    <w:p w14:paraId="34701BA0" w14:textId="77777777" w:rsidR="0067586A" w:rsidRDefault="0067586A" w:rsidP="00CD3724">
                      <w:pPr>
                        <w:jc w:val="center"/>
                      </w:pPr>
                      <w:r>
                        <w:t>Environmental Insecurity</w:t>
                      </w:r>
                    </w:p>
                  </w:txbxContent>
                </v:textbox>
              </v:rect>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75648" behindDoc="0" locked="0" layoutInCell="1" allowOverlap="1" wp14:anchorId="43DAE31E" wp14:editId="3F47CBFE">
                <wp:simplePos x="0" y="0"/>
                <wp:positionH relativeFrom="column">
                  <wp:posOffset>2673985</wp:posOffset>
                </wp:positionH>
                <wp:positionV relativeFrom="paragraph">
                  <wp:posOffset>149225</wp:posOffset>
                </wp:positionV>
                <wp:extent cx="1285240" cy="700405"/>
                <wp:effectExtent l="12700" t="12700" r="22860" b="36195"/>
                <wp:wrapNone/>
                <wp:docPr id="106900302" name="Oval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85240" cy="700405"/>
                        </a:xfrm>
                        <a:prstGeom prst="ellipse">
                          <a:avLst/>
                        </a:prstGeom>
                        <a:solidFill>
                          <a:schemeClr val="accent3">
                            <a:lumMod val="100000"/>
                            <a:lumOff val="0"/>
                          </a:schemeClr>
                        </a:solidFill>
                        <a:ln w="38100">
                          <a:solidFill>
                            <a:schemeClr val="lt1">
                              <a:lumMod val="95000"/>
                              <a:lumOff val="0"/>
                            </a:schemeClr>
                          </a:solidFill>
                          <a:round/>
                          <a:headEnd/>
                          <a:tailEnd/>
                        </a:ln>
                        <a:effectLst>
                          <a:outerShdw dist="28398" dir="3806097" algn="ctr" rotWithShape="0">
                            <a:schemeClr val="accent3">
                              <a:lumMod val="50000"/>
                              <a:lumOff val="0"/>
                              <a:alpha val="50000"/>
                            </a:schemeClr>
                          </a:outerShdw>
                        </a:effectLst>
                      </wps:spPr>
                      <wps:txbx>
                        <w:txbxContent>
                          <w:p w14:paraId="0129AE51" w14:textId="77777777" w:rsidR="0067586A" w:rsidRDefault="0067586A" w:rsidP="00CD3724">
                            <w:pPr>
                              <w:jc w:val="center"/>
                            </w:pPr>
                            <w:r>
                              <w:t>Loss of properties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3DAE31E" id="Oval 21" o:spid="_x0000_s1040" style="position:absolute;left:0;text-align:left;margin-left:210.55pt;margin-top:11.75pt;width:101.2pt;height:55.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" fillcolor="#a5a5a5 [3206]" strokecolor="#f2f2f2 [3041]" strokeweight="3pt">
                <v:shadow on="t" color="#525252 [1606]" opacity=".5" offset="1pt"/>
                <v:path arrowok="t"/>
                <v:textbox>
                  <w:txbxContent>
                    <w:p w14:paraId="0129AE51" w14:textId="77777777" w:rsidR="0067586A" w:rsidRDefault="0067586A" w:rsidP="00CD3724">
                      <w:pPr>
                        <w:jc w:val="center"/>
                      </w:pPr>
                      <w:r>
                        <w:t>Loss of properties</w:t>
                      </w:r>
                    </w:p>
                  </w:txbxContent>
                </v:textbox>
              </v:oval>
            </w:pict>
          </mc:Fallback>
        </mc:AlternateContent>
      </w:r>
    </w:p>
    <w:p w14:paraId="5DEE00CE"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4294967295" distB="4294967295" distL="114300" distR="114300" simplePos="0" relativeHeight="251687936" behindDoc="0" locked="0" layoutInCell="1" allowOverlap="1" wp14:anchorId="40699DCC" wp14:editId="2ED782BD">
                <wp:simplePos x="0" y="0"/>
                <wp:positionH relativeFrom="column">
                  <wp:posOffset>3967480</wp:posOffset>
                </wp:positionH>
                <wp:positionV relativeFrom="paragraph">
                  <wp:posOffset>217804</wp:posOffset>
                </wp:positionV>
                <wp:extent cx="334010" cy="0"/>
                <wp:effectExtent l="0" t="63500" r="0" b="63500"/>
                <wp:wrapNone/>
                <wp:docPr id="556933735"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3401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4CD7F499" id="Straight Arrow Connector 20" o:spid="_x0000_s1026" type="#_x0000_t32" style="position:absolute;margin-left:312.4pt;margin-top:17.15pt;width:26.3pt;height:0;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">
                <v:stroke endarrow="block"/>
                <o:lock v:ext="edit" shapetype="f"/>
              </v:shape>
            </w:pict>
          </mc:Fallback>
        </mc:AlternateContent>
      </w:r>
    </w:p>
    <w:p w14:paraId="0EA1D42D" w14:textId="77777777"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00224" behindDoc="0" locked="0" layoutInCell="1" allowOverlap="1" wp14:anchorId="1CBF4828" wp14:editId="713FE28C">
                <wp:simplePos x="0" y="0"/>
                <wp:positionH relativeFrom="column">
                  <wp:posOffset>3366135</wp:posOffset>
                </wp:positionH>
                <wp:positionV relativeFrom="paragraph">
                  <wp:posOffset>260985</wp:posOffset>
                </wp:positionV>
                <wp:extent cx="635" cy="224155"/>
                <wp:effectExtent l="63500" t="25400" r="37465" b="17145"/>
                <wp:wrapNone/>
                <wp:docPr id="1242707946"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224155"/>
                        </a:xfrm>
                        <a:prstGeom prst="straightConnector1">
                          <a:avLst/>
                        </a:prstGeom>
                        <a:noFill/>
                        <a:ln w="9525">
                          <a:solidFill>
                            <a:srgbClr val="000000"/>
                          </a:solidFill>
                          <a:round/>
                          <a:headEnd type="triangl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57F51C42" id="Straight Arrow Connector 19" o:spid="_x0000_s1026" type="#_x0000_t32" style="position:absolute;margin-left:265.05pt;margin-top:20.55pt;width:.05pt;height:17.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">
                <v:stroke startarrow="block" endarrow="block"/>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07392" behindDoc="0" locked="0" layoutInCell="1" allowOverlap="1" wp14:anchorId="3AE301A8" wp14:editId="31C359FB">
                <wp:simplePos x="0" y="0"/>
                <wp:positionH relativeFrom="column">
                  <wp:posOffset>4780280</wp:posOffset>
                </wp:positionH>
                <wp:positionV relativeFrom="paragraph">
                  <wp:posOffset>177800</wp:posOffset>
                </wp:positionV>
                <wp:extent cx="9525" cy="339090"/>
                <wp:effectExtent l="76200" t="25400" r="28575" b="29210"/>
                <wp:wrapNone/>
                <wp:docPr id="915571723"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3909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32F0A54" id="Straight Arrow Connector 18" o:spid="_x0000_s1026" type="#_x0000_t32" style="position:absolute;margin-left:376.4pt;margin-top:14pt;width:.75pt;height:26.7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" strokecolor="black [3200]" strokeweight=".5pt">
                <v:stroke startarrow="open" endarrow="open" joinstyle="miter"/>
                <o:lock v:ext="edit" shapetype="f"/>
              </v:shape>
            </w:pict>
          </mc:Fallback>
        </mc:AlternateContent>
      </w:r>
    </w:p>
    <w:p w14:paraId="7155870E" w14:textId="4AF8D46C" w:rsidR="00CD3724" w:rsidRPr="00E2630C" w:rsidRDefault="008945D3" w:rsidP="00CD3724">
      <w:pPr>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79744" behindDoc="0" locked="0" layoutInCell="1" allowOverlap="1" wp14:anchorId="2E5FC4C2" wp14:editId="03E842A8">
                <wp:simplePos x="0" y="0"/>
                <wp:positionH relativeFrom="column">
                  <wp:posOffset>-19050</wp:posOffset>
                </wp:positionH>
                <wp:positionV relativeFrom="paragraph">
                  <wp:posOffset>342265</wp:posOffset>
                </wp:positionV>
                <wp:extent cx="2463800" cy="1200150"/>
                <wp:effectExtent l="0" t="0" r="12700" b="19050"/>
                <wp:wrapNone/>
                <wp:docPr id="194260455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63800" cy="1200150"/>
                        </a:xfrm>
                        <a:prstGeom prst="rect">
                          <a:avLst/>
                        </a:prstGeom>
                        <a:solidFill>
                          <a:srgbClr val="FFFFFF"/>
                        </a:solidFill>
                        <a:ln w="9525">
                          <a:solidFill>
                            <a:srgbClr val="000000"/>
                          </a:solidFill>
                          <a:miter lim="800000"/>
                          <a:headEnd/>
                          <a:tailEnd/>
                        </a:ln>
                      </wps:spPr>
                      <wps:txbx>
                        <w:txbxContent>
                          <w:p w14:paraId="223781F7" w14:textId="77777777" w:rsidR="0067586A" w:rsidRDefault="0067586A" w:rsidP="00CD3724">
                            <w:pPr>
                              <w:pStyle w:val="NoSpacing"/>
                            </w:pPr>
                          </w:p>
                          <w:p w14:paraId="4681B5A0" w14:textId="77777777" w:rsidR="0067586A" w:rsidRDefault="0067586A" w:rsidP="00CD3724">
                            <w:r>
                              <w:t xml:space="preserve">                         Impact on the states </w:t>
                            </w:r>
                          </w:p>
                          <w:p w14:paraId="79218D3E" w14:textId="77777777" w:rsidR="0067586A" w:rsidRDefault="0067586A" w:rsidP="00CD3724">
                            <w:r>
                              <w:t xml:space="preserve">                         Secondary consequences </w:t>
                            </w:r>
                          </w:p>
                          <w:p w14:paraId="173486BA" w14:textId="77777777" w:rsidR="0067586A" w:rsidRDefault="0067586A" w:rsidP="00CD3724">
                            <w:r>
                              <w:t xml:space="preserve">                        Causes of the conflict  </w:t>
                            </w:r>
                          </w:p>
                          <w:p w14:paraId="55214325" w14:textId="77777777" w:rsidR="0067586A" w:rsidRDefault="0067586A" w:rsidP="00CD37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5FC4C2" id="_x0000_t202" coordsize="21600,21600" o:spt="202" path="m,l,21600r21600,l21600,xe">
                <v:stroke joinstyle="miter"/>
                <v:path gradientshapeok="t" o:connecttype="rect"/>
              </v:shapetype>
              <v:shape id="Text Box 17" o:spid="_x0000_s1041" type="#_x0000_t202" style="position:absolute;margin-left:-1.5pt;margin-top:26.95pt;width:194pt;height:9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">
                <v:path arrowok="t"/>
                <v:textbox>
                  <w:txbxContent>
                    <w:p w14:paraId="223781F7" w14:textId="77777777" w:rsidR="0067586A" w:rsidRDefault="0067586A" w:rsidP="00CD3724">
                      <w:pPr>
                        <w:pStyle w:val="NoSpacing"/>
                      </w:pPr>
                    </w:p>
                    <w:p w14:paraId="4681B5A0" w14:textId="77777777" w:rsidR="0067586A" w:rsidRDefault="0067586A" w:rsidP="00CD3724">
                      <w:r>
                        <w:t xml:space="preserve">                         Impact on the states </w:t>
                      </w:r>
                    </w:p>
                    <w:p w14:paraId="79218D3E" w14:textId="77777777" w:rsidR="0067586A" w:rsidRDefault="0067586A" w:rsidP="00CD3724">
                      <w:r>
                        <w:t xml:space="preserve">                         Secondary consequences </w:t>
                      </w:r>
                    </w:p>
                    <w:p w14:paraId="173486BA" w14:textId="77777777" w:rsidR="0067586A" w:rsidRDefault="0067586A" w:rsidP="00CD3724">
                      <w:r>
                        <w:t xml:space="preserve">                        Causes of the conflict  </w:t>
                      </w:r>
                    </w:p>
                    <w:p w14:paraId="55214325" w14:textId="77777777" w:rsidR="0067586A" w:rsidRDefault="0067586A" w:rsidP="00CD3724"/>
                  </w:txbxContent>
                </v:textbox>
              </v:shape>
            </w:pict>
          </mc:Fallback>
        </mc:AlternateContent>
      </w:r>
      <w:r w:rsidR="00CD3724"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84864" behindDoc="0" locked="0" layoutInCell="1" allowOverlap="1" wp14:anchorId="06780C32" wp14:editId="062B1C75">
                <wp:simplePos x="0" y="0"/>
                <wp:positionH relativeFrom="column">
                  <wp:posOffset>4324350</wp:posOffset>
                </wp:positionH>
                <wp:positionV relativeFrom="paragraph">
                  <wp:posOffset>198755</wp:posOffset>
                </wp:positionV>
                <wp:extent cx="1095375" cy="494030"/>
                <wp:effectExtent l="0" t="0" r="9525" b="26670"/>
                <wp:wrapNone/>
                <wp:docPr id="21996728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95375" cy="494030"/>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txbx>
                        <w:txbxContent>
                          <w:p w14:paraId="0D9E103D" w14:textId="77777777" w:rsidR="0067586A" w:rsidRDefault="0067586A" w:rsidP="00CD3724">
                            <w:r>
                              <w:t xml:space="preserve">Food Insecurity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780C32" id="Rectangle 16" o:spid="_x0000_s1042" style="position:absolute;margin-left:340.5pt;margin-top:15.65pt;width:86.25pt;height:38.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" fillcolor="#8eaadb [1944]" strokecolor="#8eaadb [1944]" strokeweight="1pt">
                <v:fill color2="#d9e2f3 [664]" angle="135" focus="50%" type="gradient"/>
                <v:shadow on="t" color="#1f3763 [1608]" opacity=".5" offset="1pt"/>
                <v:path arrowok="t"/>
                <v:textbox>
                  <w:txbxContent>
                    <w:p w14:paraId="0D9E103D" w14:textId="77777777" w:rsidR="0067586A" w:rsidRDefault="0067586A" w:rsidP="00CD3724">
                      <w:r>
                        <w:t xml:space="preserve">Food Insecurity </w:t>
                      </w:r>
                    </w:p>
                  </w:txbxContent>
                </v:textbox>
              </v:rect>
            </w:pict>
          </mc:Fallback>
        </mc:AlternateContent>
      </w:r>
      <w:r w:rsidR="00CD3724"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74624" behindDoc="0" locked="0" layoutInCell="1" allowOverlap="1" wp14:anchorId="186EAECE" wp14:editId="6934E4A2">
                <wp:simplePos x="0" y="0"/>
                <wp:positionH relativeFrom="column">
                  <wp:posOffset>2605405</wp:posOffset>
                </wp:positionH>
                <wp:positionV relativeFrom="paragraph">
                  <wp:posOffset>130175</wp:posOffset>
                </wp:positionV>
                <wp:extent cx="1294130" cy="724535"/>
                <wp:effectExtent l="12700" t="12700" r="26670" b="37465"/>
                <wp:wrapNone/>
                <wp:docPr id="103586429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94130" cy="724535"/>
                        </a:xfrm>
                        <a:prstGeom prst="ellipse">
                          <a:avLst/>
                        </a:prstGeom>
                        <a:solidFill>
                          <a:schemeClr val="accent3">
                            <a:lumMod val="100000"/>
                            <a:lumOff val="0"/>
                          </a:schemeClr>
                        </a:solidFill>
                        <a:ln w="38100">
                          <a:solidFill>
                            <a:schemeClr val="lt1">
                              <a:lumMod val="95000"/>
                              <a:lumOff val="0"/>
                            </a:schemeClr>
                          </a:solidFill>
                          <a:round/>
                          <a:headEnd/>
                          <a:tailEnd/>
                        </a:ln>
                        <a:effectLst>
                          <a:outerShdw dist="28398" dir="3806097" algn="ctr" rotWithShape="0">
                            <a:schemeClr val="accent3">
                              <a:lumMod val="50000"/>
                              <a:lumOff val="0"/>
                              <a:alpha val="50000"/>
                            </a:schemeClr>
                          </a:outerShdw>
                        </a:effectLst>
                      </wps:spPr>
                      <wps:txbx>
                        <w:txbxContent>
                          <w:p w14:paraId="02C0ABB4" w14:textId="77777777" w:rsidR="0067586A" w:rsidRDefault="0067586A" w:rsidP="00CD3724">
                            <w:pPr>
                              <w:jc w:val="center"/>
                            </w:pPr>
                            <w:r>
                              <w:t>Displacement of people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86EAECE" id="Oval 15" o:spid="_x0000_s1043" style="position:absolute;margin-left:205.15pt;margin-top:10.25pt;width:101.9pt;height:57.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" fillcolor="#a5a5a5 [3206]" strokecolor="#f2f2f2 [3041]" strokeweight="3pt">
                <v:shadow on="t" color="#525252 [1606]" opacity=".5" offset="1pt"/>
                <v:path arrowok="t"/>
                <v:textbox>
                  <w:txbxContent>
                    <w:p w14:paraId="02C0ABB4" w14:textId="77777777" w:rsidR="0067586A" w:rsidRDefault="0067586A" w:rsidP="00CD3724">
                      <w:pPr>
                        <w:jc w:val="center"/>
                      </w:pPr>
                      <w:r>
                        <w:t>Displacement of people</w:t>
                      </w:r>
                    </w:p>
                  </w:txbxContent>
                </v:textbox>
              </v:oval>
            </w:pict>
          </mc:Fallback>
        </mc:AlternateContent>
      </w:r>
    </w:p>
    <w:p w14:paraId="792B1393" w14:textId="0249240E"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80768" behindDoc="0" locked="0" layoutInCell="1" allowOverlap="1" wp14:anchorId="2D3405DA" wp14:editId="2ACE5381">
                <wp:simplePos x="0" y="0"/>
                <wp:positionH relativeFrom="column">
                  <wp:posOffset>62230</wp:posOffset>
                </wp:positionH>
                <wp:positionV relativeFrom="paragraph">
                  <wp:posOffset>145415</wp:posOffset>
                </wp:positionV>
                <wp:extent cx="511810" cy="243840"/>
                <wp:effectExtent l="0" t="0" r="40640" b="60960"/>
                <wp:wrapNone/>
                <wp:docPr id="76311353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11810" cy="243840"/>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BD9A9E" id="Rectangle 14" o:spid="_x0000_s1026" style="position:absolute;margin-left:4.9pt;margin-top:11.45pt;width:40.3pt;height:19.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" fillcolor="#8eaadb [1944]" strokecolor="#8eaadb [1944]" strokeweight="1pt">
                <v:fill color2="#d9e2f3 [664]" angle="135" focus="50%" type="gradient"/>
                <v:shadow on="t" color="#1f3763 [1608]" opacity=".5" offset="1pt"/>
                <v:path arrowok="t"/>
              </v:rect>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88960" behindDoc="0" locked="0" layoutInCell="1" allowOverlap="1" wp14:anchorId="595211CF" wp14:editId="67C7F6E8">
                <wp:simplePos x="0" y="0"/>
                <wp:positionH relativeFrom="column">
                  <wp:posOffset>3933825</wp:posOffset>
                </wp:positionH>
                <wp:positionV relativeFrom="paragraph">
                  <wp:posOffset>146685</wp:posOffset>
                </wp:positionV>
                <wp:extent cx="370840" cy="5715"/>
                <wp:effectExtent l="0" t="63500" r="0" b="57785"/>
                <wp:wrapNone/>
                <wp:docPr id="116611507"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70840" cy="571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w14:anchorId="3E844F6A" id="_x0000_t32" coordsize="21600,21600" o:spt="32" o:oned="t" path="m,l21600,21600e" filled="f">
                <v:path arrowok="t" fillok="f" o:connecttype="none"/>
                <o:lock v:ext="edit" shapetype="t"/>
              </v:shapetype>
              <v:shape id="Straight Arrow Connector 13" o:spid="_x0000_s1026" type="#_x0000_t32" style="position:absolute;margin-left:309.75pt;margin-top:11.55pt;width:29.2pt;height:.4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">
                <v:stroke endarrow="block"/>
                <o:lock v:ext="edit" shapetype="f"/>
              </v:shape>
            </w:pict>
          </mc:Fallback>
        </mc:AlternateContent>
      </w:r>
    </w:p>
    <w:p w14:paraId="049AF966" w14:textId="77777777"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81792" behindDoc="0" locked="0" layoutInCell="1" allowOverlap="1" wp14:anchorId="63B2F1B3" wp14:editId="2876F609">
                <wp:simplePos x="0" y="0"/>
                <wp:positionH relativeFrom="column">
                  <wp:posOffset>19685</wp:posOffset>
                </wp:positionH>
                <wp:positionV relativeFrom="paragraph">
                  <wp:posOffset>133985</wp:posOffset>
                </wp:positionV>
                <wp:extent cx="591185" cy="237490"/>
                <wp:effectExtent l="19050" t="19050" r="37465" b="48260"/>
                <wp:wrapNone/>
                <wp:docPr id="282800820"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1185" cy="237490"/>
                        </a:xfrm>
                        <a:prstGeom prst="ellipse">
                          <a:avLst/>
                        </a:prstGeom>
                        <a:solidFill>
                          <a:schemeClr val="accent3">
                            <a:lumMod val="100000"/>
                            <a:lumOff val="0"/>
                          </a:schemeClr>
                        </a:solidFill>
                        <a:ln w="38100">
                          <a:solidFill>
                            <a:schemeClr val="lt1">
                              <a:lumMod val="95000"/>
                              <a:lumOff val="0"/>
                            </a:schemeClr>
                          </a:solidFill>
                          <a:round/>
                          <a:headEnd/>
                          <a:tailEnd/>
                        </a:ln>
                        <a:effectLst>
                          <a:outerShdw dist="28398" dir="3806097" algn="ctr" rotWithShape="0">
                            <a:schemeClr val="accent3">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7C5718C" id="Oval 12" o:spid="_x0000_s1026" style="position:absolute;margin-left:1.55pt;margin-top:10.55pt;width:46.55pt;height:18.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" fillcolor="#a5a5a5 [3206]" strokecolor="#f2f2f2 [3041]" strokeweight="3pt">
                <v:shadow on="t" color="#525252 [1606]" opacity=".5" offset="1pt"/>
                <v:path arrowok="t"/>
              </v:oval>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89984" behindDoc="0" locked="0" layoutInCell="1" allowOverlap="1" wp14:anchorId="123AA0E8" wp14:editId="38582A6B">
                <wp:simplePos x="0" y="0"/>
                <wp:positionH relativeFrom="column">
                  <wp:posOffset>3787140</wp:posOffset>
                </wp:positionH>
                <wp:positionV relativeFrom="paragraph">
                  <wp:posOffset>102870</wp:posOffset>
                </wp:positionV>
                <wp:extent cx="603885" cy="384810"/>
                <wp:effectExtent l="0" t="0" r="31115" b="21590"/>
                <wp:wrapNone/>
                <wp:docPr id="2056141950"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3885" cy="38481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5FA11773" id="Straight Arrow Connector 11" o:spid="_x0000_s1026" type="#_x0000_t32" style="position:absolute;margin-left:298.2pt;margin-top:8.1pt;width:47.55pt;height:30.3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">
                <v:stroke endarrow="block"/>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299" distR="114299" simplePos="0" relativeHeight="251706368" behindDoc="0" locked="0" layoutInCell="1" allowOverlap="1" wp14:anchorId="7DCF8F71" wp14:editId="29602683">
                <wp:simplePos x="0" y="0"/>
                <wp:positionH relativeFrom="column">
                  <wp:posOffset>4789804</wp:posOffset>
                </wp:positionH>
                <wp:positionV relativeFrom="paragraph">
                  <wp:posOffset>34290</wp:posOffset>
                </wp:positionV>
                <wp:extent cx="0" cy="276225"/>
                <wp:effectExtent l="76200" t="25400" r="76200" b="28575"/>
                <wp:wrapNone/>
                <wp:docPr id="1082731282"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1185B6" id="Straight Arrow Connector 10" o:spid="_x0000_s1026" type="#_x0000_t32" style="position:absolute;margin-left:377.15pt;margin-top:2.7pt;width:0;height:21.75pt;z-index:2517063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" strokecolor="black [3200]" strokeweight=".5pt">
                <v:stroke startarrow="open" endarrow="open" joinstyle="miter"/>
                <o:lock v:ext="edit" shapetype="f"/>
              </v:shape>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85888" behindDoc="0" locked="0" layoutInCell="1" allowOverlap="1" wp14:anchorId="193D48EB" wp14:editId="68B228AF">
                <wp:simplePos x="0" y="0"/>
                <wp:positionH relativeFrom="column">
                  <wp:posOffset>4401820</wp:posOffset>
                </wp:positionH>
                <wp:positionV relativeFrom="paragraph">
                  <wp:posOffset>309245</wp:posOffset>
                </wp:positionV>
                <wp:extent cx="1035050" cy="505460"/>
                <wp:effectExtent l="0" t="0" r="19050" b="27940"/>
                <wp:wrapNone/>
                <wp:docPr id="69753288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35050" cy="505460"/>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txbx>
                        <w:txbxContent>
                          <w:p w14:paraId="55B976F2" w14:textId="77777777" w:rsidR="0067586A" w:rsidRDefault="0067586A" w:rsidP="00CD3724">
                            <w:pPr>
                              <w:jc w:val="center"/>
                            </w:pPr>
                            <w:r>
                              <w:t>Health Insecurity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3D48EB" id="Rectangle 9" o:spid="_x0000_s1044" style="position:absolute;margin-left:346.6pt;margin-top:24.35pt;width:81.5pt;height:39.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" fillcolor="#8eaadb [1944]" strokecolor="#8eaadb [1944]" strokeweight="1pt">
                <v:fill color2="#d9e2f3 [664]" angle="135" focus="50%" type="gradient"/>
                <v:shadow on="t" color="#1f3763 [1608]" opacity=".5" offset="1pt"/>
                <v:path arrowok="t"/>
                <v:textbox>
                  <w:txbxContent>
                    <w:p w14:paraId="55B976F2" w14:textId="77777777" w:rsidR="0067586A" w:rsidRDefault="0067586A" w:rsidP="00CD3724">
                      <w:pPr>
                        <w:jc w:val="center"/>
                      </w:pPr>
                      <w:r>
                        <w:t>Health Insecurity</w:t>
                      </w:r>
                    </w:p>
                  </w:txbxContent>
                </v:textbox>
              </v:rect>
            </w:pict>
          </mc:Fallback>
        </mc:AlternateContent>
      </w:r>
      <w:r w:rsidRPr="00E2630C">
        <w:rPr>
          <w:rFonts w:ascii="Times New Roman" w:hAnsi="Times New Roman" w:cs="Times New Roman"/>
          <w:noProof/>
          <w:color w:val="000000" w:themeColor="text1"/>
          <w:sz w:val="24"/>
          <w:szCs w:val="24"/>
          <w:lang w:val="en-US"/>
        </w:rPr>
        <mc:AlternateContent>
          <mc:Choice Requires="wps">
            <w:drawing>
              <wp:anchor distT="0" distB="0" distL="114299" distR="114299" simplePos="0" relativeHeight="251702272" behindDoc="0" locked="0" layoutInCell="1" allowOverlap="1" wp14:anchorId="61C76749" wp14:editId="15CFAB27">
                <wp:simplePos x="0" y="0"/>
                <wp:positionH relativeFrom="column">
                  <wp:posOffset>3407409</wp:posOffset>
                </wp:positionH>
                <wp:positionV relativeFrom="paragraph">
                  <wp:posOffset>197485</wp:posOffset>
                </wp:positionV>
                <wp:extent cx="0" cy="290195"/>
                <wp:effectExtent l="76200" t="0" r="76200" b="27305"/>
                <wp:wrapNone/>
                <wp:docPr id="676515241"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019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E3B60D7" id="Straight Arrow Connector 8" o:spid="_x0000_s1026" type="#_x0000_t32" style="position:absolute;margin-left:268.3pt;margin-top:15.55pt;width:0;height:22.85pt;z-index:2517022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" strokecolor="black [3200]" strokeweight=".5pt">
                <v:stroke endarrow="open" joinstyle="miter"/>
                <o:lock v:ext="edit" shapetype="f"/>
              </v:shape>
            </w:pict>
          </mc:Fallback>
        </mc:AlternateContent>
      </w:r>
    </w:p>
    <w:p w14:paraId="485E6F6F" w14:textId="4D4A46B3" w:rsidR="00CD3724" w:rsidRPr="00E2630C" w:rsidRDefault="008945D3" w:rsidP="00CD3724">
      <w:pPr>
        <w:tabs>
          <w:tab w:val="left" w:pos="6105"/>
        </w:tabs>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82816" behindDoc="0" locked="0" layoutInCell="1" allowOverlap="1" wp14:anchorId="410EBAA8" wp14:editId="788A81B9">
                <wp:simplePos x="0" y="0"/>
                <wp:positionH relativeFrom="column">
                  <wp:posOffset>62230</wp:posOffset>
                </wp:positionH>
                <wp:positionV relativeFrom="paragraph">
                  <wp:posOffset>107315</wp:posOffset>
                </wp:positionV>
                <wp:extent cx="511810" cy="268605"/>
                <wp:effectExtent l="19050" t="19050" r="40640" b="55245"/>
                <wp:wrapNone/>
                <wp:docPr id="150075235" name="Rounded 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11810" cy="26860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BE0E9B6" id="Rounded Rectangle 6" o:spid="_x0000_s1026" style="position:absolute;margin-left:4.9pt;margin-top:8.45pt;width:40.3pt;height:21.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" fillcolor="#4472c4 [3208]" strokecolor="#f2f2f2 [3041]" strokeweight="3pt">
                <v:shadow on="t" color="#1f3763 [1608]" opacity=".5" offset="1pt"/>
                <v:path arrowok="t"/>
              </v:roundrect>
            </w:pict>
          </mc:Fallback>
        </mc:AlternateContent>
      </w:r>
      <w:r w:rsidR="00CD3724"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01248" behindDoc="0" locked="0" layoutInCell="1" allowOverlap="1" wp14:anchorId="50923961" wp14:editId="376BB224">
                <wp:simplePos x="0" y="0"/>
                <wp:positionH relativeFrom="column">
                  <wp:posOffset>2673350</wp:posOffset>
                </wp:positionH>
                <wp:positionV relativeFrom="paragraph">
                  <wp:posOffset>156845</wp:posOffset>
                </wp:positionV>
                <wp:extent cx="1285240" cy="387350"/>
                <wp:effectExtent l="50800" t="25400" r="48260" b="69850"/>
                <wp:wrapNone/>
                <wp:docPr id="116364031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85240" cy="387350"/>
                        </a:xfrm>
                        <a:prstGeom prst="rect">
                          <a:avLst/>
                        </a:prstGeom>
                        <a:ln>
                          <a:headEnd/>
                          <a:tailEnd/>
                        </a:ln>
                      </wps:spPr>
                      <wps:style>
                        <a:lnRef idx="1">
                          <a:schemeClr val="accent6"/>
                        </a:lnRef>
                        <a:fillRef idx="2">
                          <a:schemeClr val="accent6"/>
                        </a:fillRef>
                        <a:effectRef idx="1">
                          <a:schemeClr val="accent6"/>
                        </a:effectRef>
                        <a:fontRef idx="minor">
                          <a:schemeClr val="dk1"/>
                        </a:fontRef>
                      </wps:style>
                      <wps:txbx>
                        <w:txbxContent>
                          <w:p w14:paraId="0E04AA84" w14:textId="77777777" w:rsidR="0067586A" w:rsidRDefault="0067586A" w:rsidP="00CD3724">
                            <w:r>
                              <w:t>National Unrest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923961" id="Rectangle 7" o:spid="_x0000_s1045" style="position:absolute;margin-left:210.5pt;margin-top:12.35pt;width:101.2pt;height:3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" fillcolor="#9ecb81 [2169]" strokecolor="#70ad47 [3209]" strokeweight=".5pt">
                <v:fill color2="#8ac066 [2617]" rotate="t" colors="0 #b5d5a7;.5 #aace99;1 #9cca86" focus="100%" type="gradient">
                  <o:fill v:ext="view" type="gradientUnscaled"/>
                </v:fill>
                <v:path arrowok="t"/>
                <v:textbox>
                  <w:txbxContent>
                    <w:p w14:paraId="0E04AA84" w14:textId="77777777" w:rsidR="0067586A" w:rsidRDefault="0067586A" w:rsidP="00CD3724">
                      <w:r>
                        <w:t>National Unrest</w:t>
                      </w:r>
                    </w:p>
                  </w:txbxContent>
                </v:textbox>
              </v:rect>
            </w:pict>
          </mc:Fallback>
        </mc:AlternateContent>
      </w:r>
      <w:r w:rsidR="00CD3724" w:rsidRPr="00E2630C">
        <w:rPr>
          <w:rFonts w:ascii="Times New Roman" w:hAnsi="Times New Roman" w:cs="Times New Roman"/>
          <w:color w:val="000000" w:themeColor="text1"/>
          <w:sz w:val="24"/>
          <w:szCs w:val="24"/>
        </w:rPr>
        <w:tab/>
      </w:r>
    </w:p>
    <w:p w14:paraId="69E5C3B2" w14:textId="77777777" w:rsidR="00CD3724" w:rsidRPr="00E2630C" w:rsidRDefault="00CD3724" w:rsidP="00CD3724">
      <w:pPr>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4294967295" distB="4294967295" distL="114300" distR="114300" simplePos="0" relativeHeight="251703296" behindDoc="0" locked="0" layoutInCell="1" allowOverlap="1" wp14:anchorId="55126836" wp14:editId="3E34C18D">
                <wp:simplePos x="0" y="0"/>
                <wp:positionH relativeFrom="column">
                  <wp:posOffset>3978275</wp:posOffset>
                </wp:positionH>
                <wp:positionV relativeFrom="paragraph">
                  <wp:posOffset>30479</wp:posOffset>
                </wp:positionV>
                <wp:extent cx="371475" cy="0"/>
                <wp:effectExtent l="25400" t="76200" r="0" b="76200"/>
                <wp:wrapNone/>
                <wp:docPr id="649906588"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147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2C77B8D" id="Straight Arrow Connector 5" o:spid="_x0000_s1026" type="#_x0000_t32" style="position:absolute;margin-left:313.25pt;margin-top:2.4pt;width:29.25pt;height:0;flip:x;z-index:2517032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" strokecolor="black [3200]" strokeweight=".5pt">
                <v:stroke endarrow="open" joinstyle="miter"/>
                <o:lock v:ext="edit" shapetype="f"/>
              </v:shape>
            </w:pict>
          </mc:Fallback>
        </mc:AlternateContent>
      </w:r>
    </w:p>
    <w:p w14:paraId="2E9183B8" w14:textId="77777777" w:rsidR="00CD3724" w:rsidRPr="00E2630C" w:rsidRDefault="00CD3724" w:rsidP="00CD3724">
      <w:pPr>
        <w:jc w:val="center"/>
        <w:rPr>
          <w:rFonts w:ascii="Times New Roman" w:hAnsi="Times New Roman" w:cs="Times New Roman"/>
          <w:b/>
          <w:color w:val="000000" w:themeColor="text1"/>
          <w:sz w:val="24"/>
          <w:szCs w:val="24"/>
        </w:rPr>
      </w:pPr>
    </w:p>
    <w:p w14:paraId="1F76ED95" w14:textId="77777777" w:rsidR="00CD3724" w:rsidRPr="00E2630C" w:rsidRDefault="00CD3724" w:rsidP="00990904">
      <w:pPr>
        <w:pStyle w:val="Heading5"/>
      </w:pPr>
      <w:bookmarkStart w:id="67" w:name="_Toc182386330"/>
      <w:r w:rsidRPr="00E2630C">
        <w:t>Figure 2.2: Conceptual framework on chieftaincy conflicts and their implication on human security</w:t>
      </w:r>
      <w:bookmarkEnd w:id="67"/>
    </w:p>
    <w:p w14:paraId="30852866" w14:textId="77777777" w:rsidR="00CD3724" w:rsidRPr="00E2630C" w:rsidRDefault="00CD3724" w:rsidP="00CD3724">
      <w:pPr>
        <w:tabs>
          <w:tab w:val="left" w:pos="3610"/>
        </w:tabs>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Source: Authors Construct, 2023</w:t>
      </w:r>
    </w:p>
    <w:p w14:paraId="7F6B9E87" w14:textId="77777777" w:rsidR="00CD3724" w:rsidRPr="00E2630C" w:rsidRDefault="00CD3724" w:rsidP="00CD3724">
      <w:pPr>
        <w:tabs>
          <w:tab w:val="left" w:pos="3610"/>
        </w:tabs>
        <w:rPr>
          <w:rFonts w:ascii="Times New Roman" w:hAnsi="Times New Roman" w:cs="Times New Roman"/>
          <w:b/>
          <w:color w:val="000000" w:themeColor="text1"/>
          <w:sz w:val="24"/>
          <w:szCs w:val="24"/>
        </w:rPr>
      </w:pPr>
    </w:p>
    <w:p w14:paraId="5EAD9A33"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conceptual framework as informed by Hobbes inherency theory and the literature is built on three causal factors to chieftaincy conflict namely; competition, diffidence, and glory. The framework indicates that when these variables become operational, they trigger various reactions such as the importation of all kind of weaponry to protect what they have started (gate), destruction of life and properties as well as displacement of people. These invariably affect human security in various levels - economic security, </w:t>
      </w:r>
      <w:r w:rsidRPr="00E2630C">
        <w:rPr>
          <w:rFonts w:ascii="Times New Roman" w:hAnsi="Times New Roman" w:cs="Times New Roman"/>
          <w:color w:val="000000" w:themeColor="text1"/>
          <w:sz w:val="24"/>
          <w:szCs w:val="24"/>
        </w:rPr>
        <w:lastRenderedPageBreak/>
        <w:t xml:space="preserve">health security, environmental security, personal security and food security. This ultimately leads to national unrest. </w:t>
      </w:r>
    </w:p>
    <w:p w14:paraId="45018BCA"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framework fits the Gbugumayilli and Bangyili intra chieftaincy conflicts. The two gates have been competing for glory and to be crowned as Bimbilla chief. To be able to sustain this ambition, the parties have been buying guns in fighting and protecting their respective gates (Lewis, 2018). This development has led to loss of lives and destruction of properties and displacement of people in the community.</w:t>
      </w:r>
    </w:p>
    <w:p w14:paraId="675CA87C"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68B890A9"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0B9287A7"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0F6AC67F"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0E4DABCA"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54C419F5"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0224A0FA"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5240498C"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07525895"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7D1CF2A3"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5A95655A"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305E1D91"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25A0FE6C" w14:textId="77777777" w:rsidR="00CD3724" w:rsidRPr="00E2630C" w:rsidRDefault="00CD3724" w:rsidP="00CD3724">
      <w:pPr>
        <w:tabs>
          <w:tab w:val="left" w:pos="8011"/>
        </w:tabs>
        <w:spacing w:line="480" w:lineRule="auto"/>
        <w:jc w:val="both"/>
        <w:rPr>
          <w:rFonts w:ascii="Times New Roman" w:hAnsi="Times New Roman" w:cs="Times New Roman"/>
          <w:color w:val="000000" w:themeColor="text1"/>
          <w:sz w:val="24"/>
          <w:szCs w:val="24"/>
        </w:rPr>
      </w:pPr>
    </w:p>
    <w:p w14:paraId="2C4D384C" w14:textId="77777777" w:rsidR="00CD3724" w:rsidRPr="00E2630C" w:rsidRDefault="00CD3724" w:rsidP="00990904">
      <w:pPr>
        <w:pStyle w:val="Heading1"/>
      </w:pPr>
      <w:bookmarkStart w:id="68" w:name="_Toc182386258"/>
      <w:r w:rsidRPr="00E2630C">
        <w:lastRenderedPageBreak/>
        <w:t>CHAPTER THREE</w:t>
      </w:r>
      <w:bookmarkEnd w:id="68"/>
    </w:p>
    <w:p w14:paraId="297584E4" w14:textId="77777777" w:rsidR="00CD3724" w:rsidRPr="00E2630C" w:rsidRDefault="00CD3724" w:rsidP="00990904">
      <w:pPr>
        <w:pStyle w:val="Heading1"/>
      </w:pPr>
      <w:bookmarkStart w:id="69" w:name="_Toc182386259"/>
      <w:r w:rsidRPr="00E2630C">
        <w:t>METHODOLOGY</w:t>
      </w:r>
      <w:bookmarkEnd w:id="69"/>
    </w:p>
    <w:p w14:paraId="1C77EB08" w14:textId="77777777" w:rsidR="00CD3724" w:rsidRPr="00E2630C" w:rsidRDefault="00CD3724" w:rsidP="00990904">
      <w:pPr>
        <w:pStyle w:val="Heading2"/>
      </w:pPr>
      <w:bookmarkStart w:id="70" w:name="_Toc182386260"/>
      <w:r w:rsidRPr="00E2630C">
        <w:t>3.1 Introduction</w:t>
      </w:r>
      <w:bookmarkEnd w:id="70"/>
      <w:r w:rsidRPr="00E2630C">
        <w:t xml:space="preserve"> </w:t>
      </w:r>
    </w:p>
    <w:p w14:paraId="3F806155"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This section discusses the methods that were used in collecting the appropriate data. The section also includes discussions on why the approaches were selected and how the methods were used in the study. The benefits and difficulties involved in using those methods were also discussed in this section. The principles, methodologies, and strategies for analyzing and interpreting data related to the phenomenon under inquiry were among the topics covered in the discussion. Primary data were collected using major methods including administration of questionnaires to members of households in the community together with in-depth interviews with some critical stakeholders of the Nanumber-North District Assembly. Three months of rigorous fieldwork in Bimbilla served as the basis for the study. The study's general research methodology is also explained in this chapter. The procedures used to process the data analysis and collecting were also provided. The chapter concludes by sharing insights and knowledge gained from the field.</w:t>
      </w:r>
    </w:p>
    <w:p w14:paraId="3B22C209" w14:textId="77777777" w:rsidR="00CD3724" w:rsidRPr="00E2630C" w:rsidRDefault="00CD3724" w:rsidP="00CD3724">
      <w:pPr>
        <w:pStyle w:val="NoSpacing"/>
        <w:rPr>
          <w:rFonts w:ascii="Times New Roman" w:hAnsi="Times New Roman" w:cs="Times New Roman"/>
          <w:color w:val="000000" w:themeColor="text1"/>
          <w:sz w:val="24"/>
          <w:szCs w:val="24"/>
        </w:rPr>
      </w:pPr>
    </w:p>
    <w:p w14:paraId="3F7AAA09" w14:textId="77777777" w:rsidR="00CD3724" w:rsidRPr="00E2630C" w:rsidRDefault="00CD3724" w:rsidP="00990904">
      <w:pPr>
        <w:pStyle w:val="Heading2"/>
      </w:pPr>
      <w:bookmarkStart w:id="71" w:name="_Toc182386261"/>
      <w:r w:rsidRPr="00E2630C">
        <w:t>3.2 Profile of Bimbila Municipality</w:t>
      </w:r>
      <w:bookmarkEnd w:id="71"/>
      <w:r w:rsidRPr="00E2630C">
        <w:t xml:space="preserve"> </w:t>
      </w:r>
    </w:p>
    <w:p w14:paraId="5FDA0225"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Naa Mnantambo, son of Na Gbewaa, moved south from his brother Sitobu, who established the modern state of Dagomba, to found Bimbila. The Dagbani terms "Na" (King or Chief) and "Nua" (Hand) were then used to name the new state, Nanung (Majeed et al., 2023). It is believed that Na Sitobu pointed his hand south, and Na Mnatambo and his supporters followed the hand's direction. Thus, "Na Nua" the hand of the king became Nanumba. Nakpa, Bakpaba, Joanayili, Dokpam, Chamba, Gbingbalga, Darayili, and Wulensi, all Nanumba towns in northern Ghana, were among the towns founded in the early period, circa 1350. A later expansion, Salaga was </w:t>
      </w:r>
      <w:r w:rsidRPr="00E2630C">
        <w:rPr>
          <w:rFonts w:ascii="Times New Roman" w:hAnsi="Times New Roman" w:cs="Times New Roman"/>
          <w:color w:val="000000" w:themeColor="text1"/>
          <w:sz w:val="24"/>
          <w:szCs w:val="24"/>
        </w:rPr>
        <w:lastRenderedPageBreak/>
        <w:t>captured by the Gonja and developed into their commercial center. As a prelude to the historic battle of Adibo against the Dagomba army, the German colonial force assaulted and destroyed Bimbila on November 29, 1896. Bimbila is currently the district capital of the Nanumba North district (Bukari, 2016).</w:t>
      </w:r>
    </w:p>
    <w:p w14:paraId="49912E57" w14:textId="77777777" w:rsidR="00CD3724" w:rsidRPr="00E2630C" w:rsidRDefault="00CD3724" w:rsidP="00CD3724">
      <w:pPr>
        <w:spacing w:before="240" w:after="0" w:line="480" w:lineRule="auto"/>
        <w:jc w:val="both"/>
        <w:rPr>
          <w:rStyle w:val="markedcontent"/>
          <w:rFonts w:ascii="Times New Roman" w:hAnsi="Times New Roman" w:cs="Times New Roman"/>
          <w:color w:val="000000" w:themeColor="text1"/>
          <w:sz w:val="24"/>
          <w:szCs w:val="24"/>
        </w:rPr>
      </w:pPr>
      <w:r w:rsidRPr="00E2630C">
        <w:rPr>
          <w:rStyle w:val="markedcontent"/>
          <w:rFonts w:ascii="Times New Roman" w:hAnsi="Times New Roman" w:cs="Times New Roman"/>
          <w:color w:val="000000" w:themeColor="text1"/>
          <w:sz w:val="24"/>
          <w:szCs w:val="24"/>
        </w:rPr>
        <w:t>Following the division of the former Nanumba District into North and South, Nanumba North District was established as a distinct district in 2004 under LI 1754. It encompasses 1,986 square kilometers. It is situated between latitudes 8.5o N and 9.25o N and longitudes 0.57o E and 0.5o E in the eastern portion of the Northern Region. Its borders are shared by five Minuncipal/Districts: Zabzugu Districts to the north-northeast, Yendi Municipal to the north, Mion District to the northwest, East Gonja District to the west and south-west, and Nanumba South District to the east and south (Majeed et al., 2023). Bimbilla is the district capital.</w:t>
      </w:r>
    </w:p>
    <w:p w14:paraId="61ABA4D5" w14:textId="3E786B61" w:rsidR="00CD3724" w:rsidRPr="00E2630C" w:rsidRDefault="00CD3724" w:rsidP="00CD3724">
      <w:pPr>
        <w:spacing w:before="240" w:after="0" w:line="480" w:lineRule="auto"/>
        <w:jc w:val="both"/>
        <w:rPr>
          <w:rStyle w:val="markedcontent"/>
          <w:rFonts w:ascii="Times New Roman" w:hAnsi="Times New Roman" w:cs="Times New Roman"/>
          <w:color w:val="000000" w:themeColor="text1"/>
          <w:sz w:val="24"/>
          <w:szCs w:val="24"/>
        </w:rPr>
      </w:pPr>
      <w:r w:rsidRPr="00E2630C">
        <w:rPr>
          <w:rStyle w:val="markedcontent"/>
          <w:rFonts w:ascii="Times New Roman" w:hAnsi="Times New Roman" w:cs="Times New Roman"/>
          <w:color w:val="000000" w:themeColor="text1"/>
          <w:sz w:val="24"/>
          <w:szCs w:val="24"/>
        </w:rPr>
        <w:t xml:space="preserve">The District is fully inside the tropical continental climate zone, which is known for its consistently high temperatures. There is a range of 29 to 41 degrees Celsius. It can be as cold as 16°C at night and in the mornings during the Harmattan. The majority of the 1,268 mm of annual rainfall falls between the months of April and September. The District's farmers are most busy at this time. Streams overrun their banks during this time as well, resulting in a broad flood of farmlands and communities (Majeed et al., 2023). The people have experienced certain hardships as a result. For most farmers, the remainder of the year is essentially dry and fallow. This is the season of wild bushfires, which are typically started by young people to drive animals from their natural habitat. The District is drained by two large rivers (the Oti and Daka) and numerous smaller streams. The District forms the western boundary with East Gonja District and contains about 145 km of the entire length of Daka. In contrast, the Oti River meanders for </w:t>
      </w:r>
      <w:r w:rsidRPr="00E2630C">
        <w:rPr>
          <w:rStyle w:val="markedcontent"/>
          <w:rFonts w:ascii="Times New Roman" w:hAnsi="Times New Roman" w:cs="Times New Roman"/>
          <w:color w:val="000000" w:themeColor="text1"/>
          <w:sz w:val="24"/>
          <w:szCs w:val="24"/>
        </w:rPr>
        <w:lastRenderedPageBreak/>
        <w:t xml:space="preserve">approximately 85 km throughout the eastern portion of the District in a north-south direction. Other important rivers are the Kumar and Kumbo and its tributaries, which periodically break into a series of pools during the lengthy dry seasons, according to the 2010 population and housing census (Fusheini et al., 2021). These bodies of water offer the possibility of serving as transportation, irrigation, fishing, and drinking water sources. One of the Voltas' principal tributaries, the River Oti, has a lot of tourism potential.  </w:t>
      </w:r>
    </w:p>
    <w:p w14:paraId="10DF686E" w14:textId="4861CEE0" w:rsidR="00CD3724" w:rsidRPr="00E2630C" w:rsidRDefault="00CD3724" w:rsidP="00CD3724">
      <w:pPr>
        <w:spacing w:before="240" w:line="480" w:lineRule="auto"/>
        <w:jc w:val="both"/>
        <w:rPr>
          <w:rStyle w:val="markedcontent"/>
          <w:rFonts w:ascii="Times New Roman" w:hAnsi="Times New Roman" w:cs="Times New Roman"/>
          <w:color w:val="000000" w:themeColor="text1"/>
          <w:sz w:val="24"/>
          <w:szCs w:val="24"/>
        </w:rPr>
      </w:pPr>
      <w:r w:rsidRPr="00E2630C">
        <w:rPr>
          <w:rStyle w:val="markedcontent"/>
          <w:rFonts w:ascii="Times New Roman" w:hAnsi="Times New Roman" w:cs="Times New Roman"/>
          <w:color w:val="000000" w:themeColor="text1"/>
          <w:sz w:val="24"/>
          <w:szCs w:val="24"/>
        </w:rPr>
        <w:t xml:space="preserve">As </w:t>
      </w:r>
      <w:r w:rsidR="00CB24FC" w:rsidRPr="00E2630C">
        <w:rPr>
          <w:rStyle w:val="markedcontent"/>
          <w:rFonts w:ascii="Times New Roman" w:hAnsi="Times New Roman" w:cs="Times New Roman"/>
          <w:color w:val="000000" w:themeColor="text1"/>
          <w:sz w:val="24"/>
          <w:szCs w:val="24"/>
        </w:rPr>
        <w:t>in</w:t>
      </w:r>
      <w:r w:rsidRPr="00E2630C">
        <w:rPr>
          <w:rStyle w:val="markedcontent"/>
          <w:rFonts w:ascii="Times New Roman" w:hAnsi="Times New Roman" w:cs="Times New Roman"/>
          <w:color w:val="000000" w:themeColor="text1"/>
          <w:sz w:val="24"/>
          <w:szCs w:val="24"/>
        </w:rPr>
        <w:t xml:space="preserve"> the 2021 Population and Housing Census report, the district has 141,584 total population, growing at an annual rate of 2.7 percent, while the regional growth rate is 2.8 percent. There are 69,997 men (49.4%) and 71,587 women (50.6%) in the respective populations. This shows that there are 98 men for every 100 females in the population. With 66% of the inhabitants under 24 years old, the district has an extremely youthful population (Field Survey, 2022). This structure offers the district a great deal of opportunity as well as challenges because, with the right support, this young population may make a significant contribution to the district's development. The age distribution of the population similarly resembles the regional pattern, with the cohort aged 0 to 14 making up 47.6 percent of the total and the population over 65 making up 4 percent. The population between the ages of 15 and 64 that is economically active makes up 48.3% of the total population. This circumstance suggests a dependency rate higher than the population that is economically active and could have detrimental effects on the district's growth.</w:t>
      </w:r>
    </w:p>
    <w:p w14:paraId="65B610C3"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Style w:val="markedcontent"/>
          <w:rFonts w:ascii="Times New Roman" w:hAnsi="Times New Roman" w:cs="Times New Roman"/>
          <w:color w:val="000000" w:themeColor="text1"/>
          <w:sz w:val="24"/>
          <w:szCs w:val="24"/>
        </w:rPr>
        <w:t xml:space="preserve">The dependency situation in the region could even be worse considering the high incidence of unemployment and underemployment in the district. According to the 2021 Population and Housing Census, the district has a household population of </w:t>
      </w:r>
      <w:r w:rsidRPr="00E2630C">
        <w:rPr>
          <w:rStyle w:val="markedcontent"/>
          <w:rFonts w:ascii="Times New Roman" w:hAnsi="Times New Roman" w:cs="Times New Roman"/>
          <w:color w:val="000000" w:themeColor="text1"/>
          <w:sz w:val="24"/>
          <w:szCs w:val="24"/>
        </w:rPr>
        <w:lastRenderedPageBreak/>
        <w:t>139,405 belonging to 16,914 households, out of which (12.1%) heads, and this is made up of (22.0%) males and (2.5%) females. The average household size of the district, according to the 2021 Population and Housing Census is 7.5. Among the dominant ethnic groups, Nanumba households are fairly larger compared to Konkomba households.</w:t>
      </w:r>
    </w:p>
    <w:p w14:paraId="14ADE9A6" w14:textId="624F348E" w:rsidR="00CD3724" w:rsidRPr="00E2630C" w:rsidRDefault="00CD3724" w:rsidP="00CD3724">
      <w:pPr>
        <w:spacing w:line="480" w:lineRule="auto"/>
        <w:jc w:val="both"/>
        <w:rPr>
          <w:rStyle w:val="markedcontent"/>
          <w:rFonts w:ascii="Times New Roman" w:hAnsi="Times New Roman" w:cs="Times New Roman"/>
          <w:color w:val="000000" w:themeColor="text1"/>
          <w:sz w:val="24"/>
          <w:szCs w:val="24"/>
        </w:rPr>
      </w:pPr>
      <w:r w:rsidRPr="00E2630C">
        <w:rPr>
          <w:rStyle w:val="markedcontent"/>
          <w:rFonts w:ascii="Times New Roman" w:hAnsi="Times New Roman" w:cs="Times New Roman"/>
          <w:color w:val="000000" w:themeColor="text1"/>
          <w:sz w:val="24"/>
          <w:szCs w:val="24"/>
        </w:rPr>
        <w:t>The majority of people living in the Nanumba North district—roughly 71.7%—dwell in rural areas, with the remaining 28.3% residing in urban areas. There are 225 towns in the district. Only Bimbilla, with 35,250 residents according to the population and housing census conducted in 2021, meets the criteria to be considered a town. The Par</w:t>
      </w:r>
      <w:r w:rsidR="004B28DE" w:rsidRPr="00E2630C">
        <w:rPr>
          <w:rStyle w:val="markedcontent"/>
          <w:rFonts w:ascii="Times New Roman" w:hAnsi="Times New Roman" w:cs="Times New Roman"/>
          <w:color w:val="000000" w:themeColor="text1"/>
          <w:sz w:val="24"/>
          <w:szCs w:val="24"/>
        </w:rPr>
        <w:t>a</w:t>
      </w:r>
      <w:r w:rsidRPr="00E2630C">
        <w:rPr>
          <w:rStyle w:val="markedcontent"/>
          <w:rFonts w:ascii="Times New Roman" w:hAnsi="Times New Roman" w:cs="Times New Roman"/>
          <w:color w:val="000000" w:themeColor="text1"/>
          <w:sz w:val="24"/>
          <w:szCs w:val="24"/>
        </w:rPr>
        <w:t>moun</w:t>
      </w:r>
      <w:r w:rsidR="004B28DE" w:rsidRPr="00E2630C">
        <w:rPr>
          <w:rStyle w:val="markedcontent"/>
          <w:rFonts w:ascii="Times New Roman" w:hAnsi="Times New Roman" w:cs="Times New Roman"/>
          <w:color w:val="000000" w:themeColor="text1"/>
          <w:sz w:val="24"/>
          <w:szCs w:val="24"/>
        </w:rPr>
        <w:t>t</w:t>
      </w:r>
      <w:r w:rsidRPr="00E2630C">
        <w:rPr>
          <w:rStyle w:val="markedcontent"/>
          <w:rFonts w:ascii="Times New Roman" w:hAnsi="Times New Roman" w:cs="Times New Roman"/>
          <w:color w:val="000000" w:themeColor="text1"/>
          <w:sz w:val="24"/>
          <w:szCs w:val="24"/>
        </w:rPr>
        <w:t>cy of the Nanumba Traditional Council has its headquarters at Bimbilla, which is also the district capital. The majority of the population is self-employed, agribusiness owners, government employees, and nanugli speakers. Additionally, Bimbilla offers the periphery financial, marketing, education, administrative, and health services. More than 4,826 people live in Chamba, the second-largest village, which is roughly 28.8 km west of Bimbilla and speaks primarily Nanungli and Likpalkpa. Chamba provides its neighboring areas with marketing, health, and educational services. Bincheratanga, Makayil, Nakpa Gbeini, Lepusi, Bakpaba, Pusuga, Dakpam, Sabonjida, and Taali are some of the other significant communities. The dispersion of the settlements is quite dispersed. In the district, traditionalists make up 42.1% of the population, according to the 2010 Population and Housing Census. With a percentage of 35.1%, Islam is the district's second most popular religion. Of the total population, 16.8% were Christians.</w:t>
      </w:r>
    </w:p>
    <w:p w14:paraId="6EE952DA" w14:textId="77777777" w:rsidR="00CD3724" w:rsidRPr="00E2630C" w:rsidRDefault="00CD3724" w:rsidP="00CD3724">
      <w:pPr>
        <w:spacing w:after="0" w:line="480" w:lineRule="auto"/>
        <w:jc w:val="both"/>
        <w:rPr>
          <w:rFonts w:ascii="Times New Roman" w:hAnsi="Times New Roman" w:cs="Times New Roman"/>
          <w:b/>
          <w:color w:val="000000" w:themeColor="text1"/>
          <w:sz w:val="24"/>
          <w:szCs w:val="24"/>
        </w:rPr>
      </w:pPr>
      <w:r w:rsidRPr="00E2630C">
        <w:rPr>
          <w:rStyle w:val="markedcontent"/>
          <w:rFonts w:ascii="Times New Roman" w:hAnsi="Times New Roman" w:cs="Times New Roman"/>
          <w:color w:val="000000" w:themeColor="text1"/>
          <w:sz w:val="24"/>
          <w:szCs w:val="24"/>
        </w:rPr>
        <w:t xml:space="preserve">5.3% of the population did not practice any religion. The remaining religions make up 0.6%. (GSS, 2021). The district's enormous amount of fertile land, which offers a significant opportunity for agricultural investment, is its economic potential. The </w:t>
      </w:r>
      <w:r w:rsidRPr="00E2630C">
        <w:rPr>
          <w:rStyle w:val="markedcontent"/>
          <w:rFonts w:ascii="Times New Roman" w:hAnsi="Times New Roman" w:cs="Times New Roman"/>
          <w:color w:val="000000" w:themeColor="text1"/>
          <w:sz w:val="24"/>
          <w:szCs w:val="24"/>
        </w:rPr>
        <w:lastRenderedPageBreak/>
        <w:t>district's economy is agrarian since a greater percentage of the population (79.4%) works in agriculture, forestry, and fisheries. Compared to the number of female employees, men make up the majority of those working in the agriculture sector. The district's proximity to the country's eastern border, which creates a market for secondary imported goods, may be the main reason why wholesale and retail is the next largest industry (7.6%). In comparison to the previously listed industries, a respectable number of individuals are employed in manufacturing, lodging and food services, and education. Approximately 130,094 hectares, or 75%, of the District's total land area of 173,459 hectares are used for agriculture. Only 46,566 hectares, or 28%, are planted with crops, though. Despite the District being traversed by the Oti and Daka, two significant rivers, there isn't any land under irrigation at the moment. The Kaleogu is one of the District's many productive valleys. Sabonjida. For the production of commercial rice, Salnayili, Jua, and Juo are all underused. Tree crops including teak and cashew nuts are farmed, along with cereals, legumes, and tubers and roots. Every household engages in animal rearing, including the keeping of chickens (GSS, 2021).</w:t>
      </w:r>
    </w:p>
    <w:p w14:paraId="081C7554"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Bimbilla is recognized as one of the district's business hubs. Every seven days, the village holds market days where local agricultural products, including food, cattle, and poultry, as well as manufactured goods, are exchanged. Food items are purchased by traders from various regions of Ghana and loaded onto trucks headed south to be redistributed in major towns such as Accra, Tamale, and Kumasi (Majeed et al., 2023). Bimbilla traders exchange manufactured items that are imported from Tamale, Accra, and Kumasi in exchange for their services. A respectable number of people are employed in manufacturing, lodging and food services, and education.</w:t>
      </w:r>
    </w:p>
    <w:p w14:paraId="46CDBC01" w14:textId="05628541"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One-man and family-run companies, or small-scale industries, constitute the third major economic activity in Bimbilla. In addition to providing a significant source of </w:t>
      </w:r>
      <w:r w:rsidRPr="00E2630C">
        <w:rPr>
          <w:rFonts w:ascii="Times New Roman" w:hAnsi="Times New Roman" w:cs="Times New Roman"/>
          <w:color w:val="000000" w:themeColor="text1"/>
          <w:sz w:val="24"/>
          <w:szCs w:val="24"/>
        </w:rPr>
        <w:lastRenderedPageBreak/>
        <w:t>income for the individuals and their families, these small-scale industries also include the extraction of shea butter, groundnut oil, pito brewing, gari processing, charcoal burning, millet, cassava, guinea-corn, and maize for domestic use, dawadawa processing, weaving, shoe, sandal, and dressmaking, among other things. Because of these endeavo</w:t>
      </w:r>
      <w:r w:rsidR="00517F3E" w:rsidRPr="00E2630C">
        <w:rPr>
          <w:rFonts w:ascii="Times New Roman" w:hAnsi="Times New Roman" w:cs="Times New Roman"/>
          <w:color w:val="000000" w:themeColor="text1"/>
          <w:sz w:val="24"/>
          <w:szCs w:val="24"/>
        </w:rPr>
        <w:t>u</w:t>
      </w:r>
      <w:r w:rsidRPr="00E2630C">
        <w:rPr>
          <w:rFonts w:ascii="Times New Roman" w:hAnsi="Times New Roman" w:cs="Times New Roman"/>
          <w:color w:val="000000" w:themeColor="text1"/>
          <w:sz w:val="24"/>
          <w:szCs w:val="24"/>
        </w:rPr>
        <w:t>rs, Bi</w:t>
      </w:r>
      <w:r w:rsidR="00517F3E" w:rsidRPr="00E2630C">
        <w:rPr>
          <w:rFonts w:ascii="Times New Roman" w:hAnsi="Times New Roman" w:cs="Times New Roman"/>
          <w:color w:val="000000" w:themeColor="text1"/>
          <w:sz w:val="24"/>
          <w:szCs w:val="24"/>
        </w:rPr>
        <w:t>m</w:t>
      </w:r>
      <w:r w:rsidRPr="00E2630C">
        <w:rPr>
          <w:rFonts w:ascii="Times New Roman" w:hAnsi="Times New Roman" w:cs="Times New Roman"/>
          <w:color w:val="000000" w:themeColor="text1"/>
          <w:sz w:val="24"/>
          <w:szCs w:val="24"/>
        </w:rPr>
        <w:t xml:space="preserve">bila and its environs play a significant role in Ghana's economy.  But due to the catastrophic chieftaincy battles that have plagued the region for years, Bimbilla is on the danger of losing its agricultural and commercial importance (Marfo et al., 2019).  </w:t>
      </w:r>
    </w:p>
    <w:p w14:paraId="5DB25DCF" w14:textId="52257ABA"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In Bimbilla, there are two tiers of political power. The first is the Local Government Authority, which was established by the state via the several Metropolitan, Municipal, and District Assemblies (MMDAs) in accordance with PNDC Law 207 of 1988. The District Assembly (DA) is the district's highest governing and legislative body. The Development Authority (DA) drafts and proposes development plans and budgets, approves development projects, and passes bylaws. The Assembly is in charge of making decisions about growth, overseeing daily operations in the district, and delivering social services. There are 62 members in total in the Nanumba-North District Assembly: 18 government appointees, 42 elected members, a member of Parliament, and a district chief executive, of whom 5 are female (Nanumba-North District Assembly, 2015). Six councils, 42 electoral areas, and unit committees are all present. One Town Council and five Area Councils are present in the District</w:t>
      </w:r>
      <w:r w:rsidR="00517F3E"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t xml:space="preserve"> (Nanumba-North District Assembly, 2015). These are the Area Councils of Varibiegu, Darikum, Kakuhi, Kumbo, Nabanga, and Gmantambu Town. The Six Councils are all in action.</w:t>
      </w:r>
    </w:p>
    <w:p w14:paraId="1EC5BA2C" w14:textId="77777777" w:rsidR="00CD3724" w:rsidRPr="00E2630C" w:rsidRDefault="00CD3724" w:rsidP="0099090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Nanumba-North District Assembly is the District's functional local authority. It is presided over by the District Chief Executive, while the District Coordinating Director </w:t>
      </w:r>
      <w:r w:rsidRPr="00E2630C">
        <w:rPr>
          <w:rFonts w:ascii="Times New Roman" w:hAnsi="Times New Roman" w:cs="Times New Roman"/>
          <w:color w:val="000000" w:themeColor="text1"/>
          <w:sz w:val="24"/>
          <w:szCs w:val="24"/>
        </w:rPr>
        <w:lastRenderedPageBreak/>
        <w:t xml:space="preserve">serves as the Chief Technocrat, arranging the many dispersed departments' activities. The federal government and locally produced funds are the Assembly's two primary revenue sources. Grants-in-aid, surrendered revenue, and the common fund of district assembly are the three ways that the central government transfers funds. Grants-in-aid are sums of money set aside for a particular project. Ceded revenue is money that the Internal Revenue Service is supposed to collect on behalf of the district from different businesses. The parliament has mandated that districts get five percent of government funds for development purposes, which goes into the District Assemblies Common Fund. The primary sources of income created locally include trade services, rates, fees, and licenses. However, the chieftaincy dispute has forced the Nanumba-North District Assembly to prioritize development projects over its finances by using all of its funds to feed and fuel the vehicles of the security personnel stationed in the district </w:t>
      </w:r>
      <w:r w:rsidRPr="00E2630C">
        <w:rPr>
          <w:rFonts w:ascii="Times New Roman" w:eastAsia="Times New Roman" w:hAnsi="Times New Roman" w:cs="Times New Roman"/>
          <w:color w:val="000000" w:themeColor="text1"/>
          <w:sz w:val="24"/>
          <w:szCs w:val="24"/>
        </w:rPr>
        <w:t>(Anamzoya &amp; Tonah, 2012)</w:t>
      </w:r>
      <w:r w:rsidRPr="00E2630C">
        <w:rPr>
          <w:rFonts w:ascii="Times New Roman" w:hAnsi="Times New Roman" w:cs="Times New Roman"/>
          <w:color w:val="000000" w:themeColor="text1"/>
          <w:sz w:val="24"/>
          <w:szCs w:val="24"/>
        </w:rPr>
        <w:t>. As a result, the assembly is now at a complete standstill. Furthermore, since most business has ceased, the war is depriving the assembly of its internally generated funds (IGF).</w:t>
      </w:r>
    </w:p>
    <w:p w14:paraId="2283FA03"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chieftaincy institution is contained inside the Traditional Authority, which is the second level of authority. The Traditional Authority (TA) is represented by the chieftaincy institution. The paramount chief of the Bimbilla Traditional Area (BTA), who speaks for the TA, serves as the chair of the Nanumba-North Traditional Council (NNTC). Sub-chiefs and the council of elders, who serve as the Bimbilla-naa's advisors, are among the members. The TA is crucial in upholding the people's customs and culture, maintaining peace and order, allocating land for development projects, serving as the ceremonial head, and resolving disputes within the community. The native e-courts and the TA are crucial channels for local dispute resolution. Until recently, there was a friendly relationship between the growth of the community and both the </w:t>
      </w:r>
      <w:r w:rsidRPr="00E2630C">
        <w:rPr>
          <w:rFonts w:ascii="Times New Roman" w:hAnsi="Times New Roman" w:cs="Times New Roman"/>
          <w:color w:val="000000" w:themeColor="text1"/>
          <w:sz w:val="24"/>
          <w:szCs w:val="24"/>
        </w:rPr>
        <w:lastRenderedPageBreak/>
        <w:t>traditional and modern governmental institutions. Due to the chieftaincy disputes within the community, the District Chief Executive is sometimes charged with partiality, supposedly supporting one side at the expense of another. Contrarily, the traditional Authority is at the heart of the disputes and hasn't been carrying out its duties for the past ten years, eroding the chieftaincy institution's formerly inviolable foundation (Bukari, 2013).</w:t>
      </w:r>
    </w:p>
    <w:p w14:paraId="3C1AF844"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study's main subject was Bimbilla. One of Ghana's longest-running ethnic and chieftaincy disputes has taken place in this locality. The community's ongoing violence has been caused by chieftaincy disputes. Bimbilla has long been a significant hub for yam trade and cultivation, and it is currently regarded as the commercial hub for the region's yam output. Despite having rich ground for yam production, the community did not seem to have profited from it, since diseases, unemployment, poverty, and illiteracy remained important worries among its people, primarily due to chieftaincy conflicts (Marfo et al., 2019). This has put the nation's economy and security at risk. Therefore, it was thought that Bimbila would be the perfect location for a research on chieftaincy conflicts and how they affect human security.</w:t>
      </w:r>
    </w:p>
    <w:p w14:paraId="10CA4184" w14:textId="77777777" w:rsidR="00087FB0" w:rsidRPr="00E2630C" w:rsidRDefault="00087FB0" w:rsidP="00087FB0">
      <w:pPr>
        <w:pStyle w:val="NormalWeb"/>
        <w:spacing w:line="480" w:lineRule="auto"/>
        <w:jc w:val="both"/>
        <w:rPr>
          <w:color w:val="000000" w:themeColor="text1"/>
          <w:lang w:val="en-US"/>
        </w:rPr>
      </w:pPr>
      <w:r w:rsidRPr="00E2630C">
        <w:rPr>
          <w:color w:val="000000" w:themeColor="text1"/>
        </w:rPr>
        <w:t>The Bimbilla profile, which encompasses the history, culture, and social dynamics of the Bimbilla area in Ghana, is closely linked to the chieftaincy conflict in several ways.</w:t>
      </w:r>
    </w:p>
    <w:p w14:paraId="3A401429" w14:textId="77777777" w:rsidR="00087FB0" w:rsidRPr="00E2630C" w:rsidRDefault="00087FB0" w:rsidP="00087FB0">
      <w:pPr>
        <w:pStyle w:val="NormalWeb"/>
        <w:numPr>
          <w:ilvl w:val="0"/>
          <w:numId w:val="54"/>
        </w:numPr>
        <w:spacing w:line="480" w:lineRule="auto"/>
        <w:jc w:val="both"/>
        <w:rPr>
          <w:color w:val="000000" w:themeColor="text1"/>
        </w:rPr>
      </w:pPr>
      <w:r w:rsidRPr="00E2630C">
        <w:rPr>
          <w:rStyle w:val="Strong"/>
          <w:color w:val="000000" w:themeColor="text1"/>
        </w:rPr>
        <w:t>Cultural Significance</w:t>
      </w:r>
      <w:r w:rsidRPr="00E2630C">
        <w:rPr>
          <w:color w:val="000000" w:themeColor="text1"/>
        </w:rPr>
        <w:t>: The chieftaincy holds immense cultural and traditional importance in Bimbilla. The conflict often arises from disputes over rightful succession and the interpretation of traditional customs.</w:t>
      </w:r>
    </w:p>
    <w:p w14:paraId="47522D01" w14:textId="77777777" w:rsidR="00087FB0" w:rsidRPr="00E2630C" w:rsidRDefault="00087FB0" w:rsidP="00087FB0">
      <w:pPr>
        <w:pStyle w:val="NormalWeb"/>
        <w:numPr>
          <w:ilvl w:val="0"/>
          <w:numId w:val="54"/>
        </w:numPr>
        <w:spacing w:line="480" w:lineRule="auto"/>
        <w:jc w:val="both"/>
        <w:rPr>
          <w:color w:val="000000" w:themeColor="text1"/>
        </w:rPr>
      </w:pPr>
      <w:r w:rsidRPr="00E2630C">
        <w:rPr>
          <w:rStyle w:val="Strong"/>
          <w:color w:val="000000" w:themeColor="text1"/>
        </w:rPr>
        <w:t>Political Influence</w:t>
      </w:r>
      <w:r w:rsidRPr="00E2630C">
        <w:rPr>
          <w:color w:val="000000" w:themeColor="text1"/>
        </w:rPr>
        <w:t>: The chieftaincy in Bimbilla can influence local governance and politics. Disputes can lead to divisions within the community, impacting political alliances and local development.</w:t>
      </w:r>
    </w:p>
    <w:p w14:paraId="36955D79" w14:textId="77777777" w:rsidR="00087FB0" w:rsidRPr="00E2630C" w:rsidRDefault="00087FB0" w:rsidP="00087FB0">
      <w:pPr>
        <w:pStyle w:val="NormalWeb"/>
        <w:numPr>
          <w:ilvl w:val="0"/>
          <w:numId w:val="54"/>
        </w:numPr>
        <w:spacing w:line="480" w:lineRule="auto"/>
        <w:jc w:val="both"/>
        <w:rPr>
          <w:color w:val="000000" w:themeColor="text1"/>
        </w:rPr>
      </w:pPr>
      <w:r w:rsidRPr="00E2630C">
        <w:rPr>
          <w:rStyle w:val="Strong"/>
          <w:color w:val="000000" w:themeColor="text1"/>
        </w:rPr>
        <w:lastRenderedPageBreak/>
        <w:t>Historical Context</w:t>
      </w:r>
      <w:r w:rsidRPr="00E2630C">
        <w:rPr>
          <w:color w:val="000000" w:themeColor="text1"/>
        </w:rPr>
        <w:t>: The roots of the conflict can often be traced back to historical grievances and power struggles within the community. Understanding the historical context is crucial to addressing the ongoing tensions.</w:t>
      </w:r>
    </w:p>
    <w:p w14:paraId="1B2FCA32" w14:textId="77777777" w:rsidR="00087FB0" w:rsidRPr="00E2630C" w:rsidRDefault="00087FB0" w:rsidP="00087FB0">
      <w:pPr>
        <w:pStyle w:val="NormalWeb"/>
        <w:numPr>
          <w:ilvl w:val="0"/>
          <w:numId w:val="54"/>
        </w:numPr>
        <w:spacing w:line="480" w:lineRule="auto"/>
        <w:jc w:val="both"/>
        <w:rPr>
          <w:color w:val="000000" w:themeColor="text1"/>
        </w:rPr>
      </w:pPr>
      <w:r w:rsidRPr="00E2630C">
        <w:rPr>
          <w:rStyle w:val="Strong"/>
          <w:color w:val="000000" w:themeColor="text1"/>
        </w:rPr>
        <w:t>Social Dynamics</w:t>
      </w:r>
      <w:r w:rsidRPr="00E2630C">
        <w:rPr>
          <w:color w:val="000000" w:themeColor="text1"/>
        </w:rPr>
        <w:t>: The community's social structure is affected by the chieftaincy conflict, as different factions may emerge, leading to social fragmentation and unrest.</w:t>
      </w:r>
    </w:p>
    <w:p w14:paraId="136C8E79" w14:textId="77777777" w:rsidR="00087FB0" w:rsidRPr="00E2630C" w:rsidRDefault="00087FB0" w:rsidP="00087FB0">
      <w:pPr>
        <w:pStyle w:val="NormalWeb"/>
        <w:numPr>
          <w:ilvl w:val="0"/>
          <w:numId w:val="54"/>
        </w:numPr>
        <w:spacing w:line="480" w:lineRule="auto"/>
        <w:jc w:val="both"/>
        <w:rPr>
          <w:color w:val="000000" w:themeColor="text1"/>
        </w:rPr>
      </w:pPr>
      <w:r w:rsidRPr="00E2630C">
        <w:rPr>
          <w:rStyle w:val="Strong"/>
          <w:color w:val="000000" w:themeColor="text1"/>
        </w:rPr>
        <w:t>Legal and Institutional Factors</w:t>
      </w:r>
      <w:r w:rsidRPr="00E2630C">
        <w:rPr>
          <w:color w:val="000000" w:themeColor="text1"/>
        </w:rPr>
        <w:t>: The role of state institutions in resolving or exacerbating the conflict is significant. Legal battles over chieftaincy recognition and legitimacy often contribute to the ongoing strife.</w:t>
      </w:r>
    </w:p>
    <w:p w14:paraId="106D5997" w14:textId="77777777" w:rsidR="00087FB0" w:rsidRPr="00E2630C" w:rsidRDefault="00087FB0" w:rsidP="00087FB0">
      <w:pPr>
        <w:pStyle w:val="NormalWeb"/>
        <w:spacing w:line="480" w:lineRule="auto"/>
        <w:jc w:val="both"/>
        <w:rPr>
          <w:color w:val="000000" w:themeColor="text1"/>
        </w:rPr>
      </w:pPr>
      <w:r w:rsidRPr="00E2630C">
        <w:rPr>
          <w:color w:val="000000" w:themeColor="text1"/>
        </w:rPr>
        <w:t>Overall, the Bimbilla profile provides essential context for understanding the underlying issues and dynamics of the chieftaincy conflict in the region.</w:t>
      </w:r>
    </w:p>
    <w:p w14:paraId="71B324DD" w14:textId="2BD7CA01" w:rsidR="00CD3724" w:rsidRPr="00E2630C" w:rsidRDefault="00CD3724" w:rsidP="00087FB0">
      <w:pPr>
        <w:pStyle w:val="NormalWeb"/>
        <w:spacing w:line="480" w:lineRule="auto"/>
        <w:jc w:val="both"/>
        <w:rPr>
          <w:b/>
          <w:bCs/>
          <w:color w:val="000000" w:themeColor="text1"/>
        </w:rPr>
      </w:pPr>
      <w:r w:rsidRPr="00E2630C">
        <w:rPr>
          <w:b/>
          <w:bCs/>
          <w:color w:val="000000" w:themeColor="text1"/>
        </w:rPr>
        <w:t>Map depicting the study area</w:t>
      </w:r>
      <w:r w:rsidR="00087FB0" w:rsidRPr="00E2630C">
        <w:rPr>
          <w:b/>
          <w:bCs/>
          <w:color w:val="000000" w:themeColor="text1"/>
        </w:rPr>
        <w:t xml:space="preserve"> (Bimbilla)</w:t>
      </w:r>
    </w:p>
    <w:p w14:paraId="009A1C2A" w14:textId="77777777" w:rsidR="00CD3724" w:rsidRPr="00E2630C" w:rsidRDefault="00CD3724" w:rsidP="00CD3724">
      <w:pPr>
        <w:pStyle w:val="NoSpacing"/>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rPr>
        <w:drawing>
          <wp:inline distT="0" distB="0" distL="0" distR="0" wp14:anchorId="08F20136" wp14:editId="472536EE">
            <wp:extent cx="5240867" cy="2781300"/>
            <wp:effectExtent l="0" t="0" r="4445" b="0"/>
            <wp:docPr id="17933065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306584" name="Picture 1793306584"/>
                    <pic:cNvPicPr/>
                  </pic:nvPicPr>
                  <pic:blipFill>
                    <a:blip r:embed="rId10">
                      <a:extLst>
                        <a:ext uri="{28A0092B-C50C-407E-A947-70E740481C1C}">
                          <a14:useLocalDpi xmlns:a14="http://schemas.microsoft.com/office/drawing/2010/main" val="0"/>
                        </a:ext>
                      </a:extLst>
                    </a:blip>
                    <a:stretch>
                      <a:fillRect/>
                    </a:stretch>
                  </pic:blipFill>
                  <pic:spPr>
                    <a:xfrm>
                      <a:off x="0" y="0"/>
                      <a:ext cx="5251569" cy="2786980"/>
                    </a:xfrm>
                    <a:prstGeom prst="rect">
                      <a:avLst/>
                    </a:prstGeom>
                  </pic:spPr>
                </pic:pic>
              </a:graphicData>
            </a:graphic>
          </wp:inline>
        </w:drawing>
      </w:r>
    </w:p>
    <w:p w14:paraId="33371DB2" w14:textId="77777777" w:rsidR="00CD3724" w:rsidRPr="00E2630C" w:rsidRDefault="00CD3724" w:rsidP="00CD3724">
      <w:pPr>
        <w:spacing w:after="0" w:line="480" w:lineRule="auto"/>
        <w:jc w:val="both"/>
        <w:rPr>
          <w:rFonts w:ascii="Times New Roman" w:hAnsi="Times New Roman" w:cs="Times New Roman"/>
          <w:b/>
          <w:color w:val="000000" w:themeColor="text1"/>
          <w:sz w:val="24"/>
          <w:szCs w:val="24"/>
          <w:lang w:val="en-US"/>
        </w:rPr>
      </w:pPr>
      <w:r w:rsidRPr="00E2630C">
        <w:rPr>
          <w:rFonts w:ascii="Times New Roman" w:hAnsi="Times New Roman" w:cs="Times New Roman"/>
          <w:b/>
          <w:color w:val="000000" w:themeColor="text1"/>
          <w:sz w:val="24"/>
          <w:szCs w:val="24"/>
          <w:lang w:val="en-US"/>
        </w:rPr>
        <w:t>Google Map, 2024.</w:t>
      </w:r>
    </w:p>
    <w:p w14:paraId="647B1678" w14:textId="77777777" w:rsidR="00CD3724" w:rsidRPr="00E2630C" w:rsidRDefault="00CD3724" w:rsidP="00CD3724">
      <w:pPr>
        <w:spacing w:after="0" w:line="480" w:lineRule="auto"/>
        <w:jc w:val="both"/>
        <w:rPr>
          <w:rFonts w:ascii="Times New Roman" w:hAnsi="Times New Roman" w:cs="Times New Roman"/>
          <w:b/>
          <w:color w:val="000000" w:themeColor="text1"/>
          <w:sz w:val="24"/>
          <w:szCs w:val="24"/>
          <w:lang w:val="en-US"/>
        </w:rPr>
      </w:pPr>
    </w:p>
    <w:p w14:paraId="6119F902" w14:textId="1F1EA8A8" w:rsidR="00CD3724" w:rsidRPr="00E2630C" w:rsidRDefault="00CD3724" w:rsidP="00990904">
      <w:pPr>
        <w:pStyle w:val="Heading2"/>
      </w:pPr>
      <w:bookmarkStart w:id="72" w:name="_Toc182386262"/>
      <w:r w:rsidRPr="00E2630C">
        <w:lastRenderedPageBreak/>
        <w:t>3.</w:t>
      </w:r>
      <w:r w:rsidR="00DD112B">
        <w:t>3</w:t>
      </w:r>
      <w:r w:rsidRPr="00E2630C">
        <w:t xml:space="preserve"> Philosophical Underpinning of the Study</w:t>
      </w:r>
      <w:bookmarkEnd w:id="72"/>
    </w:p>
    <w:p w14:paraId="3C72AA2D" w14:textId="6922537A" w:rsidR="00CD3724" w:rsidRPr="00E2630C" w:rsidRDefault="00CD3724" w:rsidP="00CD3724">
      <w:pPr>
        <w:spacing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According to Mauthner (2020), research philosophies offer theories regarding the nature of the reality under investigation (ontology) and the production and justification of knowledge about this reality (epistemology). Philosophy includes the notion that there are various perspectives on the world and the mechanisms that exist within it. Philosophy is an academic discipline that primarily focuses on reality, knowledge, and existence. It is concerned with perspectives on how the world functions. As a result, how we each see the world and how we live our daily lives are inextricably interwoven. People's understanding of reality has an impact on how they learn about the world and behave in it. This implies that conduct</w:t>
      </w:r>
      <w:r w:rsidR="00B5154F" w:rsidRPr="00E2630C">
        <w:rPr>
          <w:rFonts w:ascii="Times New Roman" w:eastAsia="Times New Roman" w:hAnsi="Times New Roman" w:cs="Times New Roman"/>
          <w:color w:val="000000" w:themeColor="text1"/>
          <w:sz w:val="24"/>
          <w:szCs w:val="24"/>
          <w:lang w:eastAsia="en-GB"/>
        </w:rPr>
        <w:t>ing</w:t>
      </w:r>
      <w:r w:rsidRPr="00E2630C">
        <w:rPr>
          <w:rFonts w:ascii="Times New Roman" w:eastAsia="Times New Roman" w:hAnsi="Times New Roman" w:cs="Times New Roman"/>
          <w:color w:val="000000" w:themeColor="text1"/>
          <w:sz w:val="24"/>
          <w:szCs w:val="24"/>
          <w:lang w:eastAsia="en-GB"/>
        </w:rPr>
        <w:t xml:space="preserve"> research is influenced by how we understand the world and how we acquire information (Tashakkori, 2009).</w:t>
      </w:r>
    </w:p>
    <w:p w14:paraId="15F76222"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lang w:val="en-US"/>
        </w:rPr>
      </w:pPr>
      <w:r w:rsidRPr="00E2630C">
        <w:rPr>
          <w:rFonts w:ascii="Times New Roman" w:hAnsi="Times New Roman" w:cs="Times New Roman"/>
          <w:color w:val="000000" w:themeColor="text1"/>
          <w:sz w:val="24"/>
          <w:szCs w:val="24"/>
          <w:lang w:val="en-US"/>
        </w:rPr>
        <w:t xml:space="preserve">The philosophical tradition is thought to be highly significant since it affects how research is conducted </w:t>
      </w:r>
      <w:r w:rsidRPr="00E2630C">
        <w:rPr>
          <w:rFonts w:ascii="Times New Roman" w:eastAsia="Times New Roman" w:hAnsi="Times New Roman" w:cs="Times New Roman"/>
          <w:color w:val="000000" w:themeColor="text1"/>
          <w:sz w:val="24"/>
          <w:szCs w:val="24"/>
        </w:rPr>
        <w:t>(Creswell &amp; Clark, 2011)</w:t>
      </w:r>
      <w:r w:rsidRPr="00E2630C">
        <w:rPr>
          <w:rFonts w:ascii="Times New Roman" w:hAnsi="Times New Roman" w:cs="Times New Roman"/>
          <w:color w:val="000000" w:themeColor="text1"/>
          <w:sz w:val="24"/>
          <w:szCs w:val="24"/>
          <w:lang w:val="en-US"/>
        </w:rPr>
        <w:t xml:space="preserve">. According to </w:t>
      </w:r>
      <w:r w:rsidRPr="00E2630C">
        <w:rPr>
          <w:rFonts w:ascii="Times New Roman" w:eastAsia="Times New Roman" w:hAnsi="Times New Roman" w:cs="Times New Roman"/>
          <w:color w:val="000000" w:themeColor="text1"/>
          <w:sz w:val="24"/>
          <w:szCs w:val="24"/>
        </w:rPr>
        <w:t>Creswell and Clark (2011)</w:t>
      </w:r>
      <w:r w:rsidRPr="00E2630C">
        <w:rPr>
          <w:rFonts w:ascii="Times New Roman" w:hAnsi="Times New Roman" w:cs="Times New Roman"/>
          <w:color w:val="000000" w:themeColor="text1"/>
          <w:sz w:val="24"/>
          <w:szCs w:val="24"/>
          <w:lang w:val="en-US"/>
        </w:rPr>
        <w:t>, the different philosophical traditions such as positivist, interpretive, and advocacy (critical thinking) have different core assumptions, perspectives on the nature of knowledge, the purpose of the research, the role of the researcher (a matter of value), and what constitutes knowledge and objectivity. According to Maarouf, (2019), the positivist tradition, for example, holds that knowledge can only be acquired through the senses (empiricism). Accordingly, empiricists reject the use of any kind of mysticism or intuitive knowledge as a source for scientific information. This argument is rooted in the pragmatic tradition, which maintains that belief, knowledge, and scientific notions are only tentatively true and are determined by their practical application in continuing experience rather than by correspondence with reality or prior truth.</w:t>
      </w:r>
    </w:p>
    <w:p w14:paraId="4E7C6766" w14:textId="77777777" w:rsidR="00CD3724" w:rsidRPr="00E2630C" w:rsidRDefault="0083356E" w:rsidP="00CD3724">
      <w:pPr>
        <w:spacing w:line="480" w:lineRule="auto"/>
        <w:jc w:val="both"/>
        <w:rPr>
          <w:rFonts w:ascii="Times New Roman" w:hAnsi="Times New Roman" w:cs="Times New Roman"/>
          <w:color w:val="000000" w:themeColor="text1"/>
          <w:sz w:val="24"/>
          <w:szCs w:val="24"/>
          <w:lang w:val="en-US"/>
        </w:rPr>
      </w:pPr>
      <w:r w:rsidRPr="00E2630C">
        <w:rPr>
          <w:rFonts w:ascii="Times New Roman" w:hAnsi="Times New Roman" w:cs="Times New Roman"/>
          <w:color w:val="000000" w:themeColor="text1"/>
          <w:sz w:val="24"/>
          <w:szCs w:val="24"/>
        </w:rPr>
        <w:t>Gregory (</w:t>
      </w:r>
      <w:r w:rsidR="00CD3724" w:rsidRPr="00E2630C">
        <w:rPr>
          <w:rFonts w:ascii="Times New Roman" w:hAnsi="Times New Roman" w:cs="Times New Roman"/>
          <w:color w:val="000000" w:themeColor="text1"/>
          <w:sz w:val="24"/>
          <w:szCs w:val="24"/>
        </w:rPr>
        <w:t>2019</w:t>
      </w:r>
      <w:r w:rsidRPr="00E2630C">
        <w:rPr>
          <w:rFonts w:ascii="Times New Roman" w:hAnsi="Times New Roman" w:cs="Times New Roman"/>
          <w:color w:val="000000" w:themeColor="text1"/>
          <w:sz w:val="24"/>
          <w:szCs w:val="24"/>
        </w:rPr>
        <w:t>)</w:t>
      </w:r>
      <w:r w:rsidR="00CD3724" w:rsidRPr="00E2630C">
        <w:rPr>
          <w:rFonts w:ascii="Times New Roman" w:hAnsi="Times New Roman" w:cs="Times New Roman"/>
          <w:color w:val="000000" w:themeColor="text1"/>
          <w:sz w:val="24"/>
          <w:szCs w:val="24"/>
        </w:rPr>
        <w:t xml:space="preserve"> argues that a comprehensive, practical, and in-depth understanding from various philosophical perspectives using both quantifiable and non-numerical </w:t>
      </w:r>
      <w:r w:rsidR="00CD3724" w:rsidRPr="00E2630C">
        <w:rPr>
          <w:rFonts w:ascii="Times New Roman" w:hAnsi="Times New Roman" w:cs="Times New Roman"/>
          <w:color w:val="000000" w:themeColor="text1"/>
          <w:sz w:val="24"/>
          <w:szCs w:val="24"/>
        </w:rPr>
        <w:lastRenderedPageBreak/>
        <w:t>information is necessary to unravel the reality of the chieftaincy conflicts in Bimbilla and their implications for human security. This statement also suggested that pragmatism be chosen in favour of practicality and a deeper understanding of the research problem's actuality. Research philosophy grounded in pragmatism recognizes notions as relevant only when they facilitate action. Pragmatists understand that there are numerous approaches to conducting research and interpreting the world; that no one viewpoint can ever provide the whole picture; and that there might be more than one reality (Maarouf, 2019). This illustrates how powerful this worldview is.</w:t>
      </w:r>
    </w:p>
    <w:p w14:paraId="1597A4F9" w14:textId="77777777" w:rsidR="00CD3724" w:rsidRPr="00E2630C" w:rsidRDefault="00CD3724" w:rsidP="00CD3724">
      <w:pPr>
        <w:pStyle w:val="NormalWeb"/>
        <w:spacing w:line="480" w:lineRule="auto"/>
        <w:jc w:val="both"/>
        <w:rPr>
          <w:color w:val="000000" w:themeColor="text1"/>
        </w:rPr>
      </w:pPr>
      <w:r w:rsidRPr="00E2630C">
        <w:rPr>
          <w:color w:val="000000" w:themeColor="text1"/>
          <w:lang w:val="en-US"/>
        </w:rPr>
        <w:t>The research question is the primary factor that determines the research philosophy, according to pragmatic research philosophy. Depending on the nature of the research subject, pragmatics can incorporate both positivist and interpretivism viewpoints within the parameters of a single study. The pragmatic view holds that experience and truth are connected. It is believed that truth is essential to the continuing experience. Therefore, scholarly conjecture and theory-building need to be grounded in current experience as well as possess the potential to influence people's lives in the future. Justification-related queries concern the future. Amidst this context, Rorty has contended that pragmatism is distinctive in that it replaces concepts of reality, reason, and nature with the idea of a better human future (Carlsen et al., 2014).</w:t>
      </w:r>
    </w:p>
    <w:p w14:paraId="75A0B407" w14:textId="77777777" w:rsidR="00CD3724" w:rsidRPr="00E2630C" w:rsidRDefault="00CD3724" w:rsidP="00CD3724">
      <w:pPr>
        <w:pStyle w:val="NormalWeb"/>
        <w:spacing w:line="480" w:lineRule="auto"/>
        <w:jc w:val="both"/>
        <w:rPr>
          <w:color w:val="000000" w:themeColor="text1"/>
          <w:lang w:val="en-US"/>
        </w:rPr>
      </w:pPr>
      <w:r w:rsidRPr="00E2630C">
        <w:rPr>
          <w:color w:val="000000" w:themeColor="text1"/>
          <w:lang w:val="en-US"/>
        </w:rPr>
        <w:t xml:space="preserve">Pragmatism is better described as a philosophical method for doing, rather than a Philosophical theory per se. It is not simply a collection of viewpoints about a specific concept, such as ‘truth’, ‘identity’, or ‘reality’. Pragmatism, in its narrow sense, is a way of interpreting ideas to demonstrate that meaning has no meaning without application. Because of this, all concepts are contextual by nature and have varying meanings for many individuals in various contexts. The capacity of knowledge to </w:t>
      </w:r>
      <w:r w:rsidRPr="00E2630C">
        <w:rPr>
          <w:color w:val="000000" w:themeColor="text1"/>
          <w:lang w:val="en-US"/>
        </w:rPr>
        <w:lastRenderedPageBreak/>
        <w:t>address a real-world issue determines its significance (Carlsen et al., 2014). Pragmatism is a way of discovering contextual truth on a larger scale. Since our knowledge and views about scientific concepts which form the basis of humans' worldview are only real to the extent that they have practical implications, pragmatists view truth as inherently contextual. Truth is a work in progress, the outcome of continuous practical investigation in the form of using practical knowledge in many contexts. Many action researchers would concur that finding the truth is the ultimate purpose and outcome of their investigation. The methodical, iterative process of addressing a specific issue is called inquiry. Consensus regarding means and aims must be reached throughout the process, leading to the coordination of knowledge, activity, and thought (Carlsen et al., 2014).</w:t>
      </w:r>
    </w:p>
    <w:p w14:paraId="31276D00"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lang w:val="en-US"/>
        </w:rPr>
      </w:pPr>
      <w:r w:rsidRPr="00E2630C">
        <w:rPr>
          <w:rFonts w:ascii="Times New Roman" w:hAnsi="Times New Roman" w:cs="Times New Roman"/>
          <w:color w:val="000000" w:themeColor="text1"/>
          <w:sz w:val="24"/>
          <w:szCs w:val="24"/>
          <w:lang w:val="en-US"/>
        </w:rPr>
        <w:t xml:space="preserve">Based on the practicality of such a philosophical lens as inferred from the previous debates, this thesis was based on the pragmatic philosophy. </w:t>
      </w:r>
      <w:r w:rsidR="0083356E" w:rsidRPr="00E2630C">
        <w:rPr>
          <w:rFonts w:ascii="Times New Roman" w:hAnsi="Times New Roman" w:cs="Times New Roman"/>
          <w:color w:val="000000" w:themeColor="text1"/>
          <w:sz w:val="24"/>
          <w:szCs w:val="24"/>
          <w:lang w:val="en-US"/>
        </w:rPr>
        <w:t xml:space="preserve">This enabled the researcher to </w:t>
      </w:r>
      <w:r w:rsidRPr="00E2630C">
        <w:rPr>
          <w:rFonts w:ascii="Times New Roman" w:hAnsi="Times New Roman" w:cs="Times New Roman"/>
          <w:color w:val="000000" w:themeColor="text1"/>
          <w:sz w:val="24"/>
          <w:szCs w:val="24"/>
          <w:lang w:val="en-US"/>
        </w:rPr>
        <w:t>look more broadly at the study problem</w:t>
      </w:r>
      <w:r w:rsidR="0083356E" w:rsidRPr="00E2630C">
        <w:rPr>
          <w:rFonts w:ascii="Times New Roman" w:hAnsi="Times New Roman" w:cs="Times New Roman"/>
          <w:color w:val="000000" w:themeColor="text1"/>
          <w:sz w:val="24"/>
          <w:szCs w:val="24"/>
          <w:lang w:val="en-US"/>
        </w:rPr>
        <w:t xml:space="preserve"> from both positivistic and interpretative point of views</w:t>
      </w:r>
      <w:r w:rsidRPr="00E2630C">
        <w:rPr>
          <w:rFonts w:ascii="Times New Roman" w:hAnsi="Times New Roman" w:cs="Times New Roman"/>
          <w:color w:val="000000" w:themeColor="text1"/>
          <w:sz w:val="24"/>
          <w:szCs w:val="24"/>
          <w:lang w:val="en-US"/>
        </w:rPr>
        <w:t>.</w:t>
      </w:r>
    </w:p>
    <w:p w14:paraId="508D6799" w14:textId="77777777" w:rsidR="00CD3724" w:rsidRPr="00E2630C" w:rsidRDefault="00CD3724" w:rsidP="00990904">
      <w:pPr>
        <w:pStyle w:val="NoSpacing"/>
      </w:pPr>
    </w:p>
    <w:p w14:paraId="5BCC472D" w14:textId="01114B55" w:rsidR="00CD3724" w:rsidRPr="00E2630C" w:rsidRDefault="00CD3724" w:rsidP="00990904">
      <w:pPr>
        <w:pStyle w:val="Heading2"/>
      </w:pPr>
      <w:bookmarkStart w:id="73" w:name="_Toc182386263"/>
      <w:r w:rsidRPr="00E2630C">
        <w:t>3.</w:t>
      </w:r>
      <w:r w:rsidR="00DD112B">
        <w:t>4</w:t>
      </w:r>
      <w:r w:rsidRPr="00E2630C">
        <w:t xml:space="preserve"> Research Design</w:t>
      </w:r>
      <w:bookmarkEnd w:id="73"/>
    </w:p>
    <w:p w14:paraId="46D36715"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 framework for selecting and producing evidence to address the study issues that the investigator is interested in is known as research design. It has to do with the standards used to assess social science research (Clark et al., 2021). This study used a convergent parallel design informed by a mixed-method approach to gain a thorough understanding of the impact of the Bimbilla chieftaincy conflict on food security, economic security, health security, community security, and environmental security in the municipality. A blend of qualitative and quantitative methodologies can be used to represent the research process </w:t>
      </w:r>
      <w:r w:rsidRPr="00E2630C">
        <w:rPr>
          <w:rFonts w:ascii="Times New Roman" w:eastAsia="Times New Roman" w:hAnsi="Times New Roman" w:cs="Times New Roman"/>
          <w:color w:val="000000" w:themeColor="text1"/>
          <w:sz w:val="24"/>
          <w:szCs w:val="24"/>
        </w:rPr>
        <w:t>(Yardley &amp; Bishop, 2017)</w:t>
      </w:r>
      <w:r w:rsidRPr="00E2630C">
        <w:rPr>
          <w:rFonts w:ascii="Times New Roman" w:hAnsi="Times New Roman" w:cs="Times New Roman"/>
          <w:color w:val="000000" w:themeColor="text1"/>
          <w:sz w:val="24"/>
          <w:szCs w:val="24"/>
        </w:rPr>
        <w:t xml:space="preserve">. According to </w:t>
      </w:r>
      <w:r w:rsidRPr="00E2630C">
        <w:rPr>
          <w:rFonts w:ascii="Times New Roman" w:eastAsia="Times New Roman" w:hAnsi="Times New Roman" w:cs="Times New Roman"/>
          <w:color w:val="000000" w:themeColor="text1"/>
          <w:sz w:val="24"/>
          <w:szCs w:val="24"/>
        </w:rPr>
        <w:t>Matović and Ovesni (2023)</w:t>
      </w:r>
      <w:r w:rsidRPr="00E2630C">
        <w:rPr>
          <w:rFonts w:ascii="Times New Roman" w:hAnsi="Times New Roman" w:cs="Times New Roman"/>
          <w:color w:val="000000" w:themeColor="text1"/>
          <w:sz w:val="24"/>
          <w:szCs w:val="24"/>
        </w:rPr>
        <w:t xml:space="preserve">, a convergent parallel design comprises the researcher conducting both the quantitative </w:t>
      </w:r>
      <w:r w:rsidRPr="00E2630C">
        <w:rPr>
          <w:rFonts w:ascii="Times New Roman" w:hAnsi="Times New Roman" w:cs="Times New Roman"/>
          <w:color w:val="000000" w:themeColor="text1"/>
          <w:sz w:val="24"/>
          <w:szCs w:val="24"/>
        </w:rPr>
        <w:lastRenderedPageBreak/>
        <w:t xml:space="preserve">and qualitative elements concurrently in the same phase of the research process, weighing the methods equally, analyzing the two components independently, and interpreting the results jointly. The </w:t>
      </w:r>
      <w:r w:rsidR="0083356E" w:rsidRPr="00E2630C">
        <w:rPr>
          <w:rFonts w:ascii="Times New Roman" w:hAnsi="Times New Roman" w:cs="Times New Roman"/>
          <w:color w:val="000000" w:themeColor="text1"/>
          <w:sz w:val="24"/>
          <w:szCs w:val="24"/>
        </w:rPr>
        <w:t xml:space="preserve">design enabled the </w:t>
      </w:r>
      <w:r w:rsidRPr="00E2630C">
        <w:rPr>
          <w:rFonts w:ascii="Times New Roman" w:hAnsi="Times New Roman" w:cs="Times New Roman"/>
          <w:color w:val="000000" w:themeColor="text1"/>
          <w:sz w:val="24"/>
          <w:szCs w:val="24"/>
        </w:rPr>
        <w:t xml:space="preserve">researcher </w:t>
      </w:r>
      <w:r w:rsidR="0083356E" w:rsidRPr="00E2630C">
        <w:rPr>
          <w:rFonts w:ascii="Times New Roman" w:hAnsi="Times New Roman" w:cs="Times New Roman"/>
          <w:color w:val="000000" w:themeColor="text1"/>
          <w:sz w:val="24"/>
          <w:szCs w:val="24"/>
        </w:rPr>
        <w:t>to triangulate</w:t>
      </w:r>
      <w:r w:rsidRPr="00E2630C">
        <w:rPr>
          <w:rFonts w:ascii="Times New Roman" w:hAnsi="Times New Roman" w:cs="Times New Roman"/>
          <w:color w:val="000000" w:themeColor="text1"/>
          <w:sz w:val="24"/>
          <w:szCs w:val="24"/>
        </w:rPr>
        <w:t xml:space="preserve"> the approaches by directly comparing the quantitative statistical data and the qualitative findings in order to validate and corroborate them.</w:t>
      </w:r>
    </w:p>
    <w:p w14:paraId="6C12406B" w14:textId="660DAFB7" w:rsidR="00CD3724" w:rsidRPr="00E2630C" w:rsidRDefault="00CD3724" w:rsidP="00990904">
      <w:pPr>
        <w:pStyle w:val="NoSpacing"/>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 blend of qualitative and quantitative methodologies can be used to represent the research process </w:t>
      </w:r>
      <w:r w:rsidRPr="00E2630C">
        <w:rPr>
          <w:rFonts w:ascii="Times New Roman" w:eastAsia="Times New Roman" w:hAnsi="Times New Roman" w:cs="Times New Roman"/>
          <w:color w:val="000000" w:themeColor="text1"/>
          <w:sz w:val="24"/>
          <w:szCs w:val="24"/>
        </w:rPr>
        <w:t>(Yardley &amp; Bishop, 2017)</w:t>
      </w:r>
      <w:r w:rsidRPr="00E2630C">
        <w:rPr>
          <w:rFonts w:ascii="Times New Roman" w:hAnsi="Times New Roman" w:cs="Times New Roman"/>
          <w:color w:val="000000" w:themeColor="text1"/>
          <w:sz w:val="24"/>
          <w:szCs w:val="24"/>
        </w:rPr>
        <w:t xml:space="preserve">. According to Gilad (2021), a convergent parallel design </w:t>
      </w:r>
      <w:r w:rsidR="0083356E" w:rsidRPr="00E2630C">
        <w:rPr>
          <w:rFonts w:ascii="Times New Roman" w:hAnsi="Times New Roman" w:cs="Times New Roman"/>
          <w:color w:val="000000" w:themeColor="text1"/>
          <w:sz w:val="24"/>
          <w:szCs w:val="24"/>
        </w:rPr>
        <w:t xml:space="preserve">enables a researcher to focus on </w:t>
      </w:r>
      <w:r w:rsidRPr="00E2630C">
        <w:rPr>
          <w:rFonts w:ascii="Times New Roman" w:hAnsi="Times New Roman" w:cs="Times New Roman"/>
          <w:color w:val="000000" w:themeColor="text1"/>
          <w:sz w:val="24"/>
          <w:szCs w:val="24"/>
        </w:rPr>
        <w:t>both the quantitative and qualitative elements concurrently in the same phase of the research process, weighing the methods equally, analyzing the two components independently, and interpreting the results jointly. This convergent parallel mixed-methods study's primary goal was to ascertain the impact of the Bimbilla ch</w:t>
      </w:r>
      <w:r w:rsidR="0083356E" w:rsidRPr="00E2630C">
        <w:rPr>
          <w:rFonts w:ascii="Times New Roman" w:hAnsi="Times New Roman" w:cs="Times New Roman"/>
          <w:color w:val="000000" w:themeColor="text1"/>
          <w:sz w:val="24"/>
          <w:szCs w:val="24"/>
        </w:rPr>
        <w:t>ieftaincy war on human security from a broader lens.</w:t>
      </w:r>
    </w:p>
    <w:p w14:paraId="750CA4E5" w14:textId="77777777" w:rsidR="008107E3" w:rsidRPr="00990904" w:rsidRDefault="008107E3" w:rsidP="00990904">
      <w:pPr>
        <w:pStyle w:val="NoSpacing"/>
      </w:pPr>
    </w:p>
    <w:p w14:paraId="133E32F9" w14:textId="4A248525" w:rsidR="00CD3724" w:rsidRPr="00E2630C" w:rsidRDefault="00CD3724" w:rsidP="00990904">
      <w:pPr>
        <w:pStyle w:val="Heading2"/>
      </w:pPr>
      <w:bookmarkStart w:id="74" w:name="_Toc182386264"/>
      <w:r w:rsidRPr="00E2630C">
        <w:t>3.</w:t>
      </w:r>
      <w:r w:rsidR="00DD112B">
        <w:t>5</w:t>
      </w:r>
      <w:r w:rsidRPr="00E2630C">
        <w:t xml:space="preserve"> </w:t>
      </w:r>
      <w:r w:rsidR="008107E3" w:rsidRPr="00E2630C">
        <w:t>Targeted Sample</w:t>
      </w:r>
      <w:r w:rsidRPr="00E2630C">
        <w:t xml:space="preserve"> Population</w:t>
      </w:r>
      <w:bookmarkEnd w:id="74"/>
    </w:p>
    <w:p w14:paraId="543635B9"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Violent conflicts affect broad spectrum of people. However, in agrarian communities, people who engage in farming and livestock rearing, are the worse affected (Marfo et al., 2019). Given this frame of understanding, this thesis has a wider target population. Asiamah, </w:t>
      </w:r>
      <w:bookmarkStart w:id="75" w:name="_Hlk156909787"/>
      <w:r w:rsidRPr="00E2630C">
        <w:rPr>
          <w:rFonts w:ascii="Times New Roman" w:hAnsi="Times New Roman" w:cs="Times New Roman"/>
          <w:color w:val="000000" w:themeColor="text1"/>
          <w:sz w:val="24"/>
          <w:szCs w:val="24"/>
        </w:rPr>
        <w:t xml:space="preserve">Mensah and Oteng-Abayie (2017) construed the target population as a small polished, distinct and suitable individuals or group within the lager population. </w:t>
      </w:r>
      <w:bookmarkEnd w:id="75"/>
      <w:r w:rsidRPr="00E2630C">
        <w:rPr>
          <w:rFonts w:ascii="Times New Roman" w:hAnsi="Times New Roman" w:cs="Times New Roman"/>
          <w:color w:val="000000" w:themeColor="text1"/>
          <w:sz w:val="24"/>
          <w:szCs w:val="24"/>
        </w:rPr>
        <w:t>In line with this thinking, this research targeted;</w:t>
      </w:r>
      <w:r w:rsidRPr="00E2630C">
        <w:rPr>
          <w:rFonts w:ascii="Times New Roman" w:hAnsi="Times New Roman" w:cs="Times New Roman"/>
          <w:b/>
          <w:color w:val="000000" w:themeColor="text1"/>
          <w:sz w:val="24"/>
          <w:szCs w:val="24"/>
        </w:rPr>
        <w:t xml:space="preserve"> </w:t>
      </w:r>
      <w:r w:rsidRPr="00E2630C">
        <w:rPr>
          <w:rFonts w:ascii="Times New Roman" w:hAnsi="Times New Roman" w:cs="Times New Roman"/>
          <w:color w:val="000000" w:themeColor="text1"/>
          <w:sz w:val="24"/>
          <w:szCs w:val="24"/>
          <w:lang w:val="en-US"/>
        </w:rPr>
        <w:t>chiefs, opinion leaders, youth groups, health officials, butchers, security agents, representatives of the regional house of the chief, youth groups, Ministry of Food and Agriculture, Gbugma Yili and Bang Yili gate and farmer-based associations and livestock farming association. These categories were useful given the objectives of the thesis.</w:t>
      </w:r>
    </w:p>
    <w:p w14:paraId="3EB7EE0C"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p>
    <w:p w14:paraId="31341528" w14:textId="3D41BA45" w:rsidR="00CD3724" w:rsidRPr="00E2630C" w:rsidRDefault="00CD3724" w:rsidP="00990904">
      <w:pPr>
        <w:pStyle w:val="Heading2"/>
      </w:pPr>
      <w:bookmarkStart w:id="76" w:name="_Toc182386265"/>
      <w:r w:rsidRPr="00E2630C">
        <w:lastRenderedPageBreak/>
        <w:t>3.</w:t>
      </w:r>
      <w:r w:rsidR="00DD112B">
        <w:t>6</w:t>
      </w:r>
      <w:r w:rsidRPr="00E2630C">
        <w:t xml:space="preserve"> Sample and Sampling Techniques</w:t>
      </w:r>
      <w:bookmarkEnd w:id="76"/>
    </w:p>
    <w:p w14:paraId="361C6E5B" w14:textId="77777777" w:rsidR="00CD3724" w:rsidRPr="00E2630C" w:rsidRDefault="0083356E"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According to Creswell and Clark (2011)</w:t>
      </w:r>
      <w:r w:rsidR="00576968" w:rsidRPr="00E2630C">
        <w:rPr>
          <w:rFonts w:ascii="Times New Roman" w:hAnsi="Times New Roman" w:cs="Times New Roman"/>
          <w:color w:val="000000" w:themeColor="text1"/>
          <w:sz w:val="24"/>
          <w:szCs w:val="24"/>
        </w:rPr>
        <w:t>,</w:t>
      </w:r>
      <w:r w:rsidRPr="00E2630C">
        <w:rPr>
          <w:rFonts w:ascii="Times New Roman" w:hAnsi="Times New Roman" w:cs="Times New Roman"/>
          <w:color w:val="000000" w:themeColor="text1"/>
          <w:sz w:val="24"/>
          <w:szCs w:val="24"/>
        </w:rPr>
        <w:t xml:space="preserve"> sampling is the process of selecting a sample</w:t>
      </w:r>
      <w:r w:rsidR="00576968" w:rsidRPr="00E2630C">
        <w:rPr>
          <w:rFonts w:ascii="Times New Roman" w:hAnsi="Times New Roman" w:cs="Times New Roman"/>
          <w:color w:val="000000" w:themeColor="text1"/>
          <w:sz w:val="24"/>
          <w:szCs w:val="24"/>
        </w:rPr>
        <w:t xml:space="preserve"> – a well-defined units for a study Hair et al. (2006) wrote that </w:t>
      </w:r>
      <w:r w:rsidR="00CD3724" w:rsidRPr="00E2630C">
        <w:rPr>
          <w:rFonts w:ascii="Times New Roman" w:hAnsi="Times New Roman" w:cs="Times New Roman"/>
          <w:color w:val="000000" w:themeColor="text1"/>
          <w:sz w:val="24"/>
          <w:szCs w:val="24"/>
        </w:rPr>
        <w:t xml:space="preserve">appropriate sample size depends on the type of problem studied, time, and resources available to collect the data. The study took into consideration the issue of gender in the selection of respondents. As noted by Marfo et al. (2019), social conflict impacts both males and females even though males tend to dominate the chieftaincy and its attendance conflicts. In view of this and in connection with the objectives of the study, a gender-sensitive sample was drawn across various interested groups. </w:t>
      </w:r>
    </w:p>
    <w:p w14:paraId="7BC27631" w14:textId="39A2444D"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Apart from respondents from the </w:t>
      </w:r>
      <w:r w:rsidR="00990904" w:rsidRPr="00E2630C">
        <w:rPr>
          <w:rFonts w:ascii="Times New Roman" w:hAnsi="Times New Roman" w:cs="Times New Roman"/>
          <w:color w:val="000000" w:themeColor="text1"/>
          <w:sz w:val="24"/>
          <w:szCs w:val="24"/>
        </w:rPr>
        <w:t>farmer-based</w:t>
      </w:r>
      <w:r w:rsidRPr="00E2630C">
        <w:rPr>
          <w:rFonts w:ascii="Times New Roman" w:hAnsi="Times New Roman" w:cs="Times New Roman"/>
          <w:color w:val="000000" w:themeColor="text1"/>
          <w:sz w:val="24"/>
          <w:szCs w:val="24"/>
        </w:rPr>
        <w:t xml:space="preserve"> associations and livestock association all other respondents were purposely selected. When conducting a purposive sample, the researcher determines what information is required and then searches for participants who are able and willing to share their expertise or experience (Bernard, 2002). One of the oldest chieftaincy disputes in the northern area is the Bimbilla chieftaincy conflict. Gregory (2019) suggests that in order to understand the conflict and its implications for the human security dimension, one needs to speak with people who have a lot of understanding. The study purposely selected 39 KIs whose selection was informed by the principle of saturation, a generally suggested gauge for determining an adequate sample size using purposive sampling techniques (Merriam, 2009). This is commonly interpreted as reaching a redundancy point of information where new information generated added no new insight to the study. The rationale for using this sampling technique apart from the above was to merit triangulation of the approaches and also because of its appropriateness to the study.</w:t>
      </w:r>
    </w:p>
    <w:p w14:paraId="6E3D2D89" w14:textId="77777777" w:rsidR="00CD3724" w:rsidRPr="00E2630C" w:rsidRDefault="00CD3724" w:rsidP="00CD3724">
      <w:pPr>
        <w:pStyle w:val="NoSpacing"/>
        <w:rPr>
          <w:rFonts w:ascii="Times New Roman" w:hAnsi="Times New Roman" w:cs="Times New Roman"/>
          <w:color w:val="000000" w:themeColor="text1"/>
          <w:sz w:val="24"/>
          <w:szCs w:val="24"/>
        </w:rPr>
      </w:pPr>
    </w:p>
    <w:p w14:paraId="3C08C4CD" w14:textId="77777777" w:rsidR="00CD3724" w:rsidRPr="00E2630C" w:rsidRDefault="00CD3724" w:rsidP="00990904">
      <w:pPr>
        <w:pStyle w:val="Heading6"/>
      </w:pPr>
      <w:bookmarkStart w:id="77" w:name="_Toc182386317"/>
      <w:r w:rsidRPr="00E2630C">
        <w:lastRenderedPageBreak/>
        <w:t xml:space="preserve">Table 3.1 </w:t>
      </w:r>
      <w:r w:rsidRPr="00990904">
        <w:t>Summary</w:t>
      </w:r>
      <w:r w:rsidRPr="00E2630C">
        <w:t xml:space="preserve"> of Respondents selected purposely</w:t>
      </w:r>
      <w:bookmarkEnd w:id="77"/>
    </w:p>
    <w:tbl>
      <w:tblPr>
        <w:tblStyle w:val="TableGrid"/>
        <w:tblW w:w="0" w:type="auto"/>
        <w:tblLook w:val="04A0" w:firstRow="1" w:lastRow="0" w:firstColumn="1" w:lastColumn="0" w:noHBand="0" w:noVBand="1"/>
      </w:tblPr>
      <w:tblGrid>
        <w:gridCol w:w="4808"/>
        <w:gridCol w:w="1170"/>
        <w:gridCol w:w="1100"/>
        <w:gridCol w:w="1228"/>
      </w:tblGrid>
      <w:tr w:rsidR="002D25B6" w:rsidRPr="00E2630C" w14:paraId="4977AA12" w14:textId="77777777" w:rsidTr="003315F5">
        <w:tc>
          <w:tcPr>
            <w:tcW w:w="5334" w:type="dxa"/>
            <w:tcBorders>
              <w:left w:val="nil"/>
              <w:bottom w:val="single" w:sz="4" w:space="0" w:color="auto"/>
              <w:right w:val="nil"/>
            </w:tcBorders>
          </w:tcPr>
          <w:p w14:paraId="3772B2D5" w14:textId="77777777" w:rsidR="00CD3724" w:rsidRPr="00E2630C" w:rsidRDefault="00CD3724" w:rsidP="003315F5">
            <w:pPr>
              <w:spacing w:line="360" w:lineRule="auto"/>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Identity </w:t>
            </w:r>
          </w:p>
        </w:tc>
        <w:tc>
          <w:tcPr>
            <w:tcW w:w="1251" w:type="dxa"/>
            <w:tcBorders>
              <w:left w:val="nil"/>
              <w:bottom w:val="single" w:sz="4" w:space="0" w:color="auto"/>
              <w:right w:val="nil"/>
            </w:tcBorders>
          </w:tcPr>
          <w:p w14:paraId="46435E5C" w14:textId="77777777" w:rsidR="00CD3724" w:rsidRPr="00E2630C" w:rsidRDefault="00CD3724" w:rsidP="003315F5">
            <w:pPr>
              <w:spacing w:line="360" w:lineRule="auto"/>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Male </w:t>
            </w:r>
          </w:p>
        </w:tc>
        <w:tc>
          <w:tcPr>
            <w:tcW w:w="1126" w:type="dxa"/>
            <w:tcBorders>
              <w:left w:val="nil"/>
              <w:bottom w:val="single" w:sz="4" w:space="0" w:color="auto"/>
              <w:right w:val="nil"/>
            </w:tcBorders>
          </w:tcPr>
          <w:p w14:paraId="2187C61E" w14:textId="77777777" w:rsidR="00CD3724" w:rsidRPr="00E2630C" w:rsidRDefault="00CD3724" w:rsidP="003315F5">
            <w:pPr>
              <w:spacing w:line="360" w:lineRule="auto"/>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Female </w:t>
            </w:r>
          </w:p>
        </w:tc>
        <w:tc>
          <w:tcPr>
            <w:tcW w:w="1315" w:type="dxa"/>
            <w:tcBorders>
              <w:left w:val="nil"/>
              <w:bottom w:val="single" w:sz="4" w:space="0" w:color="auto"/>
              <w:right w:val="nil"/>
            </w:tcBorders>
          </w:tcPr>
          <w:p w14:paraId="70C82671" w14:textId="77777777" w:rsidR="00CD3724" w:rsidRPr="00E2630C" w:rsidRDefault="00CD3724" w:rsidP="003315F5">
            <w:pPr>
              <w:spacing w:line="360" w:lineRule="auto"/>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Total</w:t>
            </w:r>
          </w:p>
        </w:tc>
      </w:tr>
      <w:tr w:rsidR="002D25B6" w:rsidRPr="00E2630C" w14:paraId="13BDD581" w14:textId="77777777" w:rsidTr="003315F5">
        <w:tc>
          <w:tcPr>
            <w:tcW w:w="5334" w:type="dxa"/>
            <w:tcBorders>
              <w:left w:val="nil"/>
              <w:bottom w:val="nil"/>
              <w:right w:val="nil"/>
            </w:tcBorders>
          </w:tcPr>
          <w:p w14:paraId="0EC45979"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Respondents from Bangyili </w:t>
            </w:r>
          </w:p>
        </w:tc>
        <w:tc>
          <w:tcPr>
            <w:tcW w:w="1251" w:type="dxa"/>
            <w:tcBorders>
              <w:left w:val="nil"/>
              <w:bottom w:val="nil"/>
              <w:right w:val="nil"/>
            </w:tcBorders>
          </w:tcPr>
          <w:p w14:paraId="1DA91DC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w:t>
            </w:r>
          </w:p>
        </w:tc>
        <w:tc>
          <w:tcPr>
            <w:tcW w:w="1126" w:type="dxa"/>
            <w:tcBorders>
              <w:left w:val="nil"/>
              <w:bottom w:val="nil"/>
              <w:right w:val="nil"/>
            </w:tcBorders>
          </w:tcPr>
          <w:p w14:paraId="7BE7EBD9"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1315" w:type="dxa"/>
            <w:tcBorders>
              <w:left w:val="nil"/>
              <w:bottom w:val="nil"/>
              <w:right w:val="nil"/>
            </w:tcBorders>
          </w:tcPr>
          <w:p w14:paraId="0B4FE982"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w:t>
            </w:r>
          </w:p>
        </w:tc>
      </w:tr>
      <w:tr w:rsidR="002D25B6" w:rsidRPr="00E2630C" w14:paraId="5BC5D24A" w14:textId="77777777" w:rsidTr="003315F5">
        <w:tc>
          <w:tcPr>
            <w:tcW w:w="5334" w:type="dxa"/>
            <w:tcBorders>
              <w:top w:val="nil"/>
              <w:left w:val="nil"/>
              <w:bottom w:val="nil"/>
              <w:right w:val="nil"/>
            </w:tcBorders>
          </w:tcPr>
          <w:p w14:paraId="74B46EF5"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Respondents from Gbugmayili</w:t>
            </w:r>
          </w:p>
        </w:tc>
        <w:tc>
          <w:tcPr>
            <w:tcW w:w="1251" w:type="dxa"/>
            <w:tcBorders>
              <w:top w:val="nil"/>
              <w:left w:val="nil"/>
              <w:bottom w:val="nil"/>
              <w:right w:val="nil"/>
            </w:tcBorders>
          </w:tcPr>
          <w:p w14:paraId="49119694"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9</w:t>
            </w:r>
          </w:p>
        </w:tc>
        <w:tc>
          <w:tcPr>
            <w:tcW w:w="1126" w:type="dxa"/>
            <w:tcBorders>
              <w:top w:val="nil"/>
              <w:left w:val="nil"/>
              <w:bottom w:val="nil"/>
              <w:right w:val="nil"/>
            </w:tcBorders>
          </w:tcPr>
          <w:p w14:paraId="42CA830F"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1315" w:type="dxa"/>
            <w:tcBorders>
              <w:top w:val="nil"/>
              <w:left w:val="nil"/>
              <w:bottom w:val="nil"/>
              <w:right w:val="nil"/>
            </w:tcBorders>
          </w:tcPr>
          <w:p w14:paraId="6E12A160"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9</w:t>
            </w:r>
          </w:p>
        </w:tc>
      </w:tr>
      <w:tr w:rsidR="002D25B6" w:rsidRPr="00E2630C" w14:paraId="02D3D81C" w14:textId="77777777" w:rsidTr="003315F5">
        <w:tc>
          <w:tcPr>
            <w:tcW w:w="5334" w:type="dxa"/>
            <w:tcBorders>
              <w:top w:val="nil"/>
              <w:left w:val="nil"/>
              <w:bottom w:val="nil"/>
              <w:right w:val="nil"/>
            </w:tcBorders>
          </w:tcPr>
          <w:p w14:paraId="4F2148CF"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Leadership from Bormanga Women Association </w:t>
            </w:r>
          </w:p>
        </w:tc>
        <w:tc>
          <w:tcPr>
            <w:tcW w:w="1251" w:type="dxa"/>
            <w:tcBorders>
              <w:top w:val="nil"/>
              <w:left w:val="nil"/>
              <w:bottom w:val="nil"/>
              <w:right w:val="nil"/>
            </w:tcBorders>
          </w:tcPr>
          <w:p w14:paraId="4AF30491"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1126" w:type="dxa"/>
            <w:tcBorders>
              <w:top w:val="nil"/>
              <w:left w:val="nil"/>
              <w:bottom w:val="nil"/>
              <w:right w:val="nil"/>
            </w:tcBorders>
          </w:tcPr>
          <w:p w14:paraId="68030092"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8</w:t>
            </w:r>
          </w:p>
        </w:tc>
        <w:tc>
          <w:tcPr>
            <w:tcW w:w="1315" w:type="dxa"/>
            <w:tcBorders>
              <w:top w:val="nil"/>
              <w:left w:val="nil"/>
              <w:bottom w:val="nil"/>
              <w:right w:val="nil"/>
            </w:tcBorders>
          </w:tcPr>
          <w:p w14:paraId="5639CF55"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8</w:t>
            </w:r>
          </w:p>
        </w:tc>
      </w:tr>
      <w:tr w:rsidR="002D25B6" w:rsidRPr="00E2630C" w14:paraId="61C3FED1" w14:textId="77777777" w:rsidTr="003315F5">
        <w:tc>
          <w:tcPr>
            <w:tcW w:w="5334" w:type="dxa"/>
            <w:tcBorders>
              <w:top w:val="nil"/>
              <w:left w:val="nil"/>
              <w:bottom w:val="nil"/>
              <w:right w:val="nil"/>
            </w:tcBorders>
          </w:tcPr>
          <w:p w14:paraId="141650B0"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Local Council Officials </w:t>
            </w:r>
          </w:p>
        </w:tc>
        <w:tc>
          <w:tcPr>
            <w:tcW w:w="1251" w:type="dxa"/>
            <w:tcBorders>
              <w:top w:val="nil"/>
              <w:left w:val="nil"/>
              <w:bottom w:val="nil"/>
              <w:right w:val="nil"/>
            </w:tcBorders>
          </w:tcPr>
          <w:p w14:paraId="3722315A"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w:t>
            </w:r>
          </w:p>
        </w:tc>
        <w:tc>
          <w:tcPr>
            <w:tcW w:w="1126" w:type="dxa"/>
            <w:tcBorders>
              <w:top w:val="nil"/>
              <w:left w:val="nil"/>
              <w:bottom w:val="nil"/>
              <w:right w:val="nil"/>
            </w:tcBorders>
          </w:tcPr>
          <w:p w14:paraId="35CC2A21"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w:t>
            </w:r>
          </w:p>
        </w:tc>
        <w:tc>
          <w:tcPr>
            <w:tcW w:w="1315" w:type="dxa"/>
            <w:tcBorders>
              <w:top w:val="nil"/>
              <w:left w:val="nil"/>
              <w:bottom w:val="nil"/>
              <w:right w:val="nil"/>
            </w:tcBorders>
          </w:tcPr>
          <w:p w14:paraId="7479050F"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w:t>
            </w:r>
          </w:p>
        </w:tc>
      </w:tr>
      <w:tr w:rsidR="002D25B6" w:rsidRPr="00E2630C" w14:paraId="4C2ABE40" w14:textId="77777777" w:rsidTr="003315F5">
        <w:trPr>
          <w:trHeight w:val="297"/>
        </w:trPr>
        <w:tc>
          <w:tcPr>
            <w:tcW w:w="5334" w:type="dxa"/>
            <w:tcBorders>
              <w:top w:val="nil"/>
              <w:left w:val="nil"/>
              <w:bottom w:val="nil"/>
              <w:right w:val="nil"/>
            </w:tcBorders>
          </w:tcPr>
          <w:p w14:paraId="37138732"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police </w:t>
            </w:r>
          </w:p>
        </w:tc>
        <w:tc>
          <w:tcPr>
            <w:tcW w:w="1251" w:type="dxa"/>
            <w:tcBorders>
              <w:top w:val="nil"/>
              <w:left w:val="nil"/>
              <w:bottom w:val="nil"/>
              <w:right w:val="nil"/>
            </w:tcBorders>
          </w:tcPr>
          <w:p w14:paraId="033658E4"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w:t>
            </w:r>
          </w:p>
        </w:tc>
        <w:tc>
          <w:tcPr>
            <w:tcW w:w="1126" w:type="dxa"/>
            <w:tcBorders>
              <w:top w:val="nil"/>
              <w:left w:val="nil"/>
              <w:bottom w:val="nil"/>
              <w:right w:val="nil"/>
            </w:tcBorders>
          </w:tcPr>
          <w:p w14:paraId="56FCE07E"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w:t>
            </w:r>
          </w:p>
        </w:tc>
        <w:tc>
          <w:tcPr>
            <w:tcW w:w="1315" w:type="dxa"/>
            <w:tcBorders>
              <w:top w:val="nil"/>
              <w:left w:val="nil"/>
              <w:bottom w:val="nil"/>
              <w:right w:val="nil"/>
            </w:tcBorders>
          </w:tcPr>
          <w:p w14:paraId="3E3D2E6C"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4</w:t>
            </w:r>
          </w:p>
        </w:tc>
      </w:tr>
      <w:tr w:rsidR="002D25B6" w:rsidRPr="00E2630C" w14:paraId="5AC5ED9F" w14:textId="77777777" w:rsidTr="003315F5">
        <w:tc>
          <w:tcPr>
            <w:tcW w:w="5334" w:type="dxa"/>
            <w:tcBorders>
              <w:top w:val="nil"/>
              <w:left w:val="nil"/>
              <w:bottom w:val="nil"/>
              <w:right w:val="nil"/>
            </w:tcBorders>
          </w:tcPr>
          <w:p w14:paraId="1ED16F00"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Military </w:t>
            </w:r>
          </w:p>
        </w:tc>
        <w:tc>
          <w:tcPr>
            <w:tcW w:w="1251" w:type="dxa"/>
            <w:tcBorders>
              <w:top w:val="nil"/>
              <w:left w:val="nil"/>
              <w:bottom w:val="nil"/>
              <w:right w:val="nil"/>
            </w:tcBorders>
          </w:tcPr>
          <w:p w14:paraId="639C0CFE"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w:t>
            </w:r>
          </w:p>
        </w:tc>
        <w:tc>
          <w:tcPr>
            <w:tcW w:w="1126" w:type="dxa"/>
            <w:tcBorders>
              <w:top w:val="nil"/>
              <w:left w:val="nil"/>
              <w:bottom w:val="nil"/>
              <w:right w:val="nil"/>
            </w:tcBorders>
          </w:tcPr>
          <w:p w14:paraId="74AB5CBD"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1315" w:type="dxa"/>
            <w:tcBorders>
              <w:top w:val="nil"/>
              <w:left w:val="nil"/>
              <w:bottom w:val="nil"/>
              <w:right w:val="nil"/>
            </w:tcBorders>
          </w:tcPr>
          <w:p w14:paraId="6D11B12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w:t>
            </w:r>
          </w:p>
        </w:tc>
      </w:tr>
      <w:tr w:rsidR="002D25B6" w:rsidRPr="00E2630C" w14:paraId="69CB8AB6" w14:textId="77777777" w:rsidTr="003315F5">
        <w:tc>
          <w:tcPr>
            <w:tcW w:w="5334" w:type="dxa"/>
            <w:tcBorders>
              <w:top w:val="nil"/>
              <w:left w:val="nil"/>
              <w:bottom w:val="nil"/>
              <w:right w:val="nil"/>
            </w:tcBorders>
          </w:tcPr>
          <w:p w14:paraId="7639DF79"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health directorate </w:t>
            </w:r>
          </w:p>
        </w:tc>
        <w:tc>
          <w:tcPr>
            <w:tcW w:w="1251" w:type="dxa"/>
            <w:tcBorders>
              <w:top w:val="nil"/>
              <w:left w:val="nil"/>
              <w:bottom w:val="nil"/>
              <w:right w:val="nil"/>
            </w:tcBorders>
          </w:tcPr>
          <w:p w14:paraId="253F28AF"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w:t>
            </w:r>
          </w:p>
        </w:tc>
        <w:tc>
          <w:tcPr>
            <w:tcW w:w="1126" w:type="dxa"/>
            <w:tcBorders>
              <w:top w:val="nil"/>
              <w:left w:val="nil"/>
              <w:bottom w:val="nil"/>
              <w:right w:val="nil"/>
            </w:tcBorders>
          </w:tcPr>
          <w:p w14:paraId="030881A4"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w:t>
            </w:r>
          </w:p>
        </w:tc>
        <w:tc>
          <w:tcPr>
            <w:tcW w:w="1315" w:type="dxa"/>
            <w:tcBorders>
              <w:top w:val="nil"/>
              <w:left w:val="nil"/>
              <w:bottom w:val="nil"/>
              <w:right w:val="nil"/>
            </w:tcBorders>
          </w:tcPr>
          <w:p w14:paraId="78622FAA"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w:t>
            </w:r>
          </w:p>
        </w:tc>
      </w:tr>
      <w:tr w:rsidR="002D25B6" w:rsidRPr="00E2630C" w14:paraId="066C8BD7" w14:textId="77777777" w:rsidTr="003315F5">
        <w:tc>
          <w:tcPr>
            <w:tcW w:w="5334" w:type="dxa"/>
            <w:tcBorders>
              <w:top w:val="nil"/>
              <w:left w:val="nil"/>
              <w:bottom w:val="nil"/>
              <w:right w:val="nil"/>
            </w:tcBorders>
          </w:tcPr>
          <w:p w14:paraId="409565EC"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MoFA</w:t>
            </w:r>
          </w:p>
        </w:tc>
        <w:tc>
          <w:tcPr>
            <w:tcW w:w="1251" w:type="dxa"/>
            <w:tcBorders>
              <w:top w:val="nil"/>
              <w:left w:val="nil"/>
              <w:bottom w:val="nil"/>
              <w:right w:val="nil"/>
            </w:tcBorders>
          </w:tcPr>
          <w:p w14:paraId="3E73E79A"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w:t>
            </w:r>
          </w:p>
        </w:tc>
        <w:tc>
          <w:tcPr>
            <w:tcW w:w="1126" w:type="dxa"/>
            <w:tcBorders>
              <w:top w:val="nil"/>
              <w:left w:val="nil"/>
              <w:bottom w:val="nil"/>
              <w:right w:val="nil"/>
            </w:tcBorders>
          </w:tcPr>
          <w:p w14:paraId="7F88C2C0"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1315" w:type="dxa"/>
            <w:tcBorders>
              <w:top w:val="nil"/>
              <w:left w:val="nil"/>
              <w:bottom w:val="nil"/>
              <w:right w:val="nil"/>
            </w:tcBorders>
          </w:tcPr>
          <w:p w14:paraId="3CA44EB7"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w:t>
            </w:r>
          </w:p>
        </w:tc>
      </w:tr>
      <w:tr w:rsidR="002D25B6" w:rsidRPr="00E2630C" w14:paraId="6C8F6580" w14:textId="77777777" w:rsidTr="003315F5">
        <w:tc>
          <w:tcPr>
            <w:tcW w:w="5334" w:type="dxa"/>
            <w:tcBorders>
              <w:top w:val="nil"/>
              <w:left w:val="nil"/>
              <w:bottom w:val="nil"/>
              <w:right w:val="nil"/>
            </w:tcBorders>
          </w:tcPr>
          <w:p w14:paraId="0D3D63EB"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Opinion/Religious Leaders </w:t>
            </w:r>
          </w:p>
        </w:tc>
        <w:tc>
          <w:tcPr>
            <w:tcW w:w="1251" w:type="dxa"/>
            <w:tcBorders>
              <w:top w:val="nil"/>
              <w:left w:val="nil"/>
              <w:bottom w:val="nil"/>
              <w:right w:val="nil"/>
            </w:tcBorders>
          </w:tcPr>
          <w:p w14:paraId="072ED351"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w:t>
            </w:r>
          </w:p>
        </w:tc>
        <w:tc>
          <w:tcPr>
            <w:tcW w:w="1126" w:type="dxa"/>
            <w:tcBorders>
              <w:top w:val="nil"/>
              <w:left w:val="nil"/>
              <w:bottom w:val="nil"/>
              <w:right w:val="nil"/>
            </w:tcBorders>
          </w:tcPr>
          <w:p w14:paraId="2A6D6C98"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1315" w:type="dxa"/>
            <w:tcBorders>
              <w:top w:val="nil"/>
              <w:left w:val="nil"/>
              <w:bottom w:val="nil"/>
              <w:right w:val="nil"/>
            </w:tcBorders>
          </w:tcPr>
          <w:p w14:paraId="42EBD677"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w:t>
            </w:r>
          </w:p>
        </w:tc>
      </w:tr>
      <w:tr w:rsidR="002D25B6" w:rsidRPr="00E2630C" w14:paraId="596D1165" w14:textId="77777777" w:rsidTr="003315F5">
        <w:tc>
          <w:tcPr>
            <w:tcW w:w="5334" w:type="dxa"/>
            <w:tcBorders>
              <w:top w:val="nil"/>
              <w:left w:val="nil"/>
              <w:bottom w:val="nil"/>
              <w:right w:val="nil"/>
            </w:tcBorders>
          </w:tcPr>
          <w:p w14:paraId="5435CA4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Representatives from the Regional House of Chiefs </w:t>
            </w:r>
          </w:p>
        </w:tc>
        <w:tc>
          <w:tcPr>
            <w:tcW w:w="1251" w:type="dxa"/>
            <w:tcBorders>
              <w:top w:val="nil"/>
              <w:left w:val="nil"/>
              <w:bottom w:val="nil"/>
              <w:right w:val="nil"/>
            </w:tcBorders>
          </w:tcPr>
          <w:p w14:paraId="2E9DB320"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w:t>
            </w:r>
          </w:p>
        </w:tc>
        <w:tc>
          <w:tcPr>
            <w:tcW w:w="1126" w:type="dxa"/>
            <w:tcBorders>
              <w:top w:val="nil"/>
              <w:left w:val="nil"/>
              <w:bottom w:val="nil"/>
              <w:right w:val="nil"/>
            </w:tcBorders>
          </w:tcPr>
          <w:p w14:paraId="72EDA857"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1315" w:type="dxa"/>
            <w:tcBorders>
              <w:top w:val="nil"/>
              <w:left w:val="nil"/>
              <w:bottom w:val="nil"/>
              <w:right w:val="nil"/>
            </w:tcBorders>
          </w:tcPr>
          <w:p w14:paraId="22600A04"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w:t>
            </w:r>
          </w:p>
        </w:tc>
      </w:tr>
      <w:tr w:rsidR="002D25B6" w:rsidRPr="00E2630C" w14:paraId="1230284E" w14:textId="77777777" w:rsidTr="003315F5">
        <w:tc>
          <w:tcPr>
            <w:tcW w:w="5334" w:type="dxa"/>
            <w:tcBorders>
              <w:top w:val="nil"/>
              <w:left w:val="nil"/>
              <w:bottom w:val="nil"/>
              <w:right w:val="nil"/>
            </w:tcBorders>
          </w:tcPr>
          <w:p w14:paraId="484136A5"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Leadership of Butchers </w:t>
            </w:r>
          </w:p>
        </w:tc>
        <w:tc>
          <w:tcPr>
            <w:tcW w:w="1251" w:type="dxa"/>
            <w:tcBorders>
              <w:top w:val="nil"/>
              <w:left w:val="nil"/>
              <w:bottom w:val="nil"/>
              <w:right w:val="nil"/>
            </w:tcBorders>
          </w:tcPr>
          <w:p w14:paraId="08DA2173"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w:t>
            </w:r>
          </w:p>
        </w:tc>
        <w:tc>
          <w:tcPr>
            <w:tcW w:w="1126" w:type="dxa"/>
            <w:tcBorders>
              <w:top w:val="nil"/>
              <w:left w:val="nil"/>
              <w:bottom w:val="nil"/>
              <w:right w:val="nil"/>
            </w:tcBorders>
          </w:tcPr>
          <w:p w14:paraId="3341F38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1315" w:type="dxa"/>
            <w:tcBorders>
              <w:top w:val="nil"/>
              <w:left w:val="nil"/>
              <w:bottom w:val="nil"/>
              <w:right w:val="nil"/>
            </w:tcBorders>
          </w:tcPr>
          <w:p w14:paraId="04281EBF"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w:t>
            </w:r>
          </w:p>
        </w:tc>
      </w:tr>
      <w:tr w:rsidR="002D25B6" w:rsidRPr="00E2630C" w14:paraId="60B12347" w14:textId="77777777" w:rsidTr="003315F5">
        <w:tc>
          <w:tcPr>
            <w:tcW w:w="5334" w:type="dxa"/>
            <w:tcBorders>
              <w:top w:val="nil"/>
              <w:left w:val="nil"/>
              <w:bottom w:val="single" w:sz="4" w:space="0" w:color="auto"/>
              <w:right w:val="nil"/>
            </w:tcBorders>
          </w:tcPr>
          <w:p w14:paraId="5C870489"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Sonkasheli Youth Group</w:t>
            </w:r>
          </w:p>
        </w:tc>
        <w:tc>
          <w:tcPr>
            <w:tcW w:w="1251" w:type="dxa"/>
            <w:tcBorders>
              <w:top w:val="nil"/>
              <w:left w:val="nil"/>
              <w:bottom w:val="single" w:sz="4" w:space="0" w:color="auto"/>
              <w:right w:val="nil"/>
            </w:tcBorders>
          </w:tcPr>
          <w:p w14:paraId="42C5F18F"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6</w:t>
            </w:r>
          </w:p>
        </w:tc>
        <w:tc>
          <w:tcPr>
            <w:tcW w:w="1126" w:type="dxa"/>
            <w:tcBorders>
              <w:top w:val="nil"/>
              <w:left w:val="nil"/>
              <w:bottom w:val="single" w:sz="4" w:space="0" w:color="auto"/>
              <w:right w:val="nil"/>
            </w:tcBorders>
          </w:tcPr>
          <w:p w14:paraId="3ED0C31B"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w:t>
            </w:r>
          </w:p>
        </w:tc>
        <w:tc>
          <w:tcPr>
            <w:tcW w:w="1315" w:type="dxa"/>
            <w:tcBorders>
              <w:top w:val="nil"/>
              <w:left w:val="nil"/>
              <w:bottom w:val="single" w:sz="4" w:space="0" w:color="auto"/>
              <w:right w:val="nil"/>
            </w:tcBorders>
          </w:tcPr>
          <w:p w14:paraId="69D9B993"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8</w:t>
            </w:r>
          </w:p>
        </w:tc>
      </w:tr>
      <w:tr w:rsidR="002D25B6" w:rsidRPr="00E2630C" w14:paraId="7F488E1F" w14:textId="77777777" w:rsidTr="003315F5">
        <w:trPr>
          <w:trHeight w:val="458"/>
        </w:trPr>
        <w:tc>
          <w:tcPr>
            <w:tcW w:w="5334" w:type="dxa"/>
            <w:tcBorders>
              <w:left w:val="nil"/>
              <w:right w:val="nil"/>
            </w:tcBorders>
          </w:tcPr>
          <w:p w14:paraId="06A343B2" w14:textId="77777777" w:rsidR="00CD3724" w:rsidRPr="00E2630C" w:rsidRDefault="00CD3724" w:rsidP="003315F5">
            <w:pPr>
              <w:spacing w:line="360" w:lineRule="auto"/>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Total</w:t>
            </w:r>
          </w:p>
        </w:tc>
        <w:tc>
          <w:tcPr>
            <w:tcW w:w="1251" w:type="dxa"/>
            <w:tcBorders>
              <w:left w:val="nil"/>
              <w:right w:val="nil"/>
            </w:tcBorders>
          </w:tcPr>
          <w:p w14:paraId="4068C287" w14:textId="77777777" w:rsidR="00CD3724" w:rsidRPr="00E2630C" w:rsidRDefault="00CD3724" w:rsidP="003315F5">
            <w:pPr>
              <w:spacing w:line="360" w:lineRule="auto"/>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37</w:t>
            </w:r>
          </w:p>
        </w:tc>
        <w:tc>
          <w:tcPr>
            <w:tcW w:w="1126" w:type="dxa"/>
            <w:tcBorders>
              <w:left w:val="nil"/>
              <w:right w:val="nil"/>
            </w:tcBorders>
          </w:tcPr>
          <w:p w14:paraId="0DFB9E19" w14:textId="77777777" w:rsidR="00CD3724" w:rsidRPr="00E2630C" w:rsidRDefault="00CD3724" w:rsidP="003315F5">
            <w:pPr>
              <w:spacing w:line="360" w:lineRule="auto"/>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13</w:t>
            </w:r>
          </w:p>
        </w:tc>
        <w:tc>
          <w:tcPr>
            <w:tcW w:w="1315" w:type="dxa"/>
            <w:tcBorders>
              <w:left w:val="nil"/>
              <w:right w:val="nil"/>
            </w:tcBorders>
          </w:tcPr>
          <w:p w14:paraId="08ECCB86" w14:textId="77777777" w:rsidR="00CD3724" w:rsidRPr="00E2630C" w:rsidRDefault="00CD3724" w:rsidP="003315F5">
            <w:pPr>
              <w:spacing w:line="360" w:lineRule="auto"/>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50</w:t>
            </w:r>
          </w:p>
        </w:tc>
      </w:tr>
    </w:tbl>
    <w:p w14:paraId="1D812F2E" w14:textId="77777777" w:rsidR="00CD3724" w:rsidRPr="00E2630C" w:rsidRDefault="00CD3724" w:rsidP="00CD3724">
      <w:pPr>
        <w:spacing w:line="360" w:lineRule="auto"/>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Source: Field Study, 2023.</w:t>
      </w:r>
    </w:p>
    <w:p w14:paraId="7FFBAB2F" w14:textId="77777777" w:rsidR="00CD3724" w:rsidRPr="00E2630C" w:rsidRDefault="00CD3724" w:rsidP="00CD3724">
      <w:pPr>
        <w:pStyle w:val="NoSpacing"/>
        <w:rPr>
          <w:rFonts w:ascii="Times New Roman" w:hAnsi="Times New Roman" w:cs="Times New Roman"/>
          <w:color w:val="000000" w:themeColor="text1"/>
          <w:sz w:val="24"/>
          <w:szCs w:val="24"/>
        </w:rPr>
      </w:pPr>
    </w:p>
    <w:p w14:paraId="74E3221B"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Besides, simple random sampling technique was used to select a cross section of 341 respondents mainly from 12 farmer-based </w:t>
      </w:r>
      <w:r w:rsidR="00576968" w:rsidRPr="00E2630C">
        <w:rPr>
          <w:rFonts w:ascii="Times New Roman" w:hAnsi="Times New Roman" w:cs="Times New Roman"/>
          <w:color w:val="000000" w:themeColor="text1"/>
          <w:sz w:val="24"/>
          <w:szCs w:val="24"/>
        </w:rPr>
        <w:t xml:space="preserve">crop </w:t>
      </w:r>
      <w:r w:rsidRPr="00E2630C">
        <w:rPr>
          <w:rFonts w:ascii="Times New Roman" w:hAnsi="Times New Roman" w:cs="Times New Roman"/>
          <w:color w:val="000000" w:themeColor="text1"/>
          <w:sz w:val="24"/>
          <w:szCs w:val="24"/>
        </w:rPr>
        <w:t xml:space="preserve">associations and livestock farming association as registered by the Ministry of Food and Agriculture (MoFa, </w:t>
      </w:r>
      <w:r w:rsidRPr="00E2630C">
        <w:rPr>
          <w:rStyle w:val="markedcontent"/>
          <w:rFonts w:ascii="Times New Roman" w:hAnsi="Times New Roman" w:cs="Times New Roman"/>
          <w:color w:val="000000" w:themeColor="text1"/>
          <w:sz w:val="24"/>
          <w:szCs w:val="24"/>
        </w:rPr>
        <w:t>Nanumba North District, Bimbilla,</w:t>
      </w:r>
      <w:r w:rsidRPr="00E2630C">
        <w:rPr>
          <w:rFonts w:ascii="Times New Roman" w:hAnsi="Times New Roman" w:cs="Times New Roman"/>
          <w:color w:val="000000" w:themeColor="text1"/>
          <w:sz w:val="24"/>
          <w:szCs w:val="24"/>
        </w:rPr>
        <w:t xml:space="preserve"> 2023).  MoFa,</w:t>
      </w:r>
      <w:r w:rsidRPr="00E2630C">
        <w:rPr>
          <w:rStyle w:val="markedcontent"/>
          <w:rFonts w:ascii="Times New Roman" w:hAnsi="Times New Roman" w:cs="Times New Roman"/>
          <w:color w:val="000000" w:themeColor="text1"/>
          <w:sz w:val="24"/>
          <w:szCs w:val="24"/>
        </w:rPr>
        <w:t xml:space="preserve"> Nanumba North District, Bimbilla</w:t>
      </w:r>
      <w:r w:rsidRPr="00E2630C">
        <w:rPr>
          <w:rFonts w:ascii="Times New Roman" w:hAnsi="Times New Roman" w:cs="Times New Roman"/>
          <w:color w:val="000000" w:themeColor="text1"/>
          <w:sz w:val="24"/>
          <w:szCs w:val="24"/>
        </w:rPr>
        <w:t xml:space="preserve"> (2023) report as explained above, had 12 registered farmer- based associations in Bimbilla with </w:t>
      </w:r>
      <w:r w:rsidRPr="00E2630C">
        <w:rPr>
          <w:rFonts w:ascii="Times New Roman" w:hAnsi="Times New Roman" w:cs="Times New Roman"/>
          <w:color w:val="000000" w:themeColor="text1"/>
          <w:sz w:val="24"/>
          <w:szCs w:val="24"/>
        </w:rPr>
        <w:lastRenderedPageBreak/>
        <w:t xml:space="preserve">a total population of 467 as well as livestock association with a population of 185 as depicted below; </w:t>
      </w:r>
    </w:p>
    <w:p w14:paraId="48A065B6" w14:textId="77777777" w:rsidR="00CD3724" w:rsidRPr="00E2630C" w:rsidRDefault="00CD3724" w:rsidP="00CD3724">
      <w:pPr>
        <w:pStyle w:val="Heading6"/>
        <w:rPr>
          <w:rFonts w:cs="Times New Roman"/>
          <w:szCs w:val="24"/>
        </w:rPr>
      </w:pPr>
      <w:bookmarkStart w:id="78" w:name="_Toc182386318"/>
      <w:r w:rsidRPr="00E2630C">
        <w:rPr>
          <w:rFonts w:cs="Times New Roman"/>
          <w:szCs w:val="24"/>
        </w:rPr>
        <w:t xml:space="preserve">Table 3.2: </w:t>
      </w:r>
      <w:bookmarkStart w:id="79" w:name="_Hlk165547963"/>
      <w:r w:rsidRPr="00E2630C">
        <w:rPr>
          <w:rFonts w:cs="Times New Roman"/>
          <w:szCs w:val="24"/>
        </w:rPr>
        <w:t xml:space="preserve">Crops and Livestock Farmers Associations </w:t>
      </w:r>
      <w:bookmarkEnd w:id="79"/>
      <w:r w:rsidRPr="00E2630C">
        <w:rPr>
          <w:rFonts w:cs="Times New Roman"/>
          <w:szCs w:val="24"/>
        </w:rPr>
        <w:t>in Bimbilla</w:t>
      </w:r>
      <w:bookmarkEnd w:id="78"/>
    </w:p>
    <w:tbl>
      <w:tblPr>
        <w:tblStyle w:val="TableGrid"/>
        <w:tblW w:w="0" w:type="auto"/>
        <w:tblLayout w:type="fixed"/>
        <w:tblLook w:val="04A0" w:firstRow="1" w:lastRow="0" w:firstColumn="1" w:lastColumn="0" w:noHBand="0" w:noVBand="1"/>
      </w:tblPr>
      <w:tblGrid>
        <w:gridCol w:w="603"/>
        <w:gridCol w:w="1616"/>
        <w:gridCol w:w="2119"/>
        <w:gridCol w:w="1800"/>
        <w:gridCol w:w="1080"/>
        <w:gridCol w:w="851"/>
      </w:tblGrid>
      <w:tr w:rsidR="002D25B6" w:rsidRPr="00E2630C" w14:paraId="5601B0D3" w14:textId="77777777" w:rsidTr="003315F5">
        <w:tc>
          <w:tcPr>
            <w:tcW w:w="603" w:type="dxa"/>
            <w:vMerge w:val="restart"/>
          </w:tcPr>
          <w:p w14:paraId="4C6AD35A"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S/N</w:t>
            </w:r>
          </w:p>
        </w:tc>
        <w:tc>
          <w:tcPr>
            <w:tcW w:w="1616" w:type="dxa"/>
            <w:vMerge w:val="restart"/>
          </w:tcPr>
          <w:p w14:paraId="393B148A"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NAME OF FBO</w:t>
            </w:r>
          </w:p>
        </w:tc>
        <w:tc>
          <w:tcPr>
            <w:tcW w:w="2119" w:type="dxa"/>
            <w:vMerge w:val="restart"/>
          </w:tcPr>
          <w:p w14:paraId="2A8FBABD"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CROP</w:t>
            </w:r>
          </w:p>
        </w:tc>
        <w:tc>
          <w:tcPr>
            <w:tcW w:w="2880" w:type="dxa"/>
            <w:gridSpan w:val="2"/>
          </w:tcPr>
          <w:p w14:paraId="66FBBEDF"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MEMBERSHIP </w:t>
            </w:r>
          </w:p>
        </w:tc>
        <w:tc>
          <w:tcPr>
            <w:tcW w:w="851" w:type="dxa"/>
            <w:vMerge w:val="restart"/>
          </w:tcPr>
          <w:p w14:paraId="62D66586"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Total </w:t>
            </w:r>
          </w:p>
        </w:tc>
      </w:tr>
      <w:tr w:rsidR="002D25B6" w:rsidRPr="00E2630C" w14:paraId="0F7E2B56" w14:textId="77777777" w:rsidTr="003315F5">
        <w:tc>
          <w:tcPr>
            <w:tcW w:w="603" w:type="dxa"/>
            <w:vMerge/>
          </w:tcPr>
          <w:p w14:paraId="19E9851E" w14:textId="77777777" w:rsidR="00CD3724" w:rsidRPr="00E2630C" w:rsidRDefault="00CD3724" w:rsidP="003315F5">
            <w:pPr>
              <w:jc w:val="both"/>
              <w:rPr>
                <w:rFonts w:ascii="Times New Roman" w:hAnsi="Times New Roman" w:cs="Times New Roman"/>
                <w:b/>
                <w:color w:val="000000" w:themeColor="text1"/>
                <w:sz w:val="24"/>
                <w:szCs w:val="24"/>
              </w:rPr>
            </w:pPr>
          </w:p>
        </w:tc>
        <w:tc>
          <w:tcPr>
            <w:tcW w:w="1616" w:type="dxa"/>
            <w:vMerge/>
          </w:tcPr>
          <w:p w14:paraId="2EA48A0B" w14:textId="77777777" w:rsidR="00CD3724" w:rsidRPr="00E2630C" w:rsidRDefault="00CD3724" w:rsidP="003315F5">
            <w:pPr>
              <w:jc w:val="both"/>
              <w:rPr>
                <w:rFonts w:ascii="Times New Roman" w:hAnsi="Times New Roman" w:cs="Times New Roman"/>
                <w:b/>
                <w:color w:val="000000" w:themeColor="text1"/>
                <w:sz w:val="24"/>
                <w:szCs w:val="24"/>
              </w:rPr>
            </w:pPr>
          </w:p>
        </w:tc>
        <w:tc>
          <w:tcPr>
            <w:tcW w:w="2119" w:type="dxa"/>
            <w:vMerge/>
          </w:tcPr>
          <w:p w14:paraId="7950A009" w14:textId="77777777" w:rsidR="00CD3724" w:rsidRPr="00E2630C" w:rsidRDefault="00CD3724" w:rsidP="003315F5">
            <w:pPr>
              <w:jc w:val="both"/>
              <w:rPr>
                <w:rFonts w:ascii="Times New Roman" w:hAnsi="Times New Roman" w:cs="Times New Roman"/>
                <w:b/>
                <w:color w:val="000000" w:themeColor="text1"/>
                <w:sz w:val="24"/>
                <w:szCs w:val="24"/>
              </w:rPr>
            </w:pPr>
          </w:p>
        </w:tc>
        <w:tc>
          <w:tcPr>
            <w:tcW w:w="1800" w:type="dxa"/>
          </w:tcPr>
          <w:p w14:paraId="25186385"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Males </w:t>
            </w:r>
          </w:p>
        </w:tc>
        <w:tc>
          <w:tcPr>
            <w:tcW w:w="1080" w:type="dxa"/>
          </w:tcPr>
          <w:p w14:paraId="33AEAEAC"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Females </w:t>
            </w:r>
          </w:p>
        </w:tc>
        <w:tc>
          <w:tcPr>
            <w:tcW w:w="851" w:type="dxa"/>
            <w:vMerge/>
          </w:tcPr>
          <w:p w14:paraId="4F6FCFA7" w14:textId="77777777" w:rsidR="00CD3724" w:rsidRPr="00E2630C" w:rsidRDefault="00CD3724" w:rsidP="003315F5">
            <w:pPr>
              <w:jc w:val="both"/>
              <w:rPr>
                <w:rFonts w:ascii="Times New Roman" w:hAnsi="Times New Roman" w:cs="Times New Roman"/>
                <w:b/>
                <w:color w:val="000000" w:themeColor="text1"/>
                <w:sz w:val="24"/>
                <w:szCs w:val="24"/>
              </w:rPr>
            </w:pPr>
          </w:p>
        </w:tc>
      </w:tr>
      <w:tr w:rsidR="002D25B6" w:rsidRPr="00E2630C" w14:paraId="1EC86FCD" w14:textId="77777777" w:rsidTr="003315F5">
        <w:tc>
          <w:tcPr>
            <w:tcW w:w="603" w:type="dxa"/>
          </w:tcPr>
          <w:p w14:paraId="76514AC5"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w:t>
            </w:r>
          </w:p>
        </w:tc>
        <w:tc>
          <w:tcPr>
            <w:tcW w:w="1616" w:type="dxa"/>
          </w:tcPr>
          <w:p w14:paraId="27AE612D"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Kobilkom Farmers Association</w:t>
            </w:r>
          </w:p>
        </w:tc>
        <w:tc>
          <w:tcPr>
            <w:tcW w:w="2119" w:type="dxa"/>
          </w:tcPr>
          <w:p w14:paraId="67D2CDB1"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Maize and Soya Beans </w:t>
            </w:r>
          </w:p>
        </w:tc>
        <w:tc>
          <w:tcPr>
            <w:tcW w:w="1800" w:type="dxa"/>
          </w:tcPr>
          <w:p w14:paraId="1D29F10B"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37 </w:t>
            </w:r>
          </w:p>
          <w:p w14:paraId="6D11027E" w14:textId="77777777" w:rsidR="00CD3724" w:rsidRPr="00E2630C" w:rsidRDefault="00CD3724" w:rsidP="003315F5">
            <w:pPr>
              <w:jc w:val="both"/>
              <w:rPr>
                <w:rFonts w:ascii="Times New Roman" w:hAnsi="Times New Roman" w:cs="Times New Roman"/>
                <w:color w:val="000000" w:themeColor="text1"/>
                <w:sz w:val="24"/>
                <w:szCs w:val="24"/>
              </w:rPr>
            </w:pPr>
          </w:p>
        </w:tc>
        <w:tc>
          <w:tcPr>
            <w:tcW w:w="1080" w:type="dxa"/>
          </w:tcPr>
          <w:p w14:paraId="40999143"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16</w:t>
            </w:r>
          </w:p>
        </w:tc>
        <w:tc>
          <w:tcPr>
            <w:tcW w:w="851" w:type="dxa"/>
          </w:tcPr>
          <w:p w14:paraId="5E6689FC"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53</w:t>
            </w:r>
          </w:p>
        </w:tc>
      </w:tr>
      <w:tr w:rsidR="002D25B6" w:rsidRPr="00E2630C" w14:paraId="3F32B5C3" w14:textId="77777777" w:rsidTr="003315F5">
        <w:tc>
          <w:tcPr>
            <w:tcW w:w="603" w:type="dxa"/>
          </w:tcPr>
          <w:p w14:paraId="0A75CA7E"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w:t>
            </w:r>
          </w:p>
        </w:tc>
        <w:tc>
          <w:tcPr>
            <w:tcW w:w="1616" w:type="dxa"/>
          </w:tcPr>
          <w:p w14:paraId="63E5EE08"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Maltiti Farmers Association</w:t>
            </w:r>
          </w:p>
        </w:tc>
        <w:tc>
          <w:tcPr>
            <w:tcW w:w="2119" w:type="dxa"/>
          </w:tcPr>
          <w:p w14:paraId="06E993D5"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Maize and Rice </w:t>
            </w:r>
          </w:p>
        </w:tc>
        <w:tc>
          <w:tcPr>
            <w:tcW w:w="1800" w:type="dxa"/>
          </w:tcPr>
          <w:p w14:paraId="49D90D92"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30</w:t>
            </w:r>
          </w:p>
        </w:tc>
        <w:tc>
          <w:tcPr>
            <w:tcW w:w="1080" w:type="dxa"/>
          </w:tcPr>
          <w:p w14:paraId="26EA86E9"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18</w:t>
            </w:r>
          </w:p>
        </w:tc>
        <w:tc>
          <w:tcPr>
            <w:tcW w:w="851" w:type="dxa"/>
          </w:tcPr>
          <w:p w14:paraId="0E466F91"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48</w:t>
            </w:r>
          </w:p>
        </w:tc>
      </w:tr>
      <w:tr w:rsidR="002D25B6" w:rsidRPr="00E2630C" w14:paraId="73E6624A" w14:textId="77777777" w:rsidTr="003315F5">
        <w:tc>
          <w:tcPr>
            <w:tcW w:w="603" w:type="dxa"/>
          </w:tcPr>
          <w:p w14:paraId="1773DA80"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w:t>
            </w:r>
          </w:p>
        </w:tc>
        <w:tc>
          <w:tcPr>
            <w:tcW w:w="1616" w:type="dxa"/>
          </w:tcPr>
          <w:p w14:paraId="5292201D"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Axim Maize Farmer Association </w:t>
            </w:r>
          </w:p>
        </w:tc>
        <w:tc>
          <w:tcPr>
            <w:tcW w:w="2119" w:type="dxa"/>
          </w:tcPr>
          <w:p w14:paraId="4AE6DA8B"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Maize </w:t>
            </w:r>
          </w:p>
        </w:tc>
        <w:tc>
          <w:tcPr>
            <w:tcW w:w="1800" w:type="dxa"/>
          </w:tcPr>
          <w:p w14:paraId="155AD074"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27</w:t>
            </w:r>
          </w:p>
        </w:tc>
        <w:tc>
          <w:tcPr>
            <w:tcW w:w="1080" w:type="dxa"/>
          </w:tcPr>
          <w:p w14:paraId="57FBB054"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851" w:type="dxa"/>
          </w:tcPr>
          <w:p w14:paraId="6DA87D93"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27</w:t>
            </w:r>
          </w:p>
        </w:tc>
      </w:tr>
      <w:tr w:rsidR="002D25B6" w:rsidRPr="00E2630C" w14:paraId="60CB7DB6" w14:textId="77777777" w:rsidTr="003315F5">
        <w:tc>
          <w:tcPr>
            <w:tcW w:w="603" w:type="dxa"/>
          </w:tcPr>
          <w:p w14:paraId="6855B4AE"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4</w:t>
            </w:r>
          </w:p>
        </w:tc>
        <w:tc>
          <w:tcPr>
            <w:tcW w:w="1616" w:type="dxa"/>
          </w:tcPr>
          <w:p w14:paraId="3B016488"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Suglo Nbori Buni Farmers Association</w:t>
            </w:r>
          </w:p>
        </w:tc>
        <w:tc>
          <w:tcPr>
            <w:tcW w:w="2119" w:type="dxa"/>
          </w:tcPr>
          <w:p w14:paraId="3F7A8FC5"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Maize and Rice </w:t>
            </w:r>
          </w:p>
        </w:tc>
        <w:tc>
          <w:tcPr>
            <w:tcW w:w="1800" w:type="dxa"/>
          </w:tcPr>
          <w:p w14:paraId="5BEA54A7"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22</w:t>
            </w:r>
          </w:p>
        </w:tc>
        <w:tc>
          <w:tcPr>
            <w:tcW w:w="1080" w:type="dxa"/>
          </w:tcPr>
          <w:p w14:paraId="47BE6D93"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851" w:type="dxa"/>
          </w:tcPr>
          <w:p w14:paraId="6F7E713F"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22</w:t>
            </w:r>
          </w:p>
        </w:tc>
      </w:tr>
      <w:tr w:rsidR="002D25B6" w:rsidRPr="00E2630C" w14:paraId="1194AF5D" w14:textId="77777777" w:rsidTr="003315F5">
        <w:tc>
          <w:tcPr>
            <w:tcW w:w="603" w:type="dxa"/>
          </w:tcPr>
          <w:p w14:paraId="79A2AAD2"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5</w:t>
            </w:r>
          </w:p>
        </w:tc>
        <w:tc>
          <w:tcPr>
            <w:tcW w:w="1616" w:type="dxa"/>
          </w:tcPr>
          <w:p w14:paraId="70803638"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Suhu Yin farmers Association </w:t>
            </w:r>
          </w:p>
        </w:tc>
        <w:tc>
          <w:tcPr>
            <w:tcW w:w="2119" w:type="dxa"/>
          </w:tcPr>
          <w:p w14:paraId="01ACECF9"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Maize, Yam, Soya beans groundnut and rice</w:t>
            </w:r>
          </w:p>
        </w:tc>
        <w:tc>
          <w:tcPr>
            <w:tcW w:w="1800" w:type="dxa"/>
          </w:tcPr>
          <w:p w14:paraId="620BABDA"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32</w:t>
            </w:r>
          </w:p>
          <w:p w14:paraId="74CCA828" w14:textId="77777777" w:rsidR="00CD3724" w:rsidRPr="00E2630C" w:rsidRDefault="00CD3724" w:rsidP="003315F5">
            <w:pPr>
              <w:jc w:val="both"/>
              <w:rPr>
                <w:rFonts w:ascii="Times New Roman" w:hAnsi="Times New Roman" w:cs="Times New Roman"/>
                <w:color w:val="000000" w:themeColor="text1"/>
                <w:sz w:val="24"/>
                <w:szCs w:val="24"/>
              </w:rPr>
            </w:pPr>
          </w:p>
        </w:tc>
        <w:tc>
          <w:tcPr>
            <w:tcW w:w="1080" w:type="dxa"/>
          </w:tcPr>
          <w:p w14:paraId="6A5BEED4"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20</w:t>
            </w:r>
          </w:p>
        </w:tc>
        <w:tc>
          <w:tcPr>
            <w:tcW w:w="851" w:type="dxa"/>
          </w:tcPr>
          <w:p w14:paraId="63E63539"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52</w:t>
            </w:r>
          </w:p>
        </w:tc>
      </w:tr>
      <w:tr w:rsidR="002D25B6" w:rsidRPr="00E2630C" w14:paraId="1FDE754B" w14:textId="77777777" w:rsidTr="003315F5">
        <w:tc>
          <w:tcPr>
            <w:tcW w:w="603" w:type="dxa"/>
          </w:tcPr>
          <w:p w14:paraId="10184C98"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6</w:t>
            </w:r>
          </w:p>
        </w:tc>
        <w:tc>
          <w:tcPr>
            <w:tcW w:w="1616" w:type="dxa"/>
          </w:tcPr>
          <w:p w14:paraId="0F3F137A"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Zaabuni Farmers Association</w:t>
            </w:r>
          </w:p>
        </w:tc>
        <w:tc>
          <w:tcPr>
            <w:tcW w:w="2119" w:type="dxa"/>
          </w:tcPr>
          <w:p w14:paraId="01DAE1E7"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Yam, soya beans, maize Cassava and </w:t>
            </w:r>
            <w:r w:rsidRPr="00E2630C">
              <w:rPr>
                <w:rFonts w:ascii="Times New Roman" w:hAnsi="Times New Roman" w:cs="Times New Roman"/>
                <w:color w:val="000000" w:themeColor="text1"/>
                <w:sz w:val="24"/>
                <w:szCs w:val="24"/>
              </w:rPr>
              <w:tab/>
              <w:t xml:space="preserve">rice </w:t>
            </w:r>
          </w:p>
        </w:tc>
        <w:tc>
          <w:tcPr>
            <w:tcW w:w="1800" w:type="dxa"/>
          </w:tcPr>
          <w:p w14:paraId="4518FF55"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15 </w:t>
            </w:r>
          </w:p>
          <w:p w14:paraId="6B08445C" w14:textId="77777777" w:rsidR="00CD3724" w:rsidRPr="00E2630C" w:rsidRDefault="00CD3724" w:rsidP="003315F5">
            <w:pPr>
              <w:jc w:val="both"/>
              <w:rPr>
                <w:rFonts w:ascii="Times New Roman" w:hAnsi="Times New Roman" w:cs="Times New Roman"/>
                <w:color w:val="000000" w:themeColor="text1"/>
                <w:sz w:val="24"/>
                <w:szCs w:val="24"/>
              </w:rPr>
            </w:pPr>
          </w:p>
        </w:tc>
        <w:tc>
          <w:tcPr>
            <w:tcW w:w="1080" w:type="dxa"/>
          </w:tcPr>
          <w:p w14:paraId="37335E28"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13</w:t>
            </w:r>
          </w:p>
        </w:tc>
        <w:tc>
          <w:tcPr>
            <w:tcW w:w="851" w:type="dxa"/>
          </w:tcPr>
          <w:p w14:paraId="48AFEB30"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38</w:t>
            </w:r>
          </w:p>
        </w:tc>
      </w:tr>
      <w:tr w:rsidR="002D25B6" w:rsidRPr="00E2630C" w14:paraId="367B19ED" w14:textId="77777777" w:rsidTr="003315F5">
        <w:tc>
          <w:tcPr>
            <w:tcW w:w="603" w:type="dxa"/>
          </w:tcPr>
          <w:p w14:paraId="34468474"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w:t>
            </w:r>
          </w:p>
        </w:tc>
        <w:tc>
          <w:tcPr>
            <w:tcW w:w="1616" w:type="dxa"/>
          </w:tcPr>
          <w:p w14:paraId="1054378D"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Malitima Farmers Association</w:t>
            </w:r>
          </w:p>
        </w:tc>
        <w:tc>
          <w:tcPr>
            <w:tcW w:w="2119" w:type="dxa"/>
          </w:tcPr>
          <w:p w14:paraId="09E3D4CC"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Yam and Maize</w:t>
            </w:r>
          </w:p>
        </w:tc>
        <w:tc>
          <w:tcPr>
            <w:tcW w:w="1800" w:type="dxa"/>
          </w:tcPr>
          <w:p w14:paraId="04674EE9"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1080" w:type="dxa"/>
          </w:tcPr>
          <w:p w14:paraId="0A4AE7FC"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33</w:t>
            </w:r>
          </w:p>
        </w:tc>
        <w:tc>
          <w:tcPr>
            <w:tcW w:w="851" w:type="dxa"/>
          </w:tcPr>
          <w:p w14:paraId="76B26FE2"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33</w:t>
            </w:r>
          </w:p>
        </w:tc>
      </w:tr>
      <w:tr w:rsidR="002D25B6" w:rsidRPr="00E2630C" w14:paraId="59B509D9" w14:textId="77777777" w:rsidTr="003315F5">
        <w:tc>
          <w:tcPr>
            <w:tcW w:w="603" w:type="dxa"/>
          </w:tcPr>
          <w:p w14:paraId="2B9E776F"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8</w:t>
            </w:r>
          </w:p>
        </w:tc>
        <w:tc>
          <w:tcPr>
            <w:tcW w:w="1616" w:type="dxa"/>
          </w:tcPr>
          <w:p w14:paraId="7958AB19"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Suglo Nbori Buni </w:t>
            </w:r>
          </w:p>
        </w:tc>
        <w:tc>
          <w:tcPr>
            <w:tcW w:w="2119" w:type="dxa"/>
          </w:tcPr>
          <w:p w14:paraId="59A8CCC0"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Millet, G-Corn, Sorghum, Cassava and Yam </w:t>
            </w:r>
          </w:p>
        </w:tc>
        <w:tc>
          <w:tcPr>
            <w:tcW w:w="1800" w:type="dxa"/>
          </w:tcPr>
          <w:p w14:paraId="3BC3C687"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0</w:t>
            </w:r>
          </w:p>
        </w:tc>
        <w:tc>
          <w:tcPr>
            <w:tcW w:w="1080" w:type="dxa"/>
          </w:tcPr>
          <w:p w14:paraId="60A40EA5"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53</w:t>
            </w:r>
          </w:p>
          <w:p w14:paraId="10D2B579" w14:textId="77777777" w:rsidR="00CD3724" w:rsidRPr="00E2630C" w:rsidRDefault="00CD3724" w:rsidP="003315F5">
            <w:pPr>
              <w:jc w:val="center"/>
              <w:rPr>
                <w:rFonts w:ascii="Times New Roman" w:hAnsi="Times New Roman" w:cs="Times New Roman"/>
                <w:color w:val="000000" w:themeColor="text1"/>
                <w:sz w:val="24"/>
                <w:szCs w:val="24"/>
              </w:rPr>
            </w:pPr>
          </w:p>
        </w:tc>
        <w:tc>
          <w:tcPr>
            <w:tcW w:w="851" w:type="dxa"/>
          </w:tcPr>
          <w:p w14:paraId="7E889B26"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53</w:t>
            </w:r>
          </w:p>
        </w:tc>
      </w:tr>
      <w:tr w:rsidR="002D25B6" w:rsidRPr="00E2630C" w14:paraId="786755A6" w14:textId="77777777" w:rsidTr="003315F5">
        <w:tc>
          <w:tcPr>
            <w:tcW w:w="603" w:type="dxa"/>
          </w:tcPr>
          <w:p w14:paraId="1147AC37"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9</w:t>
            </w:r>
          </w:p>
        </w:tc>
        <w:tc>
          <w:tcPr>
            <w:tcW w:w="1616" w:type="dxa"/>
          </w:tcPr>
          <w:p w14:paraId="05A6806B"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Bobgu N-Nye Yaa Farmers Association</w:t>
            </w:r>
          </w:p>
        </w:tc>
        <w:tc>
          <w:tcPr>
            <w:tcW w:w="2119" w:type="dxa"/>
          </w:tcPr>
          <w:p w14:paraId="5F993274"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Millet, Sorghum, cassava and Yam</w:t>
            </w:r>
          </w:p>
        </w:tc>
        <w:tc>
          <w:tcPr>
            <w:tcW w:w="1800" w:type="dxa"/>
          </w:tcPr>
          <w:p w14:paraId="13318514"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10</w:t>
            </w:r>
          </w:p>
        </w:tc>
        <w:tc>
          <w:tcPr>
            <w:tcW w:w="1080" w:type="dxa"/>
          </w:tcPr>
          <w:p w14:paraId="6DCB0A2F"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15</w:t>
            </w:r>
          </w:p>
        </w:tc>
        <w:tc>
          <w:tcPr>
            <w:tcW w:w="851" w:type="dxa"/>
          </w:tcPr>
          <w:p w14:paraId="21529693"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25</w:t>
            </w:r>
          </w:p>
        </w:tc>
      </w:tr>
      <w:tr w:rsidR="002D25B6" w:rsidRPr="00E2630C" w14:paraId="45AE949A" w14:textId="77777777" w:rsidTr="003315F5">
        <w:tc>
          <w:tcPr>
            <w:tcW w:w="603" w:type="dxa"/>
          </w:tcPr>
          <w:p w14:paraId="2F4DAFC0"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10</w:t>
            </w:r>
          </w:p>
        </w:tc>
        <w:tc>
          <w:tcPr>
            <w:tcW w:w="1616" w:type="dxa"/>
          </w:tcPr>
          <w:p w14:paraId="525C28B3"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Shinkafa Buni Farmers Association</w:t>
            </w:r>
          </w:p>
        </w:tc>
        <w:tc>
          <w:tcPr>
            <w:tcW w:w="2119" w:type="dxa"/>
          </w:tcPr>
          <w:p w14:paraId="34922D99"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Rice </w:t>
            </w:r>
          </w:p>
        </w:tc>
        <w:tc>
          <w:tcPr>
            <w:tcW w:w="1800" w:type="dxa"/>
          </w:tcPr>
          <w:p w14:paraId="66EC26DD"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9 </w:t>
            </w:r>
          </w:p>
          <w:p w14:paraId="0C9BD5CA" w14:textId="77777777" w:rsidR="00CD3724" w:rsidRPr="00E2630C" w:rsidRDefault="00CD3724" w:rsidP="003315F5">
            <w:pPr>
              <w:jc w:val="both"/>
              <w:rPr>
                <w:rFonts w:ascii="Times New Roman" w:hAnsi="Times New Roman" w:cs="Times New Roman"/>
                <w:color w:val="000000" w:themeColor="text1"/>
                <w:sz w:val="24"/>
                <w:szCs w:val="24"/>
              </w:rPr>
            </w:pPr>
          </w:p>
        </w:tc>
        <w:tc>
          <w:tcPr>
            <w:tcW w:w="1080" w:type="dxa"/>
          </w:tcPr>
          <w:p w14:paraId="51655044"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8</w:t>
            </w:r>
          </w:p>
        </w:tc>
        <w:tc>
          <w:tcPr>
            <w:tcW w:w="851" w:type="dxa"/>
          </w:tcPr>
          <w:p w14:paraId="36C52F26"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17</w:t>
            </w:r>
          </w:p>
        </w:tc>
      </w:tr>
      <w:tr w:rsidR="002D25B6" w:rsidRPr="00E2630C" w14:paraId="78775927" w14:textId="77777777" w:rsidTr="003315F5">
        <w:tc>
          <w:tcPr>
            <w:tcW w:w="603" w:type="dxa"/>
          </w:tcPr>
          <w:p w14:paraId="5587C2F1"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11</w:t>
            </w:r>
          </w:p>
        </w:tc>
        <w:tc>
          <w:tcPr>
            <w:tcW w:w="1616" w:type="dxa"/>
          </w:tcPr>
          <w:p w14:paraId="544E8013"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Gubdanda Farmers Association</w:t>
            </w:r>
          </w:p>
        </w:tc>
        <w:tc>
          <w:tcPr>
            <w:tcW w:w="2119" w:type="dxa"/>
          </w:tcPr>
          <w:p w14:paraId="629441A6"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Pepe, Okro and Cassava</w:t>
            </w:r>
          </w:p>
        </w:tc>
        <w:tc>
          <w:tcPr>
            <w:tcW w:w="1800" w:type="dxa"/>
          </w:tcPr>
          <w:p w14:paraId="6CA77AF5"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33</w:t>
            </w:r>
          </w:p>
          <w:p w14:paraId="7024FA4B" w14:textId="77777777" w:rsidR="00CD3724" w:rsidRPr="00E2630C" w:rsidRDefault="00CD3724" w:rsidP="003315F5">
            <w:pPr>
              <w:jc w:val="both"/>
              <w:rPr>
                <w:rFonts w:ascii="Times New Roman" w:hAnsi="Times New Roman" w:cs="Times New Roman"/>
                <w:color w:val="000000" w:themeColor="text1"/>
                <w:sz w:val="24"/>
                <w:szCs w:val="24"/>
              </w:rPr>
            </w:pPr>
          </w:p>
        </w:tc>
        <w:tc>
          <w:tcPr>
            <w:tcW w:w="1080" w:type="dxa"/>
          </w:tcPr>
          <w:p w14:paraId="55A301A9"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16</w:t>
            </w:r>
          </w:p>
        </w:tc>
        <w:tc>
          <w:tcPr>
            <w:tcW w:w="851" w:type="dxa"/>
          </w:tcPr>
          <w:p w14:paraId="69839851"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49</w:t>
            </w:r>
          </w:p>
        </w:tc>
      </w:tr>
      <w:tr w:rsidR="002D25B6" w:rsidRPr="00E2630C" w14:paraId="740C316F" w14:textId="77777777" w:rsidTr="003315F5">
        <w:tc>
          <w:tcPr>
            <w:tcW w:w="603" w:type="dxa"/>
          </w:tcPr>
          <w:p w14:paraId="15A4256E"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12</w:t>
            </w:r>
          </w:p>
        </w:tc>
        <w:tc>
          <w:tcPr>
            <w:tcW w:w="1616" w:type="dxa"/>
          </w:tcPr>
          <w:p w14:paraId="553CB4F7"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Kpalsogu Farmers Association</w:t>
            </w:r>
          </w:p>
        </w:tc>
        <w:tc>
          <w:tcPr>
            <w:tcW w:w="2119" w:type="dxa"/>
          </w:tcPr>
          <w:p w14:paraId="14F756ED"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Yam, Soya beans, Rice, Maize and Groundnut.</w:t>
            </w:r>
          </w:p>
        </w:tc>
        <w:tc>
          <w:tcPr>
            <w:tcW w:w="1800" w:type="dxa"/>
          </w:tcPr>
          <w:p w14:paraId="6FCE8ADA"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35 </w:t>
            </w:r>
          </w:p>
          <w:p w14:paraId="61B1B558" w14:textId="77777777" w:rsidR="00CD3724" w:rsidRPr="00E2630C" w:rsidRDefault="00CD3724" w:rsidP="003315F5">
            <w:pPr>
              <w:jc w:val="both"/>
              <w:rPr>
                <w:rFonts w:ascii="Times New Roman" w:hAnsi="Times New Roman" w:cs="Times New Roman"/>
                <w:color w:val="000000" w:themeColor="text1"/>
                <w:sz w:val="24"/>
                <w:szCs w:val="24"/>
              </w:rPr>
            </w:pPr>
          </w:p>
        </w:tc>
        <w:tc>
          <w:tcPr>
            <w:tcW w:w="1080" w:type="dxa"/>
          </w:tcPr>
          <w:p w14:paraId="7986DD63"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33</w:t>
            </w:r>
          </w:p>
        </w:tc>
        <w:tc>
          <w:tcPr>
            <w:tcW w:w="851" w:type="dxa"/>
          </w:tcPr>
          <w:p w14:paraId="45E818CC"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68</w:t>
            </w:r>
          </w:p>
        </w:tc>
      </w:tr>
      <w:tr w:rsidR="002D25B6" w:rsidRPr="00E2630C" w14:paraId="489FA334" w14:textId="77777777" w:rsidTr="003315F5">
        <w:tc>
          <w:tcPr>
            <w:tcW w:w="603" w:type="dxa"/>
          </w:tcPr>
          <w:p w14:paraId="12D15BAC" w14:textId="77777777" w:rsidR="00CD3724" w:rsidRPr="00E2630C" w:rsidRDefault="00CD3724" w:rsidP="003315F5">
            <w:pPr>
              <w:jc w:val="both"/>
              <w:rPr>
                <w:rFonts w:ascii="Times New Roman" w:hAnsi="Times New Roman" w:cs="Times New Roman"/>
                <w:color w:val="000000" w:themeColor="text1"/>
                <w:sz w:val="24"/>
                <w:szCs w:val="24"/>
              </w:rPr>
            </w:pPr>
          </w:p>
        </w:tc>
        <w:tc>
          <w:tcPr>
            <w:tcW w:w="1616" w:type="dxa"/>
          </w:tcPr>
          <w:p w14:paraId="04B6A224"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Total </w:t>
            </w:r>
          </w:p>
        </w:tc>
        <w:tc>
          <w:tcPr>
            <w:tcW w:w="2119" w:type="dxa"/>
          </w:tcPr>
          <w:p w14:paraId="6D76EB95" w14:textId="77777777" w:rsidR="00CD3724" w:rsidRPr="00E2630C" w:rsidRDefault="00CD3724" w:rsidP="003315F5">
            <w:pPr>
              <w:jc w:val="both"/>
              <w:rPr>
                <w:rFonts w:ascii="Times New Roman" w:hAnsi="Times New Roman" w:cs="Times New Roman"/>
                <w:color w:val="000000" w:themeColor="text1"/>
                <w:sz w:val="24"/>
                <w:szCs w:val="24"/>
              </w:rPr>
            </w:pPr>
          </w:p>
        </w:tc>
        <w:tc>
          <w:tcPr>
            <w:tcW w:w="1800" w:type="dxa"/>
          </w:tcPr>
          <w:p w14:paraId="0638AF4A"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250</w:t>
            </w:r>
          </w:p>
        </w:tc>
        <w:tc>
          <w:tcPr>
            <w:tcW w:w="1080" w:type="dxa"/>
          </w:tcPr>
          <w:p w14:paraId="47A95C9C"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217</w:t>
            </w:r>
          </w:p>
        </w:tc>
        <w:tc>
          <w:tcPr>
            <w:tcW w:w="851" w:type="dxa"/>
          </w:tcPr>
          <w:p w14:paraId="4752A563"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467</w:t>
            </w:r>
          </w:p>
        </w:tc>
      </w:tr>
      <w:tr w:rsidR="002D25B6" w:rsidRPr="00E2630C" w14:paraId="589D8DEB" w14:textId="77777777" w:rsidTr="003315F5">
        <w:tc>
          <w:tcPr>
            <w:tcW w:w="2219" w:type="dxa"/>
            <w:gridSpan w:val="2"/>
          </w:tcPr>
          <w:p w14:paraId="2F44CC5F"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Total Selected </w:t>
            </w:r>
          </w:p>
          <w:p w14:paraId="7D61211D"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Respondents (a)</w:t>
            </w:r>
          </w:p>
        </w:tc>
        <w:tc>
          <w:tcPr>
            <w:tcW w:w="2119" w:type="dxa"/>
          </w:tcPr>
          <w:p w14:paraId="1240561D" w14:textId="77777777" w:rsidR="00CD3724" w:rsidRPr="00E2630C" w:rsidRDefault="00CD3724" w:rsidP="003315F5">
            <w:pPr>
              <w:jc w:val="both"/>
              <w:rPr>
                <w:rFonts w:ascii="Times New Roman" w:hAnsi="Times New Roman" w:cs="Times New Roman"/>
                <w:color w:val="000000" w:themeColor="text1"/>
                <w:sz w:val="24"/>
                <w:szCs w:val="24"/>
              </w:rPr>
            </w:pPr>
          </w:p>
        </w:tc>
        <w:tc>
          <w:tcPr>
            <w:tcW w:w="1800" w:type="dxa"/>
          </w:tcPr>
          <w:p w14:paraId="493464AF"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115</w:t>
            </w:r>
          </w:p>
        </w:tc>
        <w:tc>
          <w:tcPr>
            <w:tcW w:w="1080" w:type="dxa"/>
          </w:tcPr>
          <w:p w14:paraId="7A0778B8"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100</w:t>
            </w:r>
          </w:p>
        </w:tc>
        <w:tc>
          <w:tcPr>
            <w:tcW w:w="851" w:type="dxa"/>
          </w:tcPr>
          <w:p w14:paraId="0BAF214F"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215</w:t>
            </w:r>
          </w:p>
        </w:tc>
      </w:tr>
      <w:tr w:rsidR="002D25B6" w:rsidRPr="00E2630C" w14:paraId="2CB6598B" w14:textId="77777777" w:rsidTr="003315F5">
        <w:tc>
          <w:tcPr>
            <w:tcW w:w="2219" w:type="dxa"/>
            <w:gridSpan w:val="2"/>
          </w:tcPr>
          <w:p w14:paraId="2F5A4F62"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Livestock Farmers Association</w:t>
            </w:r>
          </w:p>
        </w:tc>
        <w:tc>
          <w:tcPr>
            <w:tcW w:w="2119" w:type="dxa"/>
          </w:tcPr>
          <w:p w14:paraId="36A4225E"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Cattle/Goats/sheep </w:t>
            </w:r>
          </w:p>
        </w:tc>
        <w:tc>
          <w:tcPr>
            <w:tcW w:w="1800" w:type="dxa"/>
          </w:tcPr>
          <w:p w14:paraId="51C739BA"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150</w:t>
            </w:r>
          </w:p>
        </w:tc>
        <w:tc>
          <w:tcPr>
            <w:tcW w:w="1080" w:type="dxa"/>
          </w:tcPr>
          <w:p w14:paraId="62FE7CA5"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35</w:t>
            </w:r>
          </w:p>
        </w:tc>
        <w:tc>
          <w:tcPr>
            <w:tcW w:w="851" w:type="dxa"/>
          </w:tcPr>
          <w:p w14:paraId="5800AB3E"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185</w:t>
            </w:r>
          </w:p>
        </w:tc>
      </w:tr>
      <w:tr w:rsidR="002D25B6" w:rsidRPr="00E2630C" w14:paraId="21531804" w14:textId="77777777" w:rsidTr="003315F5">
        <w:tc>
          <w:tcPr>
            <w:tcW w:w="2219" w:type="dxa"/>
            <w:gridSpan w:val="2"/>
          </w:tcPr>
          <w:p w14:paraId="6A95F22D"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Total Selected </w:t>
            </w:r>
          </w:p>
          <w:p w14:paraId="15788988" w14:textId="77777777" w:rsidR="00CD3724" w:rsidRPr="00E2630C" w:rsidRDefault="00CD3724" w:rsidP="003315F5">
            <w:pPr>
              <w:jc w:val="both"/>
              <w:rPr>
                <w:rFonts w:ascii="Times New Roman" w:hAnsi="Times New Roman" w:cs="Times New Roman"/>
                <w:color w:val="000000" w:themeColor="text1"/>
                <w:sz w:val="24"/>
                <w:szCs w:val="24"/>
              </w:rPr>
            </w:pPr>
            <w:r w:rsidRPr="00E2630C">
              <w:rPr>
                <w:rFonts w:ascii="Times New Roman" w:hAnsi="Times New Roman" w:cs="Times New Roman"/>
                <w:b/>
                <w:color w:val="000000" w:themeColor="text1"/>
                <w:sz w:val="24"/>
                <w:szCs w:val="24"/>
              </w:rPr>
              <w:t>Respondents (b)</w:t>
            </w:r>
          </w:p>
        </w:tc>
        <w:tc>
          <w:tcPr>
            <w:tcW w:w="2119" w:type="dxa"/>
          </w:tcPr>
          <w:p w14:paraId="4C40F06F" w14:textId="77777777" w:rsidR="00CD3724" w:rsidRPr="00E2630C" w:rsidRDefault="00CD3724" w:rsidP="003315F5">
            <w:pPr>
              <w:jc w:val="both"/>
              <w:rPr>
                <w:rFonts w:ascii="Times New Roman" w:hAnsi="Times New Roman" w:cs="Times New Roman"/>
                <w:color w:val="000000" w:themeColor="text1"/>
                <w:sz w:val="24"/>
                <w:szCs w:val="24"/>
              </w:rPr>
            </w:pPr>
          </w:p>
        </w:tc>
        <w:tc>
          <w:tcPr>
            <w:tcW w:w="1800" w:type="dxa"/>
          </w:tcPr>
          <w:p w14:paraId="7254BDD8"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102</w:t>
            </w:r>
          </w:p>
        </w:tc>
        <w:tc>
          <w:tcPr>
            <w:tcW w:w="1080" w:type="dxa"/>
          </w:tcPr>
          <w:p w14:paraId="3803FA69"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24</w:t>
            </w:r>
          </w:p>
        </w:tc>
        <w:tc>
          <w:tcPr>
            <w:tcW w:w="851" w:type="dxa"/>
          </w:tcPr>
          <w:p w14:paraId="0BAA5A33"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126</w:t>
            </w:r>
          </w:p>
        </w:tc>
      </w:tr>
      <w:tr w:rsidR="002D25B6" w:rsidRPr="00E2630C" w14:paraId="4BBD2F4D" w14:textId="77777777" w:rsidTr="003315F5">
        <w:tc>
          <w:tcPr>
            <w:tcW w:w="2219" w:type="dxa"/>
            <w:gridSpan w:val="2"/>
          </w:tcPr>
          <w:p w14:paraId="0BCD21DB"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Grand Total selected (a + b)</w:t>
            </w:r>
          </w:p>
        </w:tc>
        <w:tc>
          <w:tcPr>
            <w:tcW w:w="2119" w:type="dxa"/>
          </w:tcPr>
          <w:p w14:paraId="57987E36" w14:textId="77777777" w:rsidR="00CD3724" w:rsidRPr="00E2630C" w:rsidRDefault="00CD3724" w:rsidP="003315F5">
            <w:pPr>
              <w:jc w:val="both"/>
              <w:rPr>
                <w:rFonts w:ascii="Times New Roman" w:hAnsi="Times New Roman" w:cs="Times New Roman"/>
                <w:color w:val="000000" w:themeColor="text1"/>
                <w:sz w:val="24"/>
                <w:szCs w:val="24"/>
              </w:rPr>
            </w:pPr>
          </w:p>
        </w:tc>
        <w:tc>
          <w:tcPr>
            <w:tcW w:w="1800" w:type="dxa"/>
          </w:tcPr>
          <w:p w14:paraId="102ECB8A"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217</w:t>
            </w:r>
          </w:p>
        </w:tc>
        <w:tc>
          <w:tcPr>
            <w:tcW w:w="1080" w:type="dxa"/>
          </w:tcPr>
          <w:p w14:paraId="6E433284"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124</w:t>
            </w:r>
          </w:p>
        </w:tc>
        <w:tc>
          <w:tcPr>
            <w:tcW w:w="851" w:type="dxa"/>
          </w:tcPr>
          <w:p w14:paraId="22F5D370" w14:textId="77777777" w:rsidR="00CD3724" w:rsidRPr="00E2630C" w:rsidRDefault="00CD3724" w:rsidP="003315F5">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341</w:t>
            </w:r>
          </w:p>
        </w:tc>
      </w:tr>
    </w:tbl>
    <w:p w14:paraId="33CC7EFB" w14:textId="77777777" w:rsidR="00CD3724" w:rsidRPr="00E2630C" w:rsidRDefault="00CD3724" w:rsidP="00CD3724">
      <w:pPr>
        <w:spacing w:line="360" w:lineRule="auto"/>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Field Study as informed by MoFa Report, Bimbilla, 2023</w:t>
      </w:r>
    </w:p>
    <w:p w14:paraId="47302D23" w14:textId="77777777" w:rsidR="00CD3724" w:rsidRPr="00E2630C" w:rsidRDefault="00CD3724" w:rsidP="00CD3724">
      <w:pPr>
        <w:pStyle w:val="NoSpacing"/>
        <w:rPr>
          <w:rFonts w:ascii="Times New Roman" w:hAnsi="Times New Roman" w:cs="Times New Roman"/>
          <w:color w:val="000000" w:themeColor="text1"/>
          <w:sz w:val="24"/>
          <w:szCs w:val="24"/>
        </w:rPr>
      </w:pPr>
    </w:p>
    <w:p w14:paraId="1E407C45" w14:textId="5AEA60D1" w:rsidR="00CD3724" w:rsidRPr="00E2630C" w:rsidRDefault="00CD3724" w:rsidP="008107E3">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By using </w:t>
      </w:r>
      <w:bookmarkStart w:id="80" w:name="_Hlk165547398"/>
      <w:r w:rsidRPr="00E2630C">
        <w:rPr>
          <w:rFonts w:ascii="Times New Roman" w:hAnsi="Times New Roman" w:cs="Times New Roman"/>
          <w:color w:val="000000" w:themeColor="text1"/>
          <w:sz w:val="24"/>
          <w:szCs w:val="24"/>
        </w:rPr>
        <w:t>Yamane's</w:t>
      </w:r>
      <w:bookmarkEnd w:id="80"/>
      <w:r w:rsidRPr="00E2630C">
        <w:rPr>
          <w:rFonts w:ascii="Times New Roman" w:hAnsi="Times New Roman" w:cs="Times New Roman"/>
          <w:color w:val="000000" w:themeColor="text1"/>
          <w:sz w:val="24"/>
          <w:szCs w:val="24"/>
        </w:rPr>
        <w:t xml:space="preserve"> (1967) sample size determination approach, the researcher was able to choose the necessary 215 farmers and 126 livestock farmers, respectively</w:t>
      </w:r>
      <w:r w:rsidR="003315F5" w:rsidRPr="00E2630C">
        <w:rPr>
          <w:rFonts w:ascii="Times New Roman" w:hAnsi="Times New Roman" w:cs="Times New Roman"/>
          <w:color w:val="000000" w:themeColor="text1"/>
          <w:sz w:val="24"/>
          <w:szCs w:val="24"/>
        </w:rPr>
        <w:t xml:space="preserve"> totalling 341. Following this,</w:t>
      </w:r>
      <w:r w:rsidRPr="00E2630C">
        <w:rPr>
          <w:rFonts w:ascii="Times New Roman" w:hAnsi="Times New Roman" w:cs="Times New Roman"/>
          <w:color w:val="000000" w:themeColor="text1"/>
          <w:sz w:val="24"/>
          <w:szCs w:val="24"/>
        </w:rPr>
        <w:t xml:space="preserve"> a proportionate sampling was used to </w:t>
      </w:r>
      <w:r w:rsidR="003315F5" w:rsidRPr="00E2630C">
        <w:rPr>
          <w:rFonts w:ascii="Times New Roman" w:hAnsi="Times New Roman" w:cs="Times New Roman"/>
          <w:color w:val="000000" w:themeColor="text1"/>
          <w:sz w:val="24"/>
          <w:szCs w:val="24"/>
        </w:rPr>
        <w:t xml:space="preserve">select specific </w:t>
      </w:r>
      <w:r w:rsidRPr="00E2630C">
        <w:rPr>
          <w:rFonts w:ascii="Times New Roman" w:hAnsi="Times New Roman" w:cs="Times New Roman"/>
          <w:color w:val="000000" w:themeColor="text1"/>
          <w:sz w:val="24"/>
          <w:szCs w:val="24"/>
        </w:rPr>
        <w:t>number of male</w:t>
      </w:r>
      <w:r w:rsidR="003315F5" w:rsidRPr="00E2630C">
        <w:rPr>
          <w:rFonts w:ascii="Times New Roman" w:hAnsi="Times New Roman" w:cs="Times New Roman"/>
          <w:color w:val="000000" w:themeColor="text1"/>
          <w:sz w:val="24"/>
          <w:szCs w:val="24"/>
        </w:rPr>
        <w:t>s</w:t>
      </w:r>
      <w:r w:rsidRPr="00E2630C">
        <w:rPr>
          <w:rFonts w:ascii="Times New Roman" w:hAnsi="Times New Roman" w:cs="Times New Roman"/>
          <w:color w:val="000000" w:themeColor="text1"/>
          <w:sz w:val="24"/>
          <w:szCs w:val="24"/>
        </w:rPr>
        <w:t xml:space="preserve"> and female</w:t>
      </w:r>
      <w:r w:rsidR="003315F5" w:rsidRPr="00E2630C">
        <w:rPr>
          <w:rFonts w:ascii="Times New Roman" w:hAnsi="Times New Roman" w:cs="Times New Roman"/>
          <w:color w:val="000000" w:themeColor="text1"/>
          <w:sz w:val="24"/>
          <w:szCs w:val="24"/>
        </w:rPr>
        <w:t>s</w:t>
      </w:r>
      <w:r w:rsidRPr="00E2630C">
        <w:rPr>
          <w:rFonts w:ascii="Times New Roman" w:hAnsi="Times New Roman" w:cs="Times New Roman"/>
          <w:color w:val="000000" w:themeColor="text1"/>
          <w:sz w:val="24"/>
          <w:szCs w:val="24"/>
        </w:rPr>
        <w:t xml:space="preserve"> </w:t>
      </w:r>
      <w:r w:rsidR="003315F5" w:rsidRPr="00E2630C">
        <w:rPr>
          <w:rFonts w:ascii="Times New Roman" w:hAnsi="Times New Roman" w:cs="Times New Roman"/>
          <w:color w:val="000000" w:themeColor="text1"/>
          <w:sz w:val="24"/>
          <w:szCs w:val="24"/>
        </w:rPr>
        <w:t>from the respective association</w:t>
      </w:r>
      <w:r w:rsidRPr="00E2630C">
        <w:rPr>
          <w:rFonts w:ascii="Times New Roman" w:hAnsi="Times New Roman" w:cs="Times New Roman"/>
          <w:color w:val="000000" w:themeColor="text1"/>
          <w:sz w:val="24"/>
          <w:szCs w:val="24"/>
        </w:rPr>
        <w:t>. The following represents the sample size determined by the study using Yamen's (1967:886) sample size formula:</w:t>
      </w:r>
    </w:p>
    <w:p w14:paraId="2AEC33C4"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 = N/</w:t>
      </w:r>
      <w:r w:rsidRPr="00E2630C">
        <w:rPr>
          <w:rFonts w:ascii="Times New Roman" w:eastAsia="Cambria Math" w:hAnsi="Times New Roman" w:cs="Times New Roman"/>
          <w:color w:val="000000" w:themeColor="text1"/>
          <w:sz w:val="24"/>
          <w:szCs w:val="24"/>
        </w:rPr>
        <w:t>〖</w:t>
      </w:r>
      <w:r w:rsidRPr="00E2630C">
        <w:rPr>
          <w:rFonts w:ascii="Times New Roman" w:hAnsi="Times New Roman" w:cs="Times New Roman"/>
          <w:color w:val="000000" w:themeColor="text1"/>
          <w:sz w:val="24"/>
          <w:szCs w:val="24"/>
        </w:rPr>
        <w:t>1 + N(e)</w:t>
      </w:r>
      <w:r w:rsidRPr="00E2630C">
        <w:rPr>
          <w:rFonts w:ascii="Times New Roman" w:eastAsia="Cambria Math" w:hAnsi="Times New Roman" w:cs="Times New Roman"/>
          <w:color w:val="000000" w:themeColor="text1"/>
          <w:sz w:val="24"/>
          <w:szCs w:val="24"/>
        </w:rPr>
        <w:t>〗</w:t>
      </w:r>
      <w:r w:rsidRPr="00E2630C">
        <w:rPr>
          <w:rFonts w:ascii="Times New Roman" w:hAnsi="Times New Roman" w:cs="Times New Roman"/>
          <w:color w:val="000000" w:themeColor="text1"/>
          <w:sz w:val="24"/>
          <w:szCs w:val="24"/>
        </w:rPr>
        <w:t>^2</w:t>
      </w:r>
    </w:p>
    <w:p w14:paraId="428AB1BB" w14:textId="1CE514FE"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b/>
          <w:color w:val="000000" w:themeColor="text1"/>
          <w:sz w:val="24"/>
          <w:szCs w:val="24"/>
        </w:rPr>
        <w:t xml:space="preserve">For </w:t>
      </w:r>
      <w:r w:rsidR="003315F5" w:rsidRPr="00E2630C">
        <w:rPr>
          <w:rFonts w:ascii="Times New Roman" w:hAnsi="Times New Roman" w:cs="Times New Roman"/>
          <w:b/>
          <w:color w:val="000000" w:themeColor="text1"/>
          <w:sz w:val="24"/>
          <w:szCs w:val="24"/>
        </w:rPr>
        <w:t xml:space="preserve">Crop </w:t>
      </w:r>
      <w:r w:rsidRPr="00E2630C">
        <w:rPr>
          <w:rFonts w:ascii="Times New Roman" w:hAnsi="Times New Roman" w:cs="Times New Roman"/>
          <w:b/>
          <w:color w:val="000000" w:themeColor="text1"/>
          <w:sz w:val="24"/>
          <w:szCs w:val="24"/>
        </w:rPr>
        <w:t>farmers</w:t>
      </w:r>
      <w:r w:rsidRPr="00E2630C">
        <w:rPr>
          <w:rFonts w:ascii="Times New Roman" w:hAnsi="Times New Roman" w:cs="Times New Roman"/>
          <w:color w:val="000000" w:themeColor="text1"/>
          <w:sz w:val="24"/>
          <w:szCs w:val="24"/>
        </w:rPr>
        <w:t>, N = Sample Frame (467)</w:t>
      </w:r>
    </w:p>
    <w:p w14:paraId="5DD1305E"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 = sample or sample size</w:t>
      </w:r>
    </w:p>
    <w:p w14:paraId="3D397365"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e = error margin (0.05)</w:t>
      </w:r>
    </w:p>
    <w:p w14:paraId="600CBD16"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For Male Farmers: n=250/(1+250(0.05)</w:t>
      </w:r>
      <w:r w:rsidRPr="00E2630C">
        <w:rPr>
          <w:rFonts w:ascii="Times New Roman" w:hAnsi="Times New Roman" w:cs="Times New Roman"/>
          <w:color w:val="000000" w:themeColor="text1"/>
          <w:sz w:val="24"/>
          <w:szCs w:val="24"/>
          <w:vertAlign w:val="superscript"/>
        </w:rPr>
        <w:t>2</w:t>
      </w:r>
      <w:r w:rsidRPr="00E2630C">
        <w:rPr>
          <w:rFonts w:ascii="Times New Roman" w:hAnsi="Times New Roman" w:cs="Times New Roman"/>
          <w:color w:val="000000" w:themeColor="text1"/>
          <w:sz w:val="24"/>
          <w:szCs w:val="24"/>
        </w:rPr>
        <w:t>= 115</w:t>
      </w:r>
    </w:p>
    <w:p w14:paraId="63BED533"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For Female Farmers: n=217/(1+217(0.05)</w:t>
      </w:r>
      <w:r w:rsidRPr="00E2630C">
        <w:rPr>
          <w:rFonts w:ascii="Times New Roman" w:hAnsi="Times New Roman" w:cs="Times New Roman"/>
          <w:color w:val="000000" w:themeColor="text1"/>
          <w:sz w:val="24"/>
          <w:szCs w:val="24"/>
          <w:vertAlign w:val="superscript"/>
        </w:rPr>
        <w:t>2</w:t>
      </w:r>
      <w:r w:rsidRPr="00E2630C">
        <w:rPr>
          <w:rFonts w:ascii="Times New Roman" w:hAnsi="Times New Roman" w:cs="Times New Roman"/>
          <w:color w:val="000000" w:themeColor="text1"/>
          <w:sz w:val="24"/>
          <w:szCs w:val="24"/>
        </w:rPr>
        <w:t>= 100</w:t>
      </w:r>
    </w:p>
    <w:p w14:paraId="2B05E80F"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Total respondents of farmers =215 (115+100)</w:t>
      </w:r>
    </w:p>
    <w:p w14:paraId="1CA45BD2" w14:textId="77777777" w:rsidR="00CD3724" w:rsidRPr="00E2630C" w:rsidRDefault="00CD3724" w:rsidP="00CD3724">
      <w:pPr>
        <w:pStyle w:val="NoSpacing"/>
        <w:rPr>
          <w:rFonts w:ascii="Times New Roman" w:hAnsi="Times New Roman" w:cs="Times New Roman"/>
          <w:color w:val="000000" w:themeColor="text1"/>
          <w:sz w:val="24"/>
          <w:szCs w:val="24"/>
        </w:rPr>
      </w:pPr>
    </w:p>
    <w:p w14:paraId="68634EFE"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b/>
          <w:color w:val="000000" w:themeColor="text1"/>
          <w:sz w:val="24"/>
          <w:szCs w:val="24"/>
        </w:rPr>
        <w:t>For Livestock farmers</w:t>
      </w:r>
      <w:r w:rsidRPr="00E2630C">
        <w:rPr>
          <w:rFonts w:ascii="Times New Roman" w:hAnsi="Times New Roman" w:cs="Times New Roman"/>
          <w:color w:val="000000" w:themeColor="text1"/>
          <w:sz w:val="24"/>
          <w:szCs w:val="24"/>
        </w:rPr>
        <w:t>, N = Sample Frame (185)</w:t>
      </w:r>
    </w:p>
    <w:p w14:paraId="44DA5FF5"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 = sample or sample size</w:t>
      </w:r>
    </w:p>
    <w:p w14:paraId="08A0133F"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e = error margin (0.05)</w:t>
      </w:r>
    </w:p>
    <w:p w14:paraId="000F182E"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For Male Livestock Farmers: n=150/(1+150(0.05)</w:t>
      </w:r>
      <w:r w:rsidRPr="00E2630C">
        <w:rPr>
          <w:rFonts w:ascii="Times New Roman" w:hAnsi="Times New Roman" w:cs="Times New Roman"/>
          <w:color w:val="000000" w:themeColor="text1"/>
          <w:sz w:val="24"/>
          <w:szCs w:val="24"/>
          <w:vertAlign w:val="superscript"/>
        </w:rPr>
        <w:t>2</w:t>
      </w:r>
      <w:r w:rsidRPr="00E2630C">
        <w:rPr>
          <w:rFonts w:ascii="Times New Roman" w:hAnsi="Times New Roman" w:cs="Times New Roman"/>
          <w:color w:val="000000" w:themeColor="text1"/>
          <w:sz w:val="24"/>
          <w:szCs w:val="24"/>
        </w:rPr>
        <w:t>= 115</w:t>
      </w:r>
    </w:p>
    <w:p w14:paraId="5E1F4A57"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For Female Livestock Farmers: n=35/(1+35(0.05)</w:t>
      </w:r>
      <w:r w:rsidRPr="00E2630C">
        <w:rPr>
          <w:rFonts w:ascii="Times New Roman" w:hAnsi="Times New Roman" w:cs="Times New Roman"/>
          <w:color w:val="000000" w:themeColor="text1"/>
          <w:sz w:val="24"/>
          <w:szCs w:val="24"/>
          <w:vertAlign w:val="superscript"/>
        </w:rPr>
        <w:t>2</w:t>
      </w:r>
      <w:r w:rsidRPr="00E2630C">
        <w:rPr>
          <w:rFonts w:ascii="Times New Roman" w:hAnsi="Times New Roman" w:cs="Times New Roman"/>
          <w:color w:val="000000" w:themeColor="text1"/>
          <w:sz w:val="24"/>
          <w:szCs w:val="24"/>
        </w:rPr>
        <w:t>= 100</w:t>
      </w:r>
    </w:p>
    <w:p w14:paraId="7173DD32"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Total respondents of Livestock farmers =126 (102+24)</w:t>
      </w:r>
    </w:p>
    <w:p w14:paraId="04F9BCBB"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In combination with the respondents who were selected purposely, the study made use of a combined sample size of 391 respondents drawn from different backgrounds comprising 254 males and 137 males. This ensured that the views of relatively all potential targeted respondents were properly catered for. </w:t>
      </w:r>
    </w:p>
    <w:p w14:paraId="7BCA0542" w14:textId="77777777" w:rsidR="00CD3724" w:rsidRPr="00E2630C" w:rsidRDefault="00CD3724" w:rsidP="00990904">
      <w:pPr>
        <w:pStyle w:val="NoSpacing"/>
      </w:pPr>
    </w:p>
    <w:p w14:paraId="10389F14" w14:textId="5348A673" w:rsidR="00CD3724" w:rsidRPr="00E2630C" w:rsidRDefault="00CD3724" w:rsidP="00990904">
      <w:pPr>
        <w:pStyle w:val="Heading2"/>
      </w:pPr>
      <w:bookmarkStart w:id="81" w:name="_Toc182386266"/>
      <w:r w:rsidRPr="00E2630C">
        <w:t>3.</w:t>
      </w:r>
      <w:r w:rsidR="00DD112B">
        <w:t>7</w:t>
      </w:r>
      <w:r w:rsidRPr="00E2630C">
        <w:t xml:space="preserve"> Source of Data Collection</w:t>
      </w:r>
      <w:bookmarkEnd w:id="81"/>
      <w:r w:rsidRPr="00E2630C">
        <w:tab/>
      </w:r>
      <w:r w:rsidRPr="00E2630C">
        <w:tab/>
      </w:r>
    </w:p>
    <w:p w14:paraId="673B7D88" w14:textId="657B35B5"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w:t>
      </w:r>
      <w:r w:rsidR="003315F5" w:rsidRPr="00E2630C">
        <w:rPr>
          <w:rFonts w:ascii="Times New Roman" w:hAnsi="Times New Roman" w:cs="Times New Roman"/>
          <w:color w:val="000000" w:themeColor="text1"/>
          <w:sz w:val="24"/>
          <w:szCs w:val="24"/>
        </w:rPr>
        <w:t xml:space="preserve">he study relied on </w:t>
      </w:r>
      <w:r w:rsidRPr="00E2630C">
        <w:rPr>
          <w:rFonts w:ascii="Times New Roman" w:hAnsi="Times New Roman" w:cs="Times New Roman"/>
          <w:color w:val="000000" w:themeColor="text1"/>
          <w:sz w:val="24"/>
          <w:szCs w:val="24"/>
        </w:rPr>
        <w:t>both primary and secondary sources. The researcher was able to overcome the drawbacks of depending only on one source because to the complementing roles played by primary data and secondary information. Additionally, it offered the researcher a comprehensive understanding of the issue at hand. Questionnaire administration, focus group discussions, and interviews were the primary methods of data collection. Secondary sources of information were generated through critical appraisal of relevant existing literature on the topic.</w:t>
      </w:r>
    </w:p>
    <w:p w14:paraId="704BBE3E"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p>
    <w:p w14:paraId="24CE49AF" w14:textId="1FDA21C7" w:rsidR="00CD3724" w:rsidRPr="00E2630C" w:rsidRDefault="00CD3724" w:rsidP="00990904">
      <w:pPr>
        <w:pStyle w:val="Heading2"/>
      </w:pPr>
      <w:bookmarkStart w:id="82" w:name="_Toc182386267"/>
      <w:r w:rsidRPr="00E2630C">
        <w:lastRenderedPageBreak/>
        <w:t>3.</w:t>
      </w:r>
      <w:r w:rsidR="00DD112B">
        <w:t>8</w:t>
      </w:r>
      <w:r w:rsidRPr="00E2630C">
        <w:t xml:space="preserve"> Primary Data Collection methods</w:t>
      </w:r>
      <w:bookmarkEnd w:id="82"/>
    </w:p>
    <w:p w14:paraId="18ED8D7A" w14:textId="75602CB5" w:rsidR="00CD3724" w:rsidRPr="00E2630C" w:rsidRDefault="00CD3724" w:rsidP="00990904">
      <w:pPr>
        <w:pStyle w:val="Heading3"/>
      </w:pPr>
      <w:bookmarkStart w:id="83" w:name="_Toc182386268"/>
      <w:r w:rsidRPr="00E2630C">
        <w:rPr>
          <w:lang w:val="en-US"/>
        </w:rPr>
        <w:t>3</w:t>
      </w:r>
      <w:r w:rsidRPr="00E2630C">
        <w:t>.</w:t>
      </w:r>
      <w:r w:rsidR="00DD112B">
        <w:t>8</w:t>
      </w:r>
      <w:r w:rsidRPr="00E2630C">
        <w:t>.1 Questionnaire Administration</w:t>
      </w:r>
      <w:bookmarkEnd w:id="83"/>
    </w:p>
    <w:p w14:paraId="6C593F0F" w14:textId="2A2DBC02"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To be able to </w:t>
      </w:r>
      <w:r w:rsidR="003315F5" w:rsidRPr="00E2630C">
        <w:rPr>
          <w:rFonts w:ascii="Times New Roman" w:hAnsi="Times New Roman" w:cs="Times New Roman"/>
          <w:color w:val="000000" w:themeColor="text1"/>
          <w:sz w:val="24"/>
          <w:szCs w:val="24"/>
        </w:rPr>
        <w:t xml:space="preserve">reach </w:t>
      </w:r>
      <w:r w:rsidRPr="00E2630C">
        <w:rPr>
          <w:rFonts w:ascii="Times New Roman" w:hAnsi="Times New Roman" w:cs="Times New Roman"/>
          <w:color w:val="000000" w:themeColor="text1"/>
          <w:sz w:val="24"/>
          <w:szCs w:val="24"/>
        </w:rPr>
        <w:t>the diverse respondents</w:t>
      </w:r>
      <w:r w:rsidR="003315F5" w:rsidRPr="00E2630C">
        <w:rPr>
          <w:rFonts w:ascii="Times New Roman" w:hAnsi="Times New Roman" w:cs="Times New Roman"/>
          <w:color w:val="000000" w:themeColor="text1"/>
          <w:sz w:val="24"/>
          <w:szCs w:val="24"/>
        </w:rPr>
        <w:t xml:space="preserve"> in terms of understanding</w:t>
      </w:r>
      <w:r w:rsidRPr="00E2630C">
        <w:rPr>
          <w:rFonts w:ascii="Times New Roman" w:hAnsi="Times New Roman" w:cs="Times New Roman"/>
          <w:color w:val="000000" w:themeColor="text1"/>
          <w:sz w:val="24"/>
          <w:szCs w:val="24"/>
        </w:rPr>
        <w:t>, where appropriate, the questionnaires were personally administered. A total of 341 questionnaires were administered by the researcher to the farmer-based and livestock respondents with the assistance of three field assistants, who were first and foremost trained in questionnaire administration processes and ethics. The researcher was also mindful of the gender dynamics, the belief and cultural practices of the respondents. In all, 334 questionnaires were retrieved representing a response rate of 98%.  The study thus made use of an actual combined sample size of 383 out of the intended 391 who were initially considered comprising 212 males and 121 females. The questionnaire was divided into two main parts. Part I looked at the background information of the respondents relevant to the study. Part II on the other hand, aimed at gathering information on the subject of the study including the implication of the chieftaincy conflict on human security, specifically, how the conflict has affected; health security, economic security, environmental security, community security, and food security. In this regard, Part II was subsequently sub-divided into five sections on the bases of the research objectives. For the purposes of clarity and effective comprehension, the question items were very simple and concise. The respondents were not required to spend a lot of time on them. The questions were translated from English to the local Nanunli and dabganli languages as and when necessary. This approach enabled the researcher to gather the needed information as intended.</w:t>
      </w:r>
    </w:p>
    <w:p w14:paraId="36D51611" w14:textId="6BADA88B" w:rsidR="00CD3724" w:rsidRPr="00E2630C" w:rsidRDefault="00CD3724" w:rsidP="00990904">
      <w:pPr>
        <w:pStyle w:val="Heading3"/>
      </w:pPr>
      <w:bookmarkStart w:id="84" w:name="_Toc182386269"/>
      <w:r w:rsidRPr="00E2630C">
        <w:t>3.</w:t>
      </w:r>
      <w:r w:rsidR="00DD112B">
        <w:t>8</w:t>
      </w:r>
      <w:r w:rsidRPr="00E2630C">
        <w:t xml:space="preserve">.2 </w:t>
      </w:r>
      <w:bookmarkStart w:id="85" w:name="_Hlk165551916"/>
      <w:r w:rsidRPr="00E2630C">
        <w:t>In-depth Interview</w:t>
      </w:r>
      <w:bookmarkEnd w:id="84"/>
      <w:bookmarkEnd w:id="85"/>
    </w:p>
    <w:p w14:paraId="27BC4825" w14:textId="1B3607DD"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 semi- structured questionnaire was used as a tool in conducting the interview intended to obtain qualitative data on the human security implication of the Bimbilla </w:t>
      </w:r>
      <w:r w:rsidRPr="00E2630C">
        <w:rPr>
          <w:rFonts w:ascii="Times New Roman" w:hAnsi="Times New Roman" w:cs="Times New Roman"/>
          <w:color w:val="000000" w:themeColor="text1"/>
          <w:sz w:val="24"/>
          <w:szCs w:val="24"/>
        </w:rPr>
        <w:lastRenderedPageBreak/>
        <w:t>chieftaincy conflict. In-depth interviews (i.e. one-to-one interviews) were personally conducted by the researcher involving the rest of the respondents (33)</w:t>
      </w:r>
      <w:r w:rsidR="00BF10F7" w:rsidRPr="00E2630C">
        <w:rPr>
          <w:rFonts w:ascii="Times New Roman" w:hAnsi="Times New Roman" w:cs="Times New Roman"/>
          <w:color w:val="000000" w:themeColor="text1"/>
          <w:sz w:val="24"/>
          <w:szCs w:val="24"/>
        </w:rPr>
        <w:t xml:space="preserve"> selected purposely </w:t>
      </w:r>
      <w:r w:rsidRPr="00E2630C">
        <w:rPr>
          <w:rFonts w:ascii="Times New Roman" w:hAnsi="Times New Roman" w:cs="Times New Roman"/>
          <w:color w:val="000000" w:themeColor="text1"/>
          <w:sz w:val="24"/>
          <w:szCs w:val="24"/>
        </w:rPr>
        <w:t xml:space="preserve">with the exception of the nine representatives of the Sokasheli Youth Group and the eight leadership from the Bormanga Women Association. The flexibility of the questions enabled the researcher to probe questions for further clarification as the interviews progressed. This approach allowed the respondents to express themselves freely and yielded rich information because it allowed for prop and clarification from respondents and the researcher. To speed the process without necessarily interrupted with the information generated, a recording devise was used. The application of the device in this exercise was done with the consent of the respondents. </w:t>
      </w:r>
    </w:p>
    <w:p w14:paraId="7D286F3B" w14:textId="10F4D743" w:rsidR="00CD3724" w:rsidRPr="00E2630C" w:rsidRDefault="00CD3724" w:rsidP="00990904">
      <w:pPr>
        <w:pStyle w:val="Heading3"/>
      </w:pPr>
      <w:bookmarkStart w:id="86" w:name="_Toc182386270"/>
      <w:r w:rsidRPr="00E2630C">
        <w:t>3.</w:t>
      </w:r>
      <w:r w:rsidR="00DD112B">
        <w:t>8</w:t>
      </w:r>
      <w:r w:rsidRPr="00E2630C">
        <w:t>.3 Interviews</w:t>
      </w:r>
      <w:bookmarkEnd w:id="86"/>
      <w:r w:rsidRPr="00E2630C">
        <w:t xml:space="preserve"> </w:t>
      </w:r>
    </w:p>
    <w:p w14:paraId="1F65C454" w14:textId="333C8445" w:rsidR="00CD3724" w:rsidRPr="00E2630C" w:rsidRDefault="00BF10F7" w:rsidP="00BF10F7">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Stakeholders w</w:t>
      </w:r>
      <w:r w:rsidR="00CD3724" w:rsidRPr="00E2630C">
        <w:rPr>
          <w:rFonts w:ascii="Times New Roman" w:hAnsi="Times New Roman" w:cs="Times New Roman"/>
          <w:color w:val="000000" w:themeColor="text1"/>
          <w:sz w:val="24"/>
          <w:szCs w:val="24"/>
        </w:rPr>
        <w:t xml:space="preserve">ho the researcher thought would be knowledgeable about the implications of the chieftaincy war for human security in the region were the target audience for the in-depth interviews. For </w:t>
      </w:r>
      <w:r w:rsidR="006F0911" w:rsidRPr="00E2630C">
        <w:rPr>
          <w:rFonts w:ascii="Times New Roman" w:hAnsi="Times New Roman" w:cs="Times New Roman"/>
          <w:color w:val="000000" w:themeColor="text1"/>
          <w:sz w:val="24"/>
          <w:szCs w:val="24"/>
        </w:rPr>
        <w:t xml:space="preserve">the </w:t>
      </w:r>
      <w:r w:rsidR="00CD3724" w:rsidRPr="00E2630C">
        <w:rPr>
          <w:rFonts w:ascii="Times New Roman" w:hAnsi="Times New Roman" w:cs="Times New Roman"/>
          <w:color w:val="000000" w:themeColor="text1"/>
          <w:sz w:val="24"/>
          <w:szCs w:val="24"/>
        </w:rPr>
        <w:t>ease of classification, i</w:t>
      </w:r>
      <w:r w:rsidRPr="00E2630C">
        <w:rPr>
          <w:rFonts w:ascii="Times New Roman" w:hAnsi="Times New Roman" w:cs="Times New Roman"/>
          <w:color w:val="000000" w:themeColor="text1"/>
          <w:sz w:val="24"/>
          <w:szCs w:val="24"/>
        </w:rPr>
        <w:t>nterview guide</w:t>
      </w:r>
      <w:r w:rsidR="00CD3724" w:rsidRPr="00E2630C">
        <w:rPr>
          <w:rFonts w:ascii="Times New Roman" w:hAnsi="Times New Roman" w:cs="Times New Roman"/>
          <w:color w:val="000000" w:themeColor="text1"/>
          <w:sz w:val="24"/>
          <w:szCs w:val="24"/>
        </w:rPr>
        <w:t xml:space="preserve"> based on the study's objectives</w:t>
      </w:r>
      <w:r w:rsidRPr="00E2630C">
        <w:rPr>
          <w:rFonts w:ascii="Times New Roman" w:hAnsi="Times New Roman" w:cs="Times New Roman"/>
          <w:color w:val="000000" w:themeColor="text1"/>
          <w:sz w:val="24"/>
          <w:szCs w:val="24"/>
        </w:rPr>
        <w:t xml:space="preserve"> were designed</w:t>
      </w:r>
      <w:r w:rsidR="00CD3724" w:rsidRPr="00E2630C">
        <w:rPr>
          <w:rFonts w:ascii="Times New Roman" w:hAnsi="Times New Roman" w:cs="Times New Roman"/>
          <w:color w:val="000000" w:themeColor="text1"/>
          <w:sz w:val="24"/>
          <w:szCs w:val="24"/>
        </w:rPr>
        <w:t>. The study's aims served as the main source of inspiration for the questions. The researcher interview</w:t>
      </w:r>
      <w:r w:rsidRPr="00E2630C">
        <w:rPr>
          <w:rFonts w:ascii="Times New Roman" w:hAnsi="Times New Roman" w:cs="Times New Roman"/>
          <w:color w:val="000000" w:themeColor="text1"/>
          <w:sz w:val="24"/>
          <w:szCs w:val="24"/>
        </w:rPr>
        <w:t>ed</w:t>
      </w:r>
      <w:r w:rsidR="00CD3724" w:rsidRPr="00E2630C">
        <w:rPr>
          <w:rFonts w:ascii="Times New Roman" w:hAnsi="Times New Roman" w:cs="Times New Roman"/>
          <w:color w:val="000000" w:themeColor="text1"/>
          <w:sz w:val="24"/>
          <w:szCs w:val="24"/>
        </w:rPr>
        <w:t xml:space="preserve"> government workers, NGO staff, and staff of civil society organizations who were non-na</w:t>
      </w:r>
      <w:r w:rsidRPr="00E2630C">
        <w:rPr>
          <w:rFonts w:ascii="Times New Roman" w:hAnsi="Times New Roman" w:cs="Times New Roman"/>
          <w:color w:val="000000" w:themeColor="text1"/>
          <w:sz w:val="24"/>
          <w:szCs w:val="24"/>
        </w:rPr>
        <w:t xml:space="preserve">tives but living in </w:t>
      </w:r>
      <w:r w:rsidR="006F0911" w:rsidRPr="00E2630C">
        <w:rPr>
          <w:rFonts w:ascii="Times New Roman" w:hAnsi="Times New Roman" w:cs="Times New Roman"/>
          <w:color w:val="000000" w:themeColor="text1"/>
          <w:sz w:val="24"/>
          <w:szCs w:val="24"/>
        </w:rPr>
        <w:t>the town.</w:t>
      </w:r>
    </w:p>
    <w:p w14:paraId="389CAD67" w14:textId="4FED3906" w:rsidR="00CD3724" w:rsidRPr="00E2630C" w:rsidRDefault="00CD3724" w:rsidP="00990904">
      <w:pPr>
        <w:pStyle w:val="Heading3"/>
      </w:pPr>
      <w:bookmarkStart w:id="87" w:name="_Toc182386271"/>
      <w:r w:rsidRPr="00E2630C">
        <w:t>3.</w:t>
      </w:r>
      <w:r w:rsidR="00DD112B">
        <w:t>8</w:t>
      </w:r>
      <w:r w:rsidRPr="00E2630C">
        <w:t>.4 Focus Group Discussion (FGD)</w:t>
      </w:r>
      <w:bookmarkEnd w:id="87"/>
      <w:r w:rsidRPr="00E2630C">
        <w:t xml:space="preserve"> </w:t>
      </w:r>
    </w:p>
    <w:p w14:paraId="6DB52361" w14:textId="22569737" w:rsidR="00CD3724" w:rsidRPr="00E2630C" w:rsidRDefault="00BF10F7"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Focus Group Discussion (FGD)</w:t>
      </w:r>
      <w:r w:rsidR="00CD3724" w:rsidRPr="00E2630C">
        <w:rPr>
          <w:rFonts w:ascii="Times New Roman" w:hAnsi="Times New Roman" w:cs="Times New Roman"/>
          <w:color w:val="000000" w:themeColor="text1"/>
          <w:sz w:val="24"/>
          <w:szCs w:val="24"/>
        </w:rPr>
        <w:t xml:space="preserve"> each was held with the Sokasheli Youth Group and the Bormanga Women Association with nine and eight discussants respectively. This method allowed the respondents to freely discuss the various issues slated on the checklist which was used as a tool to assist the process. The process also ensured that there was no proposition from any member without substantiation. The questions </w:t>
      </w:r>
      <w:r w:rsidR="00DE198E" w:rsidRPr="00E2630C">
        <w:rPr>
          <w:rFonts w:ascii="Times New Roman" w:hAnsi="Times New Roman" w:cs="Times New Roman"/>
          <w:color w:val="000000" w:themeColor="text1"/>
          <w:sz w:val="24"/>
          <w:szCs w:val="24"/>
        </w:rPr>
        <w:t xml:space="preserve">posed to the participants </w:t>
      </w:r>
      <w:r w:rsidR="00CD3724" w:rsidRPr="00E2630C">
        <w:rPr>
          <w:rFonts w:ascii="Times New Roman" w:hAnsi="Times New Roman" w:cs="Times New Roman"/>
          <w:color w:val="000000" w:themeColor="text1"/>
          <w:sz w:val="24"/>
          <w:szCs w:val="24"/>
        </w:rPr>
        <w:t xml:space="preserve">were well distributed to avoid the process been high jacked by few </w:t>
      </w:r>
      <w:r w:rsidR="00CD3724" w:rsidRPr="00E2630C">
        <w:rPr>
          <w:rFonts w:ascii="Times New Roman" w:hAnsi="Times New Roman" w:cs="Times New Roman"/>
          <w:color w:val="000000" w:themeColor="text1"/>
          <w:sz w:val="24"/>
          <w:szCs w:val="24"/>
        </w:rPr>
        <w:lastRenderedPageBreak/>
        <w:t xml:space="preserve">discussants. This also ensured that the group members fairly participated in the discussions. The researcher was able to gather swiftly but rich diverse information within a shortest possible time at the same time. On average, each discussion took about 75 minutes.  </w:t>
      </w:r>
    </w:p>
    <w:p w14:paraId="591B2DB5"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According to Stolper et al. (2019) FGDs offer quick results at a reasonable cost in a short amount of time. According to Rintiswati et al. (2009), focus group discussions (FGDs) offer a means of enhancing comprehension of concerns pertaining to a certain community's experiences, traditions, and belief system. With the participants' permission, audio recordings of the discussions between the two groups were made. Additionally, notes were made, and the accuracy of the material was later confirmed by cross-referencing them with the recorded data. The various approaches used in gathering primary data enabled the researcher to have a comprehensive view about how chieftaincy conflicts affect the core stated human security of the people in Bimbilla.</w:t>
      </w:r>
    </w:p>
    <w:p w14:paraId="02B56122" w14:textId="116343D3"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rationale was to get data from a wider spectrum and different categories of individuals to compare responses. Since primary data alone were insufficient, secondary data from official reports and documents, websites, and textbooks were also sourced in order to cross-check the responses and data, particularly in matters of chieftaincy history, succession laws, and community profile, etc. As a result, in order to think creatively and expand the study's scope beyond the micro and strengthen the qualitative explanation's logic, the researcher turned to secondary data. This had an impact on the research's conclusions regarding complementarities, contradictions, elaborations, and corroborations, among other things </w:t>
      </w:r>
      <w:r w:rsidR="00DE198E" w:rsidRPr="00E2630C">
        <w:rPr>
          <w:rFonts w:ascii="Times New Roman" w:hAnsi="Times New Roman" w:cs="Times New Roman"/>
          <w:color w:val="000000" w:themeColor="text1"/>
          <w:sz w:val="24"/>
          <w:szCs w:val="24"/>
        </w:rPr>
        <w:t>as claimed by Aikins</w:t>
      </w:r>
      <w:r w:rsidRPr="00E2630C">
        <w:rPr>
          <w:rFonts w:ascii="Times New Roman" w:hAnsi="Times New Roman" w:cs="Times New Roman"/>
          <w:color w:val="000000" w:themeColor="text1"/>
          <w:sz w:val="24"/>
          <w:szCs w:val="24"/>
        </w:rPr>
        <w:t xml:space="preserve"> </w:t>
      </w:r>
      <w:r w:rsidR="00DE198E" w:rsidRPr="00E2630C">
        <w:rPr>
          <w:rFonts w:ascii="Times New Roman" w:hAnsi="Times New Roman" w:cs="Times New Roman"/>
          <w:color w:val="000000" w:themeColor="text1"/>
          <w:sz w:val="24"/>
          <w:szCs w:val="24"/>
        </w:rPr>
        <w:t>(</w:t>
      </w:r>
      <w:r w:rsidRPr="00E2630C">
        <w:rPr>
          <w:rFonts w:ascii="Times New Roman" w:hAnsi="Times New Roman" w:cs="Times New Roman"/>
          <w:color w:val="000000" w:themeColor="text1"/>
          <w:sz w:val="24"/>
          <w:szCs w:val="24"/>
        </w:rPr>
        <w:t>2011).</w:t>
      </w:r>
    </w:p>
    <w:p w14:paraId="035C09CE"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p>
    <w:p w14:paraId="7CF0DD01" w14:textId="64DD52BF" w:rsidR="00CD3724" w:rsidRPr="00E2630C" w:rsidRDefault="00CD3724" w:rsidP="00990904">
      <w:pPr>
        <w:pStyle w:val="Heading2"/>
      </w:pPr>
      <w:bookmarkStart w:id="88" w:name="_Toc182386272"/>
      <w:r w:rsidRPr="00E2630C">
        <w:lastRenderedPageBreak/>
        <w:t>3.</w:t>
      </w:r>
      <w:r w:rsidR="00DD112B">
        <w:t>9</w:t>
      </w:r>
      <w:r w:rsidRPr="00E2630C">
        <w:t xml:space="preserve"> Validity and Reliability</w:t>
      </w:r>
      <w:bookmarkEnd w:id="88"/>
      <w:r w:rsidRPr="00E2630C">
        <w:t xml:space="preserve"> </w:t>
      </w:r>
    </w:p>
    <w:p w14:paraId="32ED36BD" w14:textId="12EB27CE" w:rsidR="00CD3724" w:rsidRPr="00E2630C" w:rsidRDefault="00CD3724" w:rsidP="00DE198E">
      <w:pPr>
        <w:spacing w:after="0" w:line="480" w:lineRule="auto"/>
        <w:jc w:val="both"/>
        <w:rPr>
          <w:rFonts w:ascii="Times New Roman" w:hAnsi="Times New Roman" w:cs="Times New Roman"/>
          <w:b/>
          <w:color w:val="000000" w:themeColor="text1"/>
          <w:sz w:val="24"/>
          <w:szCs w:val="24"/>
        </w:rPr>
      </w:pPr>
      <w:r w:rsidRPr="00E2630C">
        <w:rPr>
          <w:rFonts w:ascii="Times New Roman" w:hAnsi="Times New Roman" w:cs="Times New Roman"/>
          <w:color w:val="000000" w:themeColor="text1"/>
          <w:sz w:val="24"/>
          <w:szCs w:val="24"/>
        </w:rPr>
        <w:t xml:space="preserve">Testing the validity and dependability of the research tools that will be used to gather data is crucial. The degree to which the research instrument captures what it is supposed to capture is referred to as validity </w:t>
      </w:r>
      <w:r w:rsidRPr="00E2630C">
        <w:rPr>
          <w:rFonts w:ascii="Times New Roman" w:eastAsia="Times New Roman" w:hAnsi="Times New Roman" w:cs="Times New Roman"/>
          <w:color w:val="000000" w:themeColor="text1"/>
          <w:sz w:val="24"/>
          <w:szCs w:val="24"/>
        </w:rPr>
        <w:t>(Cohen &amp; Stanczak, 2000)</w:t>
      </w:r>
      <w:r w:rsidRPr="00E2630C">
        <w:rPr>
          <w:rFonts w:ascii="Times New Roman" w:hAnsi="Times New Roman" w:cs="Times New Roman"/>
          <w:color w:val="000000" w:themeColor="text1"/>
          <w:sz w:val="24"/>
          <w:szCs w:val="24"/>
        </w:rPr>
        <w:t xml:space="preserve">. Validity, according to Purvis et al. (2018) is truth that can be applied to the logical consistency of experimental design, the capacity to extrapolate study results outside of a research project, the </w:t>
      </w:r>
      <w:r w:rsidR="006F0911" w:rsidRPr="00E2630C">
        <w:rPr>
          <w:rFonts w:ascii="Times New Roman" w:hAnsi="Times New Roman" w:cs="Times New Roman"/>
          <w:color w:val="000000" w:themeColor="text1"/>
          <w:sz w:val="24"/>
          <w:szCs w:val="24"/>
        </w:rPr>
        <w:t>c</w:t>
      </w:r>
      <w:r w:rsidRPr="00E2630C">
        <w:rPr>
          <w:rFonts w:ascii="Times New Roman" w:hAnsi="Times New Roman" w:cs="Times New Roman"/>
          <w:color w:val="000000" w:themeColor="text1"/>
          <w:sz w:val="24"/>
          <w:szCs w:val="24"/>
        </w:rPr>
        <w:t>alib</w:t>
      </w:r>
      <w:r w:rsidR="006F0911" w:rsidRPr="00E2630C">
        <w:rPr>
          <w:rFonts w:ascii="Times New Roman" w:hAnsi="Times New Roman" w:cs="Times New Roman"/>
          <w:color w:val="000000" w:themeColor="text1"/>
          <w:sz w:val="24"/>
          <w:szCs w:val="24"/>
        </w:rPr>
        <w:t>re</w:t>
      </w:r>
      <w:r w:rsidRPr="00E2630C">
        <w:rPr>
          <w:rFonts w:ascii="Times New Roman" w:hAnsi="Times New Roman" w:cs="Times New Roman"/>
          <w:color w:val="000000" w:themeColor="text1"/>
          <w:sz w:val="24"/>
          <w:szCs w:val="24"/>
        </w:rPr>
        <w:t xml:space="preserve"> of measurements, and the appropriate application of the technique. Conversely, the consistency of measurement is what determines an instrument's reliability. Accordingly, the degree to which an instrument measures in the same way every time it is used with the same subjects and under the same circumstances is referred to as dependability. The degree to which a research instrument yields consistent results when utilized to collect data under regular circumstances is known as its reliability. With the supervisors' help, a comprehensive editing was done to ensure the validity and dependability of the study tools.</w:t>
      </w:r>
      <w:r w:rsidR="00DE198E"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t>A</w:t>
      </w:r>
      <w:r w:rsidR="00DE198E" w:rsidRPr="00E2630C">
        <w:rPr>
          <w:rFonts w:ascii="Times New Roman" w:hAnsi="Times New Roman" w:cs="Times New Roman"/>
          <w:color w:val="000000" w:themeColor="text1"/>
          <w:sz w:val="24"/>
          <w:szCs w:val="24"/>
        </w:rPr>
        <w:t xml:space="preserve">fter this scrutiny exercise, </w:t>
      </w:r>
      <w:r w:rsidRPr="00E2630C">
        <w:rPr>
          <w:rFonts w:ascii="Times New Roman" w:hAnsi="Times New Roman" w:cs="Times New Roman"/>
          <w:color w:val="000000" w:themeColor="text1"/>
          <w:sz w:val="24"/>
          <w:szCs w:val="24"/>
        </w:rPr>
        <w:t xml:space="preserve">the questionnaires were pre-tested in Nakpayili, a Nanung district neighborhood with characteristics similar to the study area. The results of the pre-testing </w:t>
      </w:r>
      <w:r w:rsidR="00DE198E" w:rsidRPr="00E2630C">
        <w:rPr>
          <w:rFonts w:ascii="Times New Roman" w:hAnsi="Times New Roman" w:cs="Times New Roman"/>
          <w:color w:val="000000" w:themeColor="text1"/>
          <w:sz w:val="24"/>
          <w:szCs w:val="24"/>
        </w:rPr>
        <w:t>enabled the researcher to shape the questions and also provided him with a for</w:t>
      </w:r>
      <w:r w:rsidR="00CF6CF4" w:rsidRPr="00E2630C">
        <w:rPr>
          <w:rFonts w:ascii="Times New Roman" w:hAnsi="Times New Roman" w:cs="Times New Roman"/>
          <w:color w:val="000000" w:themeColor="text1"/>
          <w:sz w:val="24"/>
          <w:szCs w:val="24"/>
        </w:rPr>
        <w:t>e</w:t>
      </w:r>
      <w:r w:rsidR="00DE198E" w:rsidRPr="00E2630C">
        <w:rPr>
          <w:rFonts w:ascii="Times New Roman" w:hAnsi="Times New Roman" w:cs="Times New Roman"/>
          <w:color w:val="000000" w:themeColor="text1"/>
          <w:sz w:val="24"/>
          <w:szCs w:val="24"/>
        </w:rPr>
        <w:t xml:space="preserve"> knowledge as to </w:t>
      </w:r>
      <w:r w:rsidRPr="00E2630C">
        <w:rPr>
          <w:rFonts w:ascii="Times New Roman" w:hAnsi="Times New Roman" w:cs="Times New Roman"/>
          <w:color w:val="000000" w:themeColor="text1"/>
          <w:sz w:val="24"/>
          <w:szCs w:val="24"/>
        </w:rPr>
        <w:t xml:space="preserve">the </w:t>
      </w:r>
      <w:r w:rsidR="00DE198E" w:rsidRPr="00E2630C">
        <w:rPr>
          <w:rFonts w:ascii="Times New Roman" w:hAnsi="Times New Roman" w:cs="Times New Roman"/>
          <w:color w:val="000000" w:themeColor="text1"/>
          <w:sz w:val="24"/>
          <w:szCs w:val="24"/>
        </w:rPr>
        <w:t xml:space="preserve">average length of </w:t>
      </w:r>
      <w:r w:rsidRPr="00E2630C">
        <w:rPr>
          <w:rFonts w:ascii="Times New Roman" w:hAnsi="Times New Roman" w:cs="Times New Roman"/>
          <w:color w:val="000000" w:themeColor="text1"/>
          <w:sz w:val="24"/>
          <w:szCs w:val="24"/>
        </w:rPr>
        <w:t xml:space="preserve">time </w:t>
      </w:r>
      <w:r w:rsidR="00DE198E" w:rsidRPr="00E2630C">
        <w:rPr>
          <w:rFonts w:ascii="Times New Roman" w:hAnsi="Times New Roman" w:cs="Times New Roman"/>
          <w:color w:val="000000" w:themeColor="text1"/>
          <w:sz w:val="24"/>
          <w:szCs w:val="24"/>
        </w:rPr>
        <w:t xml:space="preserve">required for a respondent to </w:t>
      </w:r>
      <w:r w:rsidRPr="00E2630C">
        <w:rPr>
          <w:rFonts w:ascii="Times New Roman" w:hAnsi="Times New Roman" w:cs="Times New Roman"/>
          <w:color w:val="000000" w:themeColor="text1"/>
          <w:sz w:val="24"/>
          <w:szCs w:val="24"/>
        </w:rPr>
        <w:t>complete a questionnaire</w:t>
      </w:r>
      <w:r w:rsidR="00DE198E" w:rsidRPr="00E2630C">
        <w:rPr>
          <w:rFonts w:ascii="Times New Roman" w:hAnsi="Times New Roman" w:cs="Times New Roman"/>
          <w:color w:val="000000" w:themeColor="text1"/>
          <w:sz w:val="24"/>
          <w:szCs w:val="24"/>
        </w:rPr>
        <w:t>.</w:t>
      </w:r>
      <w:r w:rsidRPr="00E2630C">
        <w:rPr>
          <w:rFonts w:ascii="Times New Roman" w:hAnsi="Times New Roman" w:cs="Times New Roman"/>
          <w:color w:val="000000" w:themeColor="text1"/>
          <w:sz w:val="24"/>
          <w:szCs w:val="24"/>
        </w:rPr>
        <w:t xml:space="preserve"> Thus, pre-testing the instruments helped the researcher to improve it in order to meet his study goal, as stated by Oluoch et al. (2018). Pre-testing questions are crucial, according to Stolper et al. (2019), because they allow the researcher to spot possible issues early on and make necessary adjustments. Pre-testing, according to Kumekpor (2002), can be helpful in determining whether a research instrument is appropriate or in gauging the views of the target group or their responses to an upcoming survey. </w:t>
      </w:r>
      <w:r w:rsidR="00CF6CF4" w:rsidRPr="00E2630C">
        <w:rPr>
          <w:rFonts w:ascii="Times New Roman" w:hAnsi="Times New Roman" w:cs="Times New Roman"/>
          <w:color w:val="000000" w:themeColor="text1"/>
          <w:sz w:val="24"/>
          <w:szCs w:val="24"/>
        </w:rPr>
        <w:t>The p</w:t>
      </w:r>
      <w:r w:rsidRPr="00E2630C">
        <w:rPr>
          <w:rFonts w:ascii="Times New Roman" w:hAnsi="Times New Roman" w:cs="Times New Roman"/>
          <w:color w:val="000000" w:themeColor="text1"/>
          <w:sz w:val="24"/>
          <w:szCs w:val="24"/>
        </w:rPr>
        <w:t xml:space="preserve">re-testing </w:t>
      </w:r>
      <w:r w:rsidR="00CF6CF4" w:rsidRPr="00E2630C">
        <w:rPr>
          <w:rFonts w:ascii="Times New Roman" w:hAnsi="Times New Roman" w:cs="Times New Roman"/>
          <w:color w:val="000000" w:themeColor="text1"/>
          <w:sz w:val="24"/>
          <w:szCs w:val="24"/>
        </w:rPr>
        <w:t xml:space="preserve">of </w:t>
      </w:r>
      <w:r w:rsidRPr="00E2630C">
        <w:rPr>
          <w:rFonts w:ascii="Times New Roman" w:hAnsi="Times New Roman" w:cs="Times New Roman"/>
          <w:color w:val="000000" w:themeColor="text1"/>
          <w:sz w:val="24"/>
          <w:szCs w:val="24"/>
        </w:rPr>
        <w:t xml:space="preserve">the questions helped </w:t>
      </w:r>
      <w:r w:rsidR="00CF6CF4" w:rsidRPr="00E2630C">
        <w:rPr>
          <w:rFonts w:ascii="Times New Roman" w:hAnsi="Times New Roman" w:cs="Times New Roman"/>
          <w:color w:val="000000" w:themeColor="text1"/>
          <w:sz w:val="24"/>
          <w:szCs w:val="24"/>
        </w:rPr>
        <w:t xml:space="preserve">the researcher to </w:t>
      </w:r>
      <w:r w:rsidRPr="00E2630C">
        <w:rPr>
          <w:rFonts w:ascii="Times New Roman" w:hAnsi="Times New Roman" w:cs="Times New Roman"/>
          <w:color w:val="000000" w:themeColor="text1"/>
          <w:sz w:val="24"/>
          <w:szCs w:val="24"/>
        </w:rPr>
        <w:t xml:space="preserve">identify any areas of </w:t>
      </w:r>
      <w:r w:rsidR="00CF6CF4" w:rsidRPr="00E2630C">
        <w:rPr>
          <w:rFonts w:ascii="Times New Roman" w:hAnsi="Times New Roman" w:cs="Times New Roman"/>
          <w:color w:val="000000" w:themeColor="text1"/>
          <w:sz w:val="24"/>
          <w:szCs w:val="24"/>
        </w:rPr>
        <w:t>ambiguity</w:t>
      </w:r>
      <w:r w:rsidRPr="00E2630C">
        <w:rPr>
          <w:rFonts w:ascii="Times New Roman" w:hAnsi="Times New Roman" w:cs="Times New Roman"/>
          <w:color w:val="000000" w:themeColor="text1"/>
          <w:sz w:val="24"/>
          <w:szCs w:val="24"/>
        </w:rPr>
        <w:t xml:space="preserve"> </w:t>
      </w:r>
      <w:r w:rsidR="00CF6CF4" w:rsidRPr="00E2630C">
        <w:rPr>
          <w:rFonts w:ascii="Times New Roman" w:hAnsi="Times New Roman" w:cs="Times New Roman"/>
          <w:color w:val="000000" w:themeColor="text1"/>
          <w:sz w:val="24"/>
          <w:szCs w:val="24"/>
        </w:rPr>
        <w:t>thereby creating</w:t>
      </w:r>
      <w:r w:rsidRPr="00E2630C">
        <w:rPr>
          <w:rFonts w:ascii="Times New Roman" w:hAnsi="Times New Roman" w:cs="Times New Roman"/>
          <w:color w:val="000000" w:themeColor="text1"/>
          <w:sz w:val="24"/>
          <w:szCs w:val="24"/>
        </w:rPr>
        <w:t xml:space="preserve"> a more straightforward and understandable questionnaire. </w:t>
      </w:r>
    </w:p>
    <w:p w14:paraId="7A5BDD75" w14:textId="1F282C0B" w:rsidR="00CD3724" w:rsidRPr="00E2630C" w:rsidRDefault="00CD3724" w:rsidP="00990904">
      <w:pPr>
        <w:pStyle w:val="Heading2"/>
      </w:pPr>
      <w:bookmarkStart w:id="89" w:name="_Toc182386273"/>
      <w:r w:rsidRPr="00E2630C">
        <w:lastRenderedPageBreak/>
        <w:t>3.</w:t>
      </w:r>
      <w:r w:rsidR="00DD112B">
        <w:t>10</w:t>
      </w:r>
      <w:r w:rsidRPr="00E2630C">
        <w:t xml:space="preserve"> Methods of Data Analysis</w:t>
      </w:r>
      <w:bookmarkEnd w:id="89"/>
    </w:p>
    <w:p w14:paraId="314BC472"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In research, especially qualitative research, data analyses are a continuous process. Because of the volume of data gathered, there was always a chance that some information would have been lost during data processing. Another risk may have been condensing a lengthy conversation into a brief one and reinterpreting it in the researcher's own words to support or refute a specific claim. The researcher, however, made every effort to avoid this. In addition to being cross-checked multiple times against various sources of information, there was also the possibility of information loss during translation.</w:t>
      </w:r>
    </w:p>
    <w:p w14:paraId="42BC1577" w14:textId="3A547A55" w:rsidR="00CD3724" w:rsidRPr="00E2630C" w:rsidRDefault="00CD3724" w:rsidP="00CD3724">
      <w:pPr>
        <w:spacing w:before="240" w:after="160" w:line="480" w:lineRule="auto"/>
        <w:jc w:val="both"/>
        <w:rPr>
          <w:rFonts w:ascii="Times New Roman" w:hAnsi="Times New Roman" w:cs="Times New Roman"/>
          <w:vanish/>
          <w:color w:val="000000" w:themeColor="text1"/>
          <w:kern w:val="2"/>
          <w:sz w:val="24"/>
          <w:szCs w:val="24"/>
          <w:lang w:val="en-US"/>
        </w:rPr>
      </w:pPr>
      <w:r w:rsidRPr="00E2630C">
        <w:rPr>
          <w:rFonts w:ascii="Times New Roman" w:hAnsi="Times New Roman" w:cs="Times New Roman"/>
          <w:color w:val="000000" w:themeColor="text1"/>
          <w:kern w:val="2"/>
          <w:sz w:val="24"/>
          <w:szCs w:val="24"/>
          <w:lang w:val="en-US"/>
        </w:rPr>
        <w:t>The produced data was analyzed using a variety of descriptive and inferential statistical techniques, including percentages, means, and standard deviations. The Statistical Package for Social Sciences (SPSS v27) was used to analyze quantitative data obtained from structured questionnaires. This process was facilitated by a 5-point Likert scale with the tags and values: Very High (1), High (2), Very Low (3), Low (4), and Never (5). The Likert scale is generally used to measure ag</w:t>
      </w:r>
      <w:r w:rsidR="00CF6CF4" w:rsidRPr="00E2630C">
        <w:rPr>
          <w:rFonts w:ascii="Times New Roman" w:hAnsi="Times New Roman" w:cs="Times New Roman"/>
          <w:color w:val="000000" w:themeColor="text1"/>
          <w:kern w:val="2"/>
          <w:sz w:val="24"/>
          <w:szCs w:val="24"/>
          <w:lang w:val="en-US"/>
        </w:rPr>
        <w:t>reement or disagreement</w:t>
      </w:r>
      <w:r w:rsidRPr="00E2630C">
        <w:rPr>
          <w:rFonts w:ascii="Times New Roman" w:hAnsi="Times New Roman" w:cs="Times New Roman"/>
          <w:color w:val="000000" w:themeColor="text1"/>
          <w:kern w:val="2"/>
          <w:sz w:val="24"/>
          <w:szCs w:val="24"/>
          <w:lang w:val="en-US"/>
        </w:rPr>
        <w:t xml:space="preserve"> on a particular issue. Its easiness and efficacy in providing progressive responses makes it a favored choice among other measurement scales. According to </w:t>
      </w:r>
      <w:r w:rsidRPr="00E2630C">
        <w:rPr>
          <w:rFonts w:ascii="Times New Roman" w:hAnsi="Times New Roman" w:cs="Times New Roman"/>
          <w:vanish/>
          <w:color w:val="000000" w:themeColor="text1"/>
          <w:kern w:val="2"/>
          <w:sz w:val="24"/>
          <w:szCs w:val="24"/>
          <w:lang w:val="en-US"/>
        </w:rPr>
        <w:t>Top of Form</w:t>
      </w:r>
    </w:p>
    <w:p w14:paraId="44905E15" w14:textId="77777777" w:rsidR="00CD3724" w:rsidRPr="00E2630C" w:rsidRDefault="00CD3724" w:rsidP="00CD3724">
      <w:pPr>
        <w:spacing w:after="0" w:line="480" w:lineRule="auto"/>
        <w:jc w:val="both"/>
        <w:rPr>
          <w:rFonts w:ascii="Times New Roman" w:hAnsi="Times New Roman" w:cs="Times New Roman"/>
          <w:color w:val="000000" w:themeColor="text1"/>
          <w:kern w:val="2"/>
          <w:sz w:val="24"/>
          <w:szCs w:val="24"/>
          <w:lang w:val="en-US"/>
        </w:rPr>
      </w:pPr>
      <w:r w:rsidRPr="00E2630C">
        <w:rPr>
          <w:rFonts w:ascii="Times New Roman" w:hAnsi="Times New Roman" w:cs="Times New Roman"/>
          <w:color w:val="000000" w:themeColor="text1"/>
          <w:sz w:val="24"/>
          <w:szCs w:val="24"/>
        </w:rPr>
        <w:t>Oluoch (2016)</w:t>
      </w:r>
      <w:r w:rsidRPr="00E2630C">
        <w:rPr>
          <w:rFonts w:ascii="Times New Roman" w:hAnsi="Times New Roman" w:cs="Times New Roman"/>
          <w:color w:val="000000" w:themeColor="text1"/>
          <w:kern w:val="2"/>
          <w:sz w:val="24"/>
          <w:szCs w:val="24"/>
          <w:lang w:val="en-US"/>
        </w:rPr>
        <w:t xml:space="preserve">, data storage, utilization, and coding within the computer-based analysis are some critical befits associated with closed-ended questions. The independent variable chosen in this thesis was chieftaincy conflict with food security, health security, economic security, community security and environmental security being the dependent variables.  </w:t>
      </w:r>
    </w:p>
    <w:p w14:paraId="71761C06" w14:textId="676B752C" w:rsidR="00CD3724" w:rsidRPr="00E2630C" w:rsidRDefault="00CD3724" w:rsidP="00CD3724">
      <w:pPr>
        <w:spacing w:before="240" w:after="0" w:line="480" w:lineRule="auto"/>
        <w:jc w:val="both"/>
        <w:rPr>
          <w:rFonts w:ascii="Times New Roman" w:hAnsi="Times New Roman" w:cs="Times New Roman"/>
          <w:color w:val="000000" w:themeColor="text1"/>
          <w:kern w:val="2"/>
          <w:sz w:val="24"/>
          <w:szCs w:val="24"/>
          <w:lang w:val="en-US"/>
        </w:rPr>
      </w:pPr>
      <w:r w:rsidRPr="00E2630C">
        <w:rPr>
          <w:rFonts w:ascii="Times New Roman" w:hAnsi="Times New Roman" w:cs="Times New Roman"/>
          <w:color w:val="000000" w:themeColor="text1"/>
          <w:kern w:val="2"/>
          <w:sz w:val="24"/>
          <w:szCs w:val="24"/>
          <w:lang w:val="en-US"/>
        </w:rPr>
        <w:t xml:space="preserve">Qualitative data on the other hand were analysed through the application of thematic analysis. </w:t>
      </w:r>
      <w:r w:rsidR="00CF6CF4" w:rsidRPr="00E2630C">
        <w:rPr>
          <w:rFonts w:ascii="Times New Roman" w:hAnsi="Times New Roman" w:cs="Times New Roman"/>
          <w:color w:val="000000" w:themeColor="text1"/>
          <w:kern w:val="2"/>
          <w:sz w:val="24"/>
          <w:szCs w:val="24"/>
          <w:lang w:val="en-US"/>
        </w:rPr>
        <w:t>Audio r</w:t>
      </w:r>
      <w:r w:rsidRPr="00E2630C">
        <w:rPr>
          <w:rFonts w:ascii="Times New Roman" w:hAnsi="Times New Roman" w:cs="Times New Roman"/>
          <w:color w:val="000000" w:themeColor="text1"/>
          <w:kern w:val="2"/>
          <w:sz w:val="24"/>
          <w:szCs w:val="24"/>
          <w:lang w:val="en-US"/>
        </w:rPr>
        <w:t>e</w:t>
      </w:r>
      <w:r w:rsidR="00CF6CF4" w:rsidRPr="00E2630C">
        <w:rPr>
          <w:rFonts w:ascii="Times New Roman" w:hAnsi="Times New Roman" w:cs="Times New Roman"/>
          <w:color w:val="000000" w:themeColor="text1"/>
          <w:kern w:val="2"/>
          <w:sz w:val="24"/>
          <w:szCs w:val="24"/>
          <w:lang w:val="en-US"/>
        </w:rPr>
        <w:t>corded information</w:t>
      </w:r>
      <w:r w:rsidRPr="00E2630C">
        <w:rPr>
          <w:rFonts w:ascii="Times New Roman" w:hAnsi="Times New Roman" w:cs="Times New Roman"/>
          <w:color w:val="000000" w:themeColor="text1"/>
          <w:kern w:val="2"/>
          <w:sz w:val="24"/>
          <w:szCs w:val="24"/>
          <w:lang w:val="en-US"/>
        </w:rPr>
        <w:t xml:space="preserve"> </w:t>
      </w:r>
      <w:r w:rsidR="00CF6CF4" w:rsidRPr="00E2630C">
        <w:rPr>
          <w:rFonts w:ascii="Times New Roman" w:hAnsi="Times New Roman" w:cs="Times New Roman"/>
          <w:color w:val="000000" w:themeColor="text1"/>
          <w:kern w:val="2"/>
          <w:sz w:val="24"/>
          <w:szCs w:val="24"/>
          <w:lang w:val="en-US"/>
        </w:rPr>
        <w:t>was</w:t>
      </w:r>
      <w:r w:rsidRPr="00E2630C">
        <w:rPr>
          <w:rFonts w:ascii="Times New Roman" w:hAnsi="Times New Roman" w:cs="Times New Roman"/>
          <w:color w:val="000000" w:themeColor="text1"/>
          <w:kern w:val="2"/>
          <w:sz w:val="24"/>
          <w:szCs w:val="24"/>
          <w:lang w:val="en-US"/>
        </w:rPr>
        <w:t xml:space="preserve"> first transcribed and edited where realistic and then categorized on the basis of the research objectives. The convergent parallel mixed-methods approach adopted in this thesis enabled the researcher to integrate both </w:t>
      </w:r>
      <w:r w:rsidRPr="00E2630C">
        <w:rPr>
          <w:rFonts w:ascii="Times New Roman" w:hAnsi="Times New Roman" w:cs="Times New Roman"/>
          <w:color w:val="000000" w:themeColor="text1"/>
          <w:kern w:val="2"/>
          <w:sz w:val="24"/>
          <w:szCs w:val="24"/>
          <w:lang w:val="en-US"/>
        </w:rPr>
        <w:lastRenderedPageBreak/>
        <w:t xml:space="preserve">quantitative and qualitative data at the same time to provide any reader a clear view of the effects of the chieftaincy conflict on a given chosen variable. </w:t>
      </w:r>
    </w:p>
    <w:p w14:paraId="5B1E0E8F" w14:textId="21230B4D" w:rsidR="00CD3724"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Processing and analysis of the questionnaire and interviews for this study began immediately after the fieldwork with the transcription of the recorded answers that were provided in local and English languages into writing. The next in the process was that answers to all close-ended questions including all multi-choice questions as well as demographic questions were assigned numeric values through the use of a predetermined coding scheme. In the second phase of data analysis, the semi-structured interview data processing began with preparing the data by organizing the data, documents, and field notes appropriately. Taped interviews as stated earlier were transcribed. Themes were then grouped to form more themes manually. The data for the questionnaire and the interview were then manually cleaned. The next stage was the exploration of the data by using computer software, SPSS. Using descriptive statistics like frequencies tables were generated and presented. Hence, the summary of data analysis included data reduction which involved selecting, focusing, simplifying, abstracting, and transforming the raw data. Selecting a specific set of data that served as the study's initial focus was another step in the process. The completed coded data was the following step. Testing the preliminary conclusion's conformability, robustness, and plausibility was part of the verification process. </w:t>
      </w:r>
    </w:p>
    <w:p w14:paraId="58754DD5" w14:textId="77777777" w:rsidR="00990904" w:rsidRPr="00E2630C" w:rsidRDefault="00990904" w:rsidP="00990904">
      <w:pPr>
        <w:pStyle w:val="NoSpacing"/>
      </w:pPr>
    </w:p>
    <w:p w14:paraId="2B2171DF" w14:textId="07AB056E" w:rsidR="00CD3724" w:rsidRPr="00E2630C" w:rsidRDefault="00CD3724" w:rsidP="00990904">
      <w:pPr>
        <w:pStyle w:val="Heading2"/>
      </w:pPr>
      <w:bookmarkStart w:id="90" w:name="_Toc182386274"/>
      <w:r w:rsidRPr="00E2630C">
        <w:t>3.1</w:t>
      </w:r>
      <w:r w:rsidR="00DD112B">
        <w:t>1</w:t>
      </w:r>
      <w:r w:rsidRPr="00E2630C">
        <w:t xml:space="preserve"> Limitations of the Study</w:t>
      </w:r>
      <w:bookmarkEnd w:id="90"/>
    </w:p>
    <w:p w14:paraId="3D1A3D65"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 major challenge the researcher encountered was the personal administration of the questionnaires. This was very slow as previously anticipated. As a result, the two research assistants recruited for the data collection were inadequate to cover the entire sample population. The researcher was able to address the challenge by engaging the </w:t>
      </w:r>
      <w:r w:rsidRPr="00E2630C">
        <w:rPr>
          <w:rFonts w:ascii="Times New Roman" w:hAnsi="Times New Roman" w:cs="Times New Roman"/>
          <w:color w:val="000000" w:themeColor="text1"/>
          <w:sz w:val="24"/>
          <w:szCs w:val="24"/>
        </w:rPr>
        <w:lastRenderedPageBreak/>
        <w:t xml:space="preserve">services of another research assistant bringing the total number of research assistants to three. </w:t>
      </w:r>
    </w:p>
    <w:p w14:paraId="32B22D2D" w14:textId="2F271F23" w:rsidR="00CD3724" w:rsidRPr="00E2630C" w:rsidRDefault="00CF6CF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H</w:t>
      </w:r>
      <w:r w:rsidR="00CD3724" w:rsidRPr="00E2630C">
        <w:rPr>
          <w:rFonts w:ascii="Times New Roman" w:hAnsi="Times New Roman" w:cs="Times New Roman"/>
          <w:color w:val="000000" w:themeColor="text1"/>
          <w:sz w:val="24"/>
          <w:szCs w:val="24"/>
        </w:rPr>
        <w:t>ow to meet the respondents as scheduled for the data gathering process</w:t>
      </w:r>
      <w:r w:rsidRPr="00E2630C">
        <w:rPr>
          <w:rFonts w:ascii="Times New Roman" w:hAnsi="Times New Roman" w:cs="Times New Roman"/>
          <w:color w:val="000000" w:themeColor="text1"/>
          <w:sz w:val="24"/>
          <w:szCs w:val="24"/>
        </w:rPr>
        <w:t xml:space="preserve"> was another difficulty encountered</w:t>
      </w:r>
      <w:r w:rsidR="00CD3724" w:rsidRPr="00E2630C">
        <w:rPr>
          <w:rFonts w:ascii="Times New Roman" w:hAnsi="Times New Roman" w:cs="Times New Roman"/>
          <w:color w:val="000000" w:themeColor="text1"/>
          <w:sz w:val="24"/>
          <w:szCs w:val="24"/>
        </w:rPr>
        <w:t xml:space="preserve">. The inhabitants of the community are predominantly farmers </w:t>
      </w:r>
      <w:r w:rsidRPr="00E2630C">
        <w:rPr>
          <w:rFonts w:ascii="Times New Roman" w:hAnsi="Times New Roman" w:cs="Times New Roman"/>
          <w:color w:val="000000" w:themeColor="text1"/>
          <w:sz w:val="24"/>
          <w:szCs w:val="24"/>
        </w:rPr>
        <w:t xml:space="preserve">who </w:t>
      </w:r>
      <w:r w:rsidR="00CD3724" w:rsidRPr="00E2630C">
        <w:rPr>
          <w:rFonts w:ascii="Times New Roman" w:hAnsi="Times New Roman" w:cs="Times New Roman"/>
          <w:color w:val="000000" w:themeColor="text1"/>
          <w:sz w:val="24"/>
          <w:szCs w:val="24"/>
        </w:rPr>
        <w:t xml:space="preserve">go to </w:t>
      </w:r>
      <w:r w:rsidRPr="00E2630C">
        <w:rPr>
          <w:rFonts w:ascii="Times New Roman" w:hAnsi="Times New Roman" w:cs="Times New Roman"/>
          <w:color w:val="000000" w:themeColor="text1"/>
          <w:sz w:val="24"/>
          <w:szCs w:val="24"/>
        </w:rPr>
        <w:t xml:space="preserve">the </w:t>
      </w:r>
      <w:r w:rsidR="00CD3724" w:rsidRPr="00E2630C">
        <w:rPr>
          <w:rFonts w:ascii="Times New Roman" w:hAnsi="Times New Roman" w:cs="Times New Roman"/>
          <w:color w:val="000000" w:themeColor="text1"/>
          <w:sz w:val="24"/>
          <w:szCs w:val="24"/>
        </w:rPr>
        <w:t xml:space="preserve">farms early in the morning and return late </w:t>
      </w:r>
      <w:r w:rsidRPr="00E2630C">
        <w:rPr>
          <w:rFonts w:ascii="Times New Roman" w:hAnsi="Times New Roman" w:cs="Times New Roman"/>
          <w:color w:val="000000" w:themeColor="text1"/>
          <w:sz w:val="24"/>
          <w:szCs w:val="24"/>
        </w:rPr>
        <w:t xml:space="preserve">in the </w:t>
      </w:r>
      <w:r w:rsidR="00CD3724" w:rsidRPr="00E2630C">
        <w:rPr>
          <w:rFonts w:ascii="Times New Roman" w:hAnsi="Times New Roman" w:cs="Times New Roman"/>
          <w:color w:val="000000" w:themeColor="text1"/>
          <w:sz w:val="24"/>
          <w:szCs w:val="24"/>
        </w:rPr>
        <w:t xml:space="preserve">evening. To overcome such a challenge, the researcher had to meet those respondents late in the evening. With this pragmatic and innovative approach, all the selected respondents were met. Their effective cooperation with the researcher resulted in this output in the form of a documented thesis. </w:t>
      </w:r>
    </w:p>
    <w:p w14:paraId="787BD6E2" w14:textId="77777777" w:rsidR="00CD3724" w:rsidRPr="00E2630C" w:rsidRDefault="00CD3724" w:rsidP="00990904">
      <w:pPr>
        <w:pStyle w:val="NoSpacing"/>
      </w:pPr>
    </w:p>
    <w:p w14:paraId="41EF9D81" w14:textId="4B64C8F9" w:rsidR="00CD3724" w:rsidRPr="00E2630C" w:rsidRDefault="00CD3724" w:rsidP="00990904">
      <w:pPr>
        <w:pStyle w:val="Heading2"/>
      </w:pPr>
      <w:bookmarkStart w:id="91" w:name="_Toc182386275"/>
      <w:r w:rsidRPr="00E2630C">
        <w:t>3.1</w:t>
      </w:r>
      <w:r w:rsidR="00DD112B">
        <w:t>2</w:t>
      </w:r>
      <w:r w:rsidRPr="00E2630C">
        <w:t xml:space="preserve"> Ethical Consideration</w:t>
      </w:r>
      <w:bookmarkEnd w:id="91"/>
    </w:p>
    <w:p w14:paraId="207A2C04" w14:textId="1CA5F3EB" w:rsidR="00CD3724" w:rsidRPr="00E2630C" w:rsidRDefault="00DB5C13"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De Vos (2002) wrote that the use of human subjects in research requires much ethical consideration. He further argued that the research process and outcome should not endanger the lives of the research subjects. </w:t>
      </w:r>
      <w:r w:rsidR="00CD3724" w:rsidRPr="00E2630C">
        <w:rPr>
          <w:rFonts w:ascii="Times New Roman" w:hAnsi="Times New Roman" w:cs="Times New Roman"/>
          <w:color w:val="000000" w:themeColor="text1"/>
          <w:sz w:val="24"/>
          <w:szCs w:val="24"/>
        </w:rPr>
        <w:t>Because of the aforementioned, the researcher made it a point to thoroughly explain the research's goal to each respondent and to ensure that they understood that participation was completely optional. Throughout the study, participants' informed consent, anonymity, privacy, and confidentiality were strictly observed.</w:t>
      </w:r>
    </w:p>
    <w:p w14:paraId="09F75A3E" w14:textId="0558DF29"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According to Acheampong (2021), the main concerns in research ethics are harm, permission, privacy, and data secrecy. In this sense, the researcher made sure that the study protected the respondents' identity. To participa</w:t>
      </w:r>
      <w:r w:rsidR="00DB5C13" w:rsidRPr="00E2630C">
        <w:rPr>
          <w:rFonts w:ascii="Times New Roman" w:hAnsi="Times New Roman" w:cs="Times New Roman"/>
          <w:color w:val="000000" w:themeColor="text1"/>
          <w:sz w:val="24"/>
          <w:szCs w:val="24"/>
        </w:rPr>
        <w:t>te in this study, the respondents</w:t>
      </w:r>
      <w:r w:rsidRPr="00E2630C">
        <w:rPr>
          <w:rFonts w:ascii="Times New Roman" w:hAnsi="Times New Roman" w:cs="Times New Roman"/>
          <w:color w:val="000000" w:themeColor="text1"/>
          <w:sz w:val="24"/>
          <w:szCs w:val="24"/>
        </w:rPr>
        <w:t xml:space="preserve"> </w:t>
      </w:r>
      <w:r w:rsidR="00DB5C13" w:rsidRPr="00E2630C">
        <w:rPr>
          <w:rFonts w:ascii="Times New Roman" w:hAnsi="Times New Roman" w:cs="Times New Roman"/>
          <w:color w:val="000000" w:themeColor="text1"/>
          <w:sz w:val="24"/>
          <w:szCs w:val="24"/>
        </w:rPr>
        <w:t xml:space="preserve">were given the opportunity </w:t>
      </w:r>
      <w:r w:rsidRPr="00E2630C">
        <w:rPr>
          <w:rFonts w:ascii="Times New Roman" w:hAnsi="Times New Roman" w:cs="Times New Roman"/>
          <w:color w:val="000000" w:themeColor="text1"/>
          <w:sz w:val="24"/>
          <w:szCs w:val="24"/>
        </w:rPr>
        <w:t xml:space="preserve">to give their consent. The </w:t>
      </w:r>
      <w:r w:rsidR="00AC2BAD" w:rsidRPr="00E2630C">
        <w:rPr>
          <w:rFonts w:ascii="Times New Roman" w:hAnsi="Times New Roman" w:cs="Times New Roman"/>
          <w:color w:val="000000" w:themeColor="text1"/>
          <w:sz w:val="24"/>
          <w:szCs w:val="24"/>
        </w:rPr>
        <w:t xml:space="preserve">respondents were accordingly briefed of the </w:t>
      </w:r>
      <w:r w:rsidR="00DB5C13" w:rsidRPr="00E2630C">
        <w:rPr>
          <w:rFonts w:ascii="Times New Roman" w:hAnsi="Times New Roman" w:cs="Times New Roman"/>
          <w:color w:val="000000" w:themeColor="text1"/>
          <w:sz w:val="24"/>
          <w:szCs w:val="24"/>
        </w:rPr>
        <w:t xml:space="preserve">purpose </w:t>
      </w:r>
      <w:r w:rsidRPr="00E2630C">
        <w:rPr>
          <w:rFonts w:ascii="Times New Roman" w:hAnsi="Times New Roman" w:cs="Times New Roman"/>
          <w:color w:val="000000" w:themeColor="text1"/>
          <w:sz w:val="24"/>
          <w:szCs w:val="24"/>
        </w:rPr>
        <w:t>of the study</w:t>
      </w:r>
      <w:r w:rsidR="00AC2BAD" w:rsidRPr="00E2630C">
        <w:rPr>
          <w:rFonts w:ascii="Times New Roman" w:hAnsi="Times New Roman" w:cs="Times New Roman"/>
          <w:color w:val="000000" w:themeColor="text1"/>
          <w:sz w:val="24"/>
          <w:szCs w:val="24"/>
        </w:rPr>
        <w:t>.</w:t>
      </w:r>
      <w:r w:rsidRPr="00E2630C">
        <w:rPr>
          <w:rFonts w:ascii="Times New Roman" w:hAnsi="Times New Roman" w:cs="Times New Roman"/>
          <w:color w:val="000000" w:themeColor="text1"/>
          <w:sz w:val="24"/>
          <w:szCs w:val="24"/>
        </w:rPr>
        <w:t xml:space="preserve"> The university-provided introduction letter provided support for this. Additionally, participants were guaranteed access to the study's feedback in case they had any questions answered. Furthermore, the researcher did not </w:t>
      </w:r>
      <w:r w:rsidRPr="00E2630C">
        <w:rPr>
          <w:rFonts w:ascii="Times New Roman" w:hAnsi="Times New Roman" w:cs="Times New Roman"/>
          <w:color w:val="000000" w:themeColor="text1"/>
          <w:sz w:val="24"/>
          <w:szCs w:val="24"/>
        </w:rPr>
        <w:lastRenderedPageBreak/>
        <w:t>directly link any respondent to any sensitive statements in order to protect the respondents' safety.</w:t>
      </w:r>
    </w:p>
    <w:p w14:paraId="714DA641" w14:textId="77777777" w:rsidR="00CD3724" w:rsidRPr="00E2630C" w:rsidRDefault="00CD3724" w:rsidP="00CD3724">
      <w:pPr>
        <w:spacing w:before="240"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Aganah (2008) has stated that the conclusion and implication drawn by a researcher especially in qualitative study may largely be grounded in his/her moral and political beliefs. Furthermore, the decision-making process during research and data analysis can be influenced by the individual views, opinions, and values of each researcher. The researcher dismantled whatever preconceptions and stereotypes he may have had in order to become receptive to new ideas and to prevent any unintentional biases. The researcher also ensured that the research assistants who were engaged had no personal interest in the conflict. In addition, the royal families engaged in the conflict including the kingmakers were not part of the respondents not only because of safety and security, but to ensure objective responses. In any other case, the research focus was not on the causes of the chieftaincy conflict but rather how this conflict has undermined the sanctity of the people as humans.</w:t>
      </w:r>
    </w:p>
    <w:p w14:paraId="4AF0127C" w14:textId="77777777" w:rsidR="00CD3724" w:rsidRPr="00E2630C" w:rsidRDefault="00CD3724" w:rsidP="00CD3724">
      <w:pP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br w:type="page"/>
      </w:r>
    </w:p>
    <w:p w14:paraId="7701F716" w14:textId="77777777" w:rsidR="00CD3724" w:rsidRPr="00E2630C" w:rsidRDefault="00CD3724" w:rsidP="00990904">
      <w:pPr>
        <w:pStyle w:val="Heading1"/>
      </w:pPr>
      <w:bookmarkStart w:id="92" w:name="_Toc182386276"/>
      <w:r w:rsidRPr="00E2630C">
        <w:lastRenderedPageBreak/>
        <w:t>CHAPTER FOUR</w:t>
      </w:r>
      <w:bookmarkEnd w:id="92"/>
    </w:p>
    <w:p w14:paraId="2170F13E" w14:textId="77777777" w:rsidR="00CD3724" w:rsidRPr="00E2630C" w:rsidRDefault="00CD3724" w:rsidP="00990904">
      <w:pPr>
        <w:pStyle w:val="Heading1"/>
      </w:pPr>
      <w:bookmarkStart w:id="93" w:name="_Toc182386277"/>
      <w:r w:rsidRPr="00E2630C">
        <w:t>CHIEFTAINCY CONFLICTS AND THEIR ECONOMIC SECURITY EFFECTS</w:t>
      </w:r>
      <w:bookmarkEnd w:id="93"/>
    </w:p>
    <w:p w14:paraId="04E3A0E2" w14:textId="77777777" w:rsidR="00CD3724" w:rsidRPr="00E2630C" w:rsidRDefault="00CD3724" w:rsidP="00990904">
      <w:pPr>
        <w:pStyle w:val="Heading2"/>
      </w:pPr>
      <w:bookmarkStart w:id="94" w:name="_Toc182386278"/>
      <w:r w:rsidRPr="00E2630C">
        <w:t>4.1 Introduction</w:t>
      </w:r>
      <w:bookmarkEnd w:id="94"/>
    </w:p>
    <w:p w14:paraId="2B9FAAE9" w14:textId="5361497B" w:rsidR="00CD3724"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This chapter examines objective one of the study which sought to establish how chieftaincy conflicts affect the economic security of people. A five-point question on a Likert scale, ranging from very high to never was presented for the reaction of the respondents. The means and Standard Deviation of the findings have been presented in Table 4.1. </w:t>
      </w:r>
    </w:p>
    <w:p w14:paraId="7AE82FB7" w14:textId="77777777" w:rsidR="00B3678A" w:rsidRDefault="00B3678A" w:rsidP="00CD3724">
      <w:pPr>
        <w:spacing w:line="480" w:lineRule="auto"/>
        <w:jc w:val="both"/>
        <w:rPr>
          <w:rFonts w:ascii="Times New Roman" w:hAnsi="Times New Roman" w:cs="Times New Roman"/>
          <w:color w:val="000000" w:themeColor="text1"/>
          <w:sz w:val="24"/>
          <w:szCs w:val="24"/>
        </w:rPr>
        <w:sectPr w:rsidR="00B3678A" w:rsidSect="00E2630C">
          <w:type w:val="continuous"/>
          <w:pgSz w:w="11906" w:h="16838" w:code="9"/>
          <w:pgMar w:top="1440" w:right="1440" w:bottom="1440" w:left="2160" w:header="706" w:footer="706" w:gutter="0"/>
          <w:pgNumType w:start="1"/>
          <w:cols w:space="708"/>
          <w:docGrid w:linePitch="360"/>
        </w:sectPr>
      </w:pPr>
    </w:p>
    <w:p w14:paraId="564CCC06" w14:textId="71B9AB29" w:rsidR="00B3678A" w:rsidRPr="00E2630C" w:rsidRDefault="00B3678A" w:rsidP="00CD3724">
      <w:pPr>
        <w:spacing w:line="480" w:lineRule="auto"/>
        <w:jc w:val="both"/>
        <w:rPr>
          <w:rFonts w:ascii="Times New Roman" w:hAnsi="Times New Roman" w:cs="Times New Roman"/>
          <w:color w:val="000000" w:themeColor="text1"/>
          <w:sz w:val="24"/>
          <w:szCs w:val="24"/>
        </w:rPr>
      </w:pPr>
    </w:p>
    <w:p w14:paraId="164D7C4F" w14:textId="77777777" w:rsidR="003C3A39" w:rsidRPr="00E2630C" w:rsidRDefault="00CD3724" w:rsidP="00990904">
      <w:pPr>
        <w:pStyle w:val="Heading6"/>
      </w:pPr>
      <w:bookmarkStart w:id="95" w:name="_Toc182386319"/>
      <w:r w:rsidRPr="00E2630C">
        <w:t xml:space="preserve">Table 4.1: </w:t>
      </w:r>
      <w:r w:rsidR="003C3A39" w:rsidRPr="00E2630C">
        <w:t>Perceptions of The Impact of Chieftaincy Conflicts on Economic Security</w:t>
      </w:r>
      <w:bookmarkEnd w:id="95"/>
    </w:p>
    <w:tbl>
      <w:tblPr>
        <w:tblStyle w:val="TableGrid"/>
        <w:tblW w:w="134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04"/>
        <w:gridCol w:w="1684"/>
        <w:gridCol w:w="1682"/>
        <w:gridCol w:w="1682"/>
        <w:gridCol w:w="1682"/>
        <w:gridCol w:w="1332"/>
        <w:gridCol w:w="1468"/>
        <w:gridCol w:w="1640"/>
      </w:tblGrid>
      <w:tr w:rsidR="002D25B6" w:rsidRPr="00B3678A" w14:paraId="71B8AAFE" w14:textId="77777777" w:rsidTr="00B3678A">
        <w:trPr>
          <w:trHeight w:val="634"/>
        </w:trPr>
        <w:tc>
          <w:tcPr>
            <w:tcW w:w="2304" w:type="dxa"/>
            <w:tcBorders>
              <w:top w:val="single" w:sz="4" w:space="0" w:color="auto"/>
            </w:tcBorders>
          </w:tcPr>
          <w:p w14:paraId="07426DD0" w14:textId="77777777" w:rsidR="00CD3724" w:rsidRPr="00B3678A" w:rsidRDefault="00CD3724" w:rsidP="003315F5">
            <w:pPr>
              <w:rPr>
                <w:rFonts w:ascii="Times New Roman" w:hAnsi="Times New Roman" w:cs="Times New Roman"/>
                <w:b/>
                <w:bCs/>
                <w:color w:val="000000" w:themeColor="text1"/>
                <w:sz w:val="24"/>
                <w:szCs w:val="24"/>
              </w:rPr>
            </w:pPr>
            <w:bookmarkStart w:id="96" w:name="_Hlk152520994"/>
            <w:r w:rsidRPr="00B3678A">
              <w:rPr>
                <w:rFonts w:ascii="Times New Roman" w:hAnsi="Times New Roman" w:cs="Times New Roman"/>
                <w:b/>
                <w:bCs/>
                <w:color w:val="000000" w:themeColor="text1"/>
                <w:sz w:val="24"/>
                <w:szCs w:val="24"/>
              </w:rPr>
              <w:t>The</w:t>
            </w:r>
          </w:p>
        </w:tc>
        <w:tc>
          <w:tcPr>
            <w:tcW w:w="1684" w:type="dxa"/>
            <w:tcBorders>
              <w:top w:val="single" w:sz="4" w:space="0" w:color="auto"/>
            </w:tcBorders>
          </w:tcPr>
          <w:p w14:paraId="1A7B7172"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Very</w:t>
            </w:r>
          </w:p>
        </w:tc>
        <w:tc>
          <w:tcPr>
            <w:tcW w:w="1682" w:type="dxa"/>
            <w:tcBorders>
              <w:top w:val="single" w:sz="4" w:space="0" w:color="auto"/>
            </w:tcBorders>
          </w:tcPr>
          <w:p w14:paraId="0CBBF4B0"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High</w:t>
            </w:r>
          </w:p>
        </w:tc>
        <w:tc>
          <w:tcPr>
            <w:tcW w:w="1682" w:type="dxa"/>
            <w:tcBorders>
              <w:top w:val="single" w:sz="4" w:space="0" w:color="auto"/>
            </w:tcBorders>
          </w:tcPr>
          <w:p w14:paraId="21A6C859"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Very</w:t>
            </w:r>
          </w:p>
        </w:tc>
        <w:tc>
          <w:tcPr>
            <w:tcW w:w="1682" w:type="dxa"/>
            <w:tcBorders>
              <w:top w:val="single" w:sz="4" w:space="0" w:color="auto"/>
            </w:tcBorders>
          </w:tcPr>
          <w:p w14:paraId="1660D1F4"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Low</w:t>
            </w:r>
          </w:p>
        </w:tc>
        <w:tc>
          <w:tcPr>
            <w:tcW w:w="1332" w:type="dxa"/>
            <w:tcBorders>
              <w:top w:val="single" w:sz="4" w:space="0" w:color="auto"/>
            </w:tcBorders>
          </w:tcPr>
          <w:p w14:paraId="1B634C65"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Never</w:t>
            </w:r>
          </w:p>
        </w:tc>
        <w:tc>
          <w:tcPr>
            <w:tcW w:w="1468" w:type="dxa"/>
            <w:tcBorders>
              <w:top w:val="single" w:sz="4" w:space="0" w:color="auto"/>
            </w:tcBorders>
          </w:tcPr>
          <w:p w14:paraId="4B766E7F"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Mean</w:t>
            </w:r>
          </w:p>
        </w:tc>
        <w:tc>
          <w:tcPr>
            <w:tcW w:w="1640" w:type="dxa"/>
            <w:tcBorders>
              <w:top w:val="single" w:sz="4" w:space="0" w:color="auto"/>
            </w:tcBorders>
          </w:tcPr>
          <w:p w14:paraId="1979D3A2"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Standard Deviation</w:t>
            </w:r>
          </w:p>
        </w:tc>
      </w:tr>
      <w:tr w:rsidR="002D25B6" w:rsidRPr="00B3678A" w14:paraId="465EF739" w14:textId="77777777" w:rsidTr="00B3678A">
        <w:trPr>
          <w:trHeight w:val="565"/>
        </w:trPr>
        <w:tc>
          <w:tcPr>
            <w:tcW w:w="2304" w:type="dxa"/>
          </w:tcPr>
          <w:p w14:paraId="5484B481" w14:textId="77777777" w:rsidR="00CD3724" w:rsidRPr="00B3678A" w:rsidRDefault="00CD3724" w:rsidP="003315F5">
            <w:pP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Repercussion of</w:t>
            </w:r>
          </w:p>
        </w:tc>
        <w:tc>
          <w:tcPr>
            <w:tcW w:w="1684" w:type="dxa"/>
          </w:tcPr>
          <w:p w14:paraId="020D97CD"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High</w:t>
            </w:r>
          </w:p>
        </w:tc>
        <w:tc>
          <w:tcPr>
            <w:tcW w:w="1682" w:type="dxa"/>
          </w:tcPr>
          <w:p w14:paraId="5E854C44" w14:textId="77777777" w:rsidR="00CD3724" w:rsidRPr="00B3678A" w:rsidRDefault="00CD3724" w:rsidP="003315F5">
            <w:pPr>
              <w:jc w:val="center"/>
              <w:rPr>
                <w:rFonts w:ascii="Times New Roman" w:hAnsi="Times New Roman" w:cs="Times New Roman"/>
                <w:b/>
                <w:bCs/>
                <w:color w:val="000000" w:themeColor="text1"/>
                <w:sz w:val="24"/>
                <w:szCs w:val="24"/>
              </w:rPr>
            </w:pPr>
          </w:p>
        </w:tc>
        <w:tc>
          <w:tcPr>
            <w:tcW w:w="1682" w:type="dxa"/>
          </w:tcPr>
          <w:p w14:paraId="3ACBC0C5"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Low</w:t>
            </w:r>
          </w:p>
        </w:tc>
        <w:tc>
          <w:tcPr>
            <w:tcW w:w="1682" w:type="dxa"/>
          </w:tcPr>
          <w:p w14:paraId="35AF1DE8" w14:textId="77777777" w:rsidR="00CD3724" w:rsidRPr="00B3678A" w:rsidRDefault="00CD3724" w:rsidP="003315F5">
            <w:pPr>
              <w:jc w:val="center"/>
              <w:rPr>
                <w:rFonts w:ascii="Times New Roman" w:hAnsi="Times New Roman" w:cs="Times New Roman"/>
                <w:b/>
                <w:bCs/>
                <w:color w:val="000000" w:themeColor="text1"/>
                <w:sz w:val="24"/>
                <w:szCs w:val="24"/>
              </w:rPr>
            </w:pPr>
          </w:p>
        </w:tc>
        <w:tc>
          <w:tcPr>
            <w:tcW w:w="1332" w:type="dxa"/>
          </w:tcPr>
          <w:p w14:paraId="1A1B2D0B" w14:textId="77777777" w:rsidR="00CD3724" w:rsidRPr="00B3678A" w:rsidRDefault="00CD3724" w:rsidP="003315F5">
            <w:pPr>
              <w:jc w:val="center"/>
              <w:rPr>
                <w:rFonts w:ascii="Times New Roman" w:hAnsi="Times New Roman" w:cs="Times New Roman"/>
                <w:b/>
                <w:bCs/>
                <w:color w:val="000000" w:themeColor="text1"/>
                <w:sz w:val="24"/>
                <w:szCs w:val="24"/>
              </w:rPr>
            </w:pPr>
          </w:p>
        </w:tc>
        <w:tc>
          <w:tcPr>
            <w:tcW w:w="1468" w:type="dxa"/>
          </w:tcPr>
          <w:p w14:paraId="1F9BB7B8" w14:textId="77777777" w:rsidR="00CD3724" w:rsidRPr="00B3678A" w:rsidRDefault="00CD3724" w:rsidP="003315F5">
            <w:pPr>
              <w:jc w:val="center"/>
              <w:rPr>
                <w:rFonts w:ascii="Times New Roman" w:hAnsi="Times New Roman" w:cs="Times New Roman"/>
                <w:b/>
                <w:bCs/>
                <w:color w:val="000000" w:themeColor="text1"/>
                <w:sz w:val="24"/>
                <w:szCs w:val="24"/>
              </w:rPr>
            </w:pPr>
          </w:p>
        </w:tc>
        <w:tc>
          <w:tcPr>
            <w:tcW w:w="1640" w:type="dxa"/>
          </w:tcPr>
          <w:p w14:paraId="33E3D494" w14:textId="77777777" w:rsidR="00CD3724" w:rsidRPr="00B3678A" w:rsidRDefault="00CD3724" w:rsidP="003315F5">
            <w:pPr>
              <w:jc w:val="center"/>
              <w:rPr>
                <w:rFonts w:ascii="Times New Roman" w:hAnsi="Times New Roman" w:cs="Times New Roman"/>
                <w:b/>
                <w:bCs/>
                <w:color w:val="000000" w:themeColor="text1"/>
                <w:sz w:val="24"/>
                <w:szCs w:val="24"/>
              </w:rPr>
            </w:pPr>
          </w:p>
        </w:tc>
      </w:tr>
      <w:tr w:rsidR="002D25B6" w:rsidRPr="00B3678A" w14:paraId="16CAC60D" w14:textId="77777777" w:rsidTr="00B3678A">
        <w:trPr>
          <w:trHeight w:val="565"/>
        </w:trPr>
        <w:tc>
          <w:tcPr>
            <w:tcW w:w="2304" w:type="dxa"/>
            <w:tcBorders>
              <w:bottom w:val="single" w:sz="4" w:space="0" w:color="auto"/>
            </w:tcBorders>
          </w:tcPr>
          <w:p w14:paraId="443F2E28" w14:textId="77777777" w:rsidR="00CD3724" w:rsidRPr="00B3678A" w:rsidRDefault="00CD3724" w:rsidP="003315F5">
            <w:pP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The conflicts on</w:t>
            </w:r>
          </w:p>
        </w:tc>
        <w:tc>
          <w:tcPr>
            <w:tcW w:w="1684" w:type="dxa"/>
            <w:tcBorders>
              <w:bottom w:val="single" w:sz="4" w:space="0" w:color="auto"/>
            </w:tcBorders>
          </w:tcPr>
          <w:p w14:paraId="46DA9650"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w:t>
            </w:r>
          </w:p>
        </w:tc>
        <w:tc>
          <w:tcPr>
            <w:tcW w:w="1682" w:type="dxa"/>
            <w:tcBorders>
              <w:bottom w:val="single" w:sz="4" w:space="0" w:color="auto"/>
            </w:tcBorders>
          </w:tcPr>
          <w:p w14:paraId="4AC5567A"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w:t>
            </w:r>
          </w:p>
        </w:tc>
        <w:tc>
          <w:tcPr>
            <w:tcW w:w="1682" w:type="dxa"/>
            <w:tcBorders>
              <w:bottom w:val="single" w:sz="4" w:space="0" w:color="auto"/>
            </w:tcBorders>
          </w:tcPr>
          <w:p w14:paraId="0F9350E1"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w:t>
            </w:r>
          </w:p>
        </w:tc>
        <w:tc>
          <w:tcPr>
            <w:tcW w:w="1682" w:type="dxa"/>
            <w:tcBorders>
              <w:bottom w:val="single" w:sz="4" w:space="0" w:color="auto"/>
            </w:tcBorders>
          </w:tcPr>
          <w:p w14:paraId="219270F3"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w:t>
            </w:r>
          </w:p>
        </w:tc>
        <w:tc>
          <w:tcPr>
            <w:tcW w:w="1332" w:type="dxa"/>
            <w:tcBorders>
              <w:bottom w:val="single" w:sz="4" w:space="0" w:color="auto"/>
            </w:tcBorders>
          </w:tcPr>
          <w:p w14:paraId="0A03F060" w14:textId="77777777" w:rsidR="00CD3724" w:rsidRPr="00B3678A" w:rsidRDefault="00CD3724" w:rsidP="003315F5">
            <w:pPr>
              <w:jc w:val="center"/>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w:t>
            </w:r>
          </w:p>
        </w:tc>
        <w:tc>
          <w:tcPr>
            <w:tcW w:w="1468" w:type="dxa"/>
            <w:tcBorders>
              <w:bottom w:val="single" w:sz="4" w:space="0" w:color="auto"/>
            </w:tcBorders>
          </w:tcPr>
          <w:p w14:paraId="54293B09" w14:textId="77777777" w:rsidR="00CD3724" w:rsidRPr="00B3678A" w:rsidRDefault="00CD3724" w:rsidP="003315F5">
            <w:pPr>
              <w:jc w:val="center"/>
              <w:rPr>
                <w:rFonts w:ascii="Times New Roman" w:hAnsi="Times New Roman" w:cs="Times New Roman"/>
                <w:b/>
                <w:bCs/>
                <w:color w:val="000000" w:themeColor="text1"/>
                <w:sz w:val="24"/>
                <w:szCs w:val="24"/>
              </w:rPr>
            </w:pPr>
          </w:p>
        </w:tc>
        <w:tc>
          <w:tcPr>
            <w:tcW w:w="1640" w:type="dxa"/>
            <w:tcBorders>
              <w:bottom w:val="single" w:sz="4" w:space="0" w:color="auto"/>
            </w:tcBorders>
          </w:tcPr>
          <w:p w14:paraId="4CCAAFE5" w14:textId="77777777" w:rsidR="00CD3724" w:rsidRPr="00B3678A" w:rsidRDefault="00CD3724" w:rsidP="003315F5">
            <w:pPr>
              <w:jc w:val="center"/>
              <w:rPr>
                <w:rFonts w:ascii="Times New Roman" w:hAnsi="Times New Roman" w:cs="Times New Roman"/>
                <w:b/>
                <w:bCs/>
                <w:color w:val="000000" w:themeColor="text1"/>
                <w:sz w:val="24"/>
                <w:szCs w:val="24"/>
              </w:rPr>
            </w:pPr>
          </w:p>
        </w:tc>
      </w:tr>
      <w:tr w:rsidR="002D25B6" w:rsidRPr="00B3678A" w14:paraId="6D8E986E" w14:textId="77777777" w:rsidTr="00B3678A">
        <w:trPr>
          <w:trHeight w:val="412"/>
        </w:trPr>
        <w:tc>
          <w:tcPr>
            <w:tcW w:w="2304" w:type="dxa"/>
            <w:tcBorders>
              <w:top w:val="single" w:sz="4" w:space="0" w:color="auto"/>
            </w:tcBorders>
          </w:tcPr>
          <w:p w14:paraId="7C1C9CBD" w14:textId="77777777" w:rsidR="00CD3724" w:rsidRPr="00B3678A" w:rsidRDefault="00CD3724" w:rsidP="003315F5">
            <w:pPr>
              <w:spacing w:line="360" w:lineRule="auto"/>
              <w:jc w:val="center"/>
              <w:rPr>
                <w:rFonts w:ascii="Times New Roman" w:hAnsi="Times New Roman" w:cs="Times New Roman"/>
                <w:b/>
                <w:bCs/>
                <w:color w:val="000000" w:themeColor="text1"/>
                <w:sz w:val="24"/>
                <w:szCs w:val="24"/>
              </w:rPr>
            </w:pPr>
            <w:bookmarkStart w:id="97" w:name="_Hlk152533958"/>
            <w:r w:rsidRPr="00B3678A">
              <w:rPr>
                <w:rFonts w:ascii="Times New Roman" w:hAnsi="Times New Roman" w:cs="Times New Roman"/>
                <w:color w:val="000000" w:themeColor="text1"/>
                <w:sz w:val="24"/>
                <w:szCs w:val="24"/>
              </w:rPr>
              <w:t>Unemployment</w:t>
            </w:r>
          </w:p>
        </w:tc>
        <w:tc>
          <w:tcPr>
            <w:tcW w:w="1684" w:type="dxa"/>
            <w:tcBorders>
              <w:top w:val="single" w:sz="4" w:space="0" w:color="auto"/>
            </w:tcBorders>
          </w:tcPr>
          <w:p w14:paraId="70B5EB74"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 xml:space="preserve">67(20.1%)  </w:t>
            </w:r>
          </w:p>
        </w:tc>
        <w:tc>
          <w:tcPr>
            <w:tcW w:w="1682" w:type="dxa"/>
            <w:tcBorders>
              <w:top w:val="single" w:sz="4" w:space="0" w:color="auto"/>
            </w:tcBorders>
          </w:tcPr>
          <w:p w14:paraId="0E16B775"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82(24.6%)</w:t>
            </w:r>
          </w:p>
        </w:tc>
        <w:tc>
          <w:tcPr>
            <w:tcW w:w="1682" w:type="dxa"/>
            <w:tcBorders>
              <w:top w:val="single" w:sz="4" w:space="0" w:color="auto"/>
            </w:tcBorders>
          </w:tcPr>
          <w:p w14:paraId="1888AFCA"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64(19.2%)</w:t>
            </w:r>
          </w:p>
        </w:tc>
        <w:tc>
          <w:tcPr>
            <w:tcW w:w="1682" w:type="dxa"/>
            <w:tcBorders>
              <w:top w:val="single" w:sz="4" w:space="0" w:color="auto"/>
            </w:tcBorders>
          </w:tcPr>
          <w:p w14:paraId="4ECC9945"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64(19.2%)</w:t>
            </w:r>
          </w:p>
        </w:tc>
        <w:tc>
          <w:tcPr>
            <w:tcW w:w="1332" w:type="dxa"/>
            <w:tcBorders>
              <w:top w:val="single" w:sz="4" w:space="0" w:color="auto"/>
            </w:tcBorders>
          </w:tcPr>
          <w:p w14:paraId="1A20D172"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56(16.8%)</w:t>
            </w:r>
          </w:p>
        </w:tc>
        <w:tc>
          <w:tcPr>
            <w:tcW w:w="1468" w:type="dxa"/>
            <w:tcBorders>
              <w:top w:val="single" w:sz="4" w:space="0" w:color="auto"/>
            </w:tcBorders>
          </w:tcPr>
          <w:p w14:paraId="780FD309"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3.12</w:t>
            </w:r>
          </w:p>
        </w:tc>
        <w:tc>
          <w:tcPr>
            <w:tcW w:w="1640" w:type="dxa"/>
            <w:tcBorders>
              <w:top w:val="single" w:sz="4" w:space="0" w:color="auto"/>
            </w:tcBorders>
          </w:tcPr>
          <w:p w14:paraId="121FEB32"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1.38</w:t>
            </w:r>
          </w:p>
        </w:tc>
      </w:tr>
      <w:tr w:rsidR="002D25B6" w:rsidRPr="00B3678A" w14:paraId="3012C01E" w14:textId="77777777" w:rsidTr="00B3678A">
        <w:trPr>
          <w:trHeight w:val="847"/>
        </w:trPr>
        <w:tc>
          <w:tcPr>
            <w:tcW w:w="2304" w:type="dxa"/>
          </w:tcPr>
          <w:p w14:paraId="127AA7CE" w14:textId="77777777" w:rsidR="00CD3724" w:rsidRPr="00B3678A" w:rsidRDefault="00CD3724" w:rsidP="003315F5">
            <w:pPr>
              <w:spacing w:line="360" w:lineRule="auto"/>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Access to credit</w:t>
            </w:r>
          </w:p>
        </w:tc>
        <w:tc>
          <w:tcPr>
            <w:tcW w:w="1684" w:type="dxa"/>
          </w:tcPr>
          <w:p w14:paraId="0684366C"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 xml:space="preserve">42(12.6%) </w:t>
            </w:r>
          </w:p>
        </w:tc>
        <w:tc>
          <w:tcPr>
            <w:tcW w:w="1682" w:type="dxa"/>
          </w:tcPr>
          <w:p w14:paraId="192883A3"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95(28.5%)</w:t>
            </w:r>
          </w:p>
        </w:tc>
        <w:tc>
          <w:tcPr>
            <w:tcW w:w="1682" w:type="dxa"/>
          </w:tcPr>
          <w:p w14:paraId="424EB2BF"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91(27.3%)</w:t>
            </w:r>
          </w:p>
        </w:tc>
        <w:tc>
          <w:tcPr>
            <w:tcW w:w="1682" w:type="dxa"/>
          </w:tcPr>
          <w:p w14:paraId="602C1B82"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75(22.5%)</w:t>
            </w:r>
          </w:p>
        </w:tc>
        <w:tc>
          <w:tcPr>
            <w:tcW w:w="1332" w:type="dxa"/>
          </w:tcPr>
          <w:p w14:paraId="17282711"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30(9%)</w:t>
            </w:r>
          </w:p>
        </w:tc>
        <w:tc>
          <w:tcPr>
            <w:tcW w:w="1468" w:type="dxa"/>
          </w:tcPr>
          <w:p w14:paraId="7A6F6CAC"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3.13</w:t>
            </w:r>
          </w:p>
        </w:tc>
        <w:tc>
          <w:tcPr>
            <w:tcW w:w="1640" w:type="dxa"/>
          </w:tcPr>
          <w:p w14:paraId="1FA8F6DA"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1.17</w:t>
            </w:r>
          </w:p>
        </w:tc>
      </w:tr>
      <w:tr w:rsidR="002D25B6" w:rsidRPr="00B3678A" w14:paraId="212D529B" w14:textId="77777777" w:rsidTr="00B3678A">
        <w:trPr>
          <w:trHeight w:val="847"/>
        </w:trPr>
        <w:tc>
          <w:tcPr>
            <w:tcW w:w="2304" w:type="dxa"/>
            <w:tcBorders>
              <w:bottom w:val="single" w:sz="4" w:space="0" w:color="auto"/>
            </w:tcBorders>
          </w:tcPr>
          <w:p w14:paraId="5A611E35"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Revenue generation</w:t>
            </w:r>
          </w:p>
        </w:tc>
        <w:tc>
          <w:tcPr>
            <w:tcW w:w="1684" w:type="dxa"/>
            <w:tcBorders>
              <w:bottom w:val="single" w:sz="4" w:space="0" w:color="auto"/>
            </w:tcBorders>
          </w:tcPr>
          <w:p w14:paraId="5AD0B2E4"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 xml:space="preserve">69(20.4%) </w:t>
            </w:r>
          </w:p>
        </w:tc>
        <w:tc>
          <w:tcPr>
            <w:tcW w:w="1682" w:type="dxa"/>
            <w:tcBorders>
              <w:bottom w:val="single" w:sz="4" w:space="0" w:color="auto"/>
            </w:tcBorders>
          </w:tcPr>
          <w:p w14:paraId="136BB44A"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68(20.4%)</w:t>
            </w:r>
          </w:p>
        </w:tc>
        <w:tc>
          <w:tcPr>
            <w:tcW w:w="1682" w:type="dxa"/>
            <w:tcBorders>
              <w:bottom w:val="single" w:sz="4" w:space="0" w:color="auto"/>
            </w:tcBorders>
          </w:tcPr>
          <w:p w14:paraId="25F03E18"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86(25.8%)</w:t>
            </w:r>
          </w:p>
        </w:tc>
        <w:tc>
          <w:tcPr>
            <w:tcW w:w="1682" w:type="dxa"/>
            <w:tcBorders>
              <w:bottom w:val="single" w:sz="4" w:space="0" w:color="auto"/>
            </w:tcBorders>
          </w:tcPr>
          <w:p w14:paraId="0C8AF5F0"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88(26.4%)</w:t>
            </w:r>
          </w:p>
        </w:tc>
        <w:tc>
          <w:tcPr>
            <w:tcW w:w="1332" w:type="dxa"/>
            <w:tcBorders>
              <w:bottom w:val="single" w:sz="4" w:space="0" w:color="auto"/>
            </w:tcBorders>
          </w:tcPr>
          <w:p w14:paraId="4A09BC26"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22(6.6%)</w:t>
            </w:r>
          </w:p>
        </w:tc>
        <w:tc>
          <w:tcPr>
            <w:tcW w:w="1468" w:type="dxa"/>
            <w:tcBorders>
              <w:bottom w:val="single" w:sz="4" w:space="0" w:color="auto"/>
            </w:tcBorders>
          </w:tcPr>
          <w:p w14:paraId="7283CDFA"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3.23</w:t>
            </w:r>
          </w:p>
        </w:tc>
        <w:tc>
          <w:tcPr>
            <w:tcW w:w="1640" w:type="dxa"/>
            <w:tcBorders>
              <w:bottom w:val="single" w:sz="4" w:space="0" w:color="auto"/>
            </w:tcBorders>
          </w:tcPr>
          <w:p w14:paraId="4581D74C"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1.24</w:t>
            </w:r>
          </w:p>
        </w:tc>
      </w:tr>
      <w:bookmarkEnd w:id="97"/>
      <w:tr w:rsidR="002D25B6" w:rsidRPr="00B3678A" w14:paraId="5BF13D4F" w14:textId="77777777" w:rsidTr="00B3678A">
        <w:trPr>
          <w:trHeight w:val="424"/>
        </w:trPr>
        <w:tc>
          <w:tcPr>
            <w:tcW w:w="2304" w:type="dxa"/>
            <w:tcBorders>
              <w:top w:val="single" w:sz="4" w:space="0" w:color="auto"/>
              <w:bottom w:val="single" w:sz="4" w:space="0" w:color="auto"/>
            </w:tcBorders>
          </w:tcPr>
          <w:p w14:paraId="62C6CF89" w14:textId="77777777" w:rsidR="00CD3724" w:rsidRPr="00B3678A" w:rsidRDefault="00CD3724" w:rsidP="003315F5">
            <w:pPr>
              <w:spacing w:line="360" w:lineRule="auto"/>
              <w:jc w:val="both"/>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 xml:space="preserve">Weighted </w:t>
            </w:r>
          </w:p>
        </w:tc>
        <w:tc>
          <w:tcPr>
            <w:tcW w:w="1684" w:type="dxa"/>
            <w:tcBorders>
              <w:top w:val="single" w:sz="4" w:space="0" w:color="auto"/>
              <w:bottom w:val="single" w:sz="4" w:space="0" w:color="auto"/>
            </w:tcBorders>
          </w:tcPr>
          <w:p w14:paraId="0014A2B3" w14:textId="77777777" w:rsidR="00CD3724" w:rsidRPr="00B3678A" w:rsidRDefault="00CD3724" w:rsidP="003315F5">
            <w:pPr>
              <w:spacing w:line="360" w:lineRule="auto"/>
              <w:jc w:val="both"/>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Average</w:t>
            </w:r>
          </w:p>
        </w:tc>
        <w:tc>
          <w:tcPr>
            <w:tcW w:w="1682" w:type="dxa"/>
            <w:tcBorders>
              <w:top w:val="single" w:sz="4" w:space="0" w:color="auto"/>
              <w:bottom w:val="single" w:sz="4" w:space="0" w:color="auto"/>
            </w:tcBorders>
          </w:tcPr>
          <w:p w14:paraId="32B25E08"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p>
        </w:tc>
        <w:tc>
          <w:tcPr>
            <w:tcW w:w="1682" w:type="dxa"/>
            <w:tcBorders>
              <w:top w:val="single" w:sz="4" w:space="0" w:color="auto"/>
              <w:bottom w:val="single" w:sz="4" w:space="0" w:color="auto"/>
            </w:tcBorders>
          </w:tcPr>
          <w:p w14:paraId="7FCE2ACD"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p>
        </w:tc>
        <w:tc>
          <w:tcPr>
            <w:tcW w:w="1682" w:type="dxa"/>
            <w:tcBorders>
              <w:top w:val="single" w:sz="4" w:space="0" w:color="auto"/>
              <w:bottom w:val="single" w:sz="4" w:space="0" w:color="auto"/>
            </w:tcBorders>
          </w:tcPr>
          <w:p w14:paraId="234CF668"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r w:rsidRPr="00B3678A">
              <w:rPr>
                <w:rFonts w:ascii="Times New Roman" w:hAnsi="Times New Roman" w:cs="Times New Roman"/>
                <w:color w:val="000000" w:themeColor="text1"/>
                <w:sz w:val="24"/>
                <w:szCs w:val="24"/>
              </w:rPr>
              <w:t xml:space="preserve">   </w:t>
            </w:r>
          </w:p>
        </w:tc>
        <w:tc>
          <w:tcPr>
            <w:tcW w:w="1332" w:type="dxa"/>
            <w:tcBorders>
              <w:top w:val="single" w:sz="4" w:space="0" w:color="auto"/>
              <w:bottom w:val="single" w:sz="4" w:space="0" w:color="auto"/>
            </w:tcBorders>
          </w:tcPr>
          <w:p w14:paraId="5A95B80A" w14:textId="77777777" w:rsidR="00CD3724" w:rsidRPr="00B3678A" w:rsidRDefault="00CD3724" w:rsidP="003315F5">
            <w:pPr>
              <w:spacing w:line="360" w:lineRule="auto"/>
              <w:jc w:val="both"/>
              <w:rPr>
                <w:rFonts w:ascii="Times New Roman" w:hAnsi="Times New Roman" w:cs="Times New Roman"/>
                <w:color w:val="000000" w:themeColor="text1"/>
                <w:sz w:val="24"/>
                <w:szCs w:val="24"/>
              </w:rPr>
            </w:pPr>
          </w:p>
        </w:tc>
        <w:tc>
          <w:tcPr>
            <w:tcW w:w="1468" w:type="dxa"/>
            <w:tcBorders>
              <w:top w:val="single" w:sz="4" w:space="0" w:color="auto"/>
              <w:bottom w:val="single" w:sz="4" w:space="0" w:color="auto"/>
            </w:tcBorders>
          </w:tcPr>
          <w:p w14:paraId="3CC243AE" w14:textId="77777777" w:rsidR="00CD3724" w:rsidRPr="00B3678A" w:rsidRDefault="00CD3724" w:rsidP="003315F5">
            <w:pPr>
              <w:spacing w:line="360" w:lineRule="auto"/>
              <w:jc w:val="both"/>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3.16</w:t>
            </w:r>
          </w:p>
        </w:tc>
        <w:tc>
          <w:tcPr>
            <w:tcW w:w="1640" w:type="dxa"/>
            <w:tcBorders>
              <w:top w:val="single" w:sz="4" w:space="0" w:color="auto"/>
              <w:bottom w:val="single" w:sz="4" w:space="0" w:color="auto"/>
            </w:tcBorders>
          </w:tcPr>
          <w:p w14:paraId="03AB4135" w14:textId="77777777" w:rsidR="00CD3724" w:rsidRPr="00B3678A" w:rsidRDefault="00CD3724" w:rsidP="003315F5">
            <w:pPr>
              <w:spacing w:line="360" w:lineRule="auto"/>
              <w:jc w:val="both"/>
              <w:rPr>
                <w:rFonts w:ascii="Times New Roman" w:hAnsi="Times New Roman" w:cs="Times New Roman"/>
                <w:b/>
                <w:bCs/>
                <w:color w:val="000000" w:themeColor="text1"/>
                <w:sz w:val="24"/>
                <w:szCs w:val="24"/>
              </w:rPr>
            </w:pPr>
            <w:r w:rsidRPr="00B3678A">
              <w:rPr>
                <w:rFonts w:ascii="Times New Roman" w:hAnsi="Times New Roman" w:cs="Times New Roman"/>
                <w:b/>
                <w:bCs/>
                <w:color w:val="000000" w:themeColor="text1"/>
                <w:sz w:val="24"/>
                <w:szCs w:val="24"/>
              </w:rPr>
              <w:t>1.26</w:t>
            </w:r>
          </w:p>
        </w:tc>
      </w:tr>
    </w:tbl>
    <w:bookmarkEnd w:id="96"/>
    <w:p w14:paraId="50C9DC3C" w14:textId="77777777" w:rsidR="00CD3724" w:rsidRPr="00E2630C" w:rsidRDefault="00CD3724" w:rsidP="00CD3724">
      <w:pPr>
        <w:spacing w:line="480" w:lineRule="auto"/>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 xml:space="preserve">Source: Fieldwork, 2023 Scale = 1 Never, 2 Low, 3 Very Low, 4 High, 5 Very high </w:t>
      </w:r>
    </w:p>
    <w:p w14:paraId="29EAD424" w14:textId="77777777" w:rsidR="00B3678A" w:rsidRDefault="00B3678A" w:rsidP="00CD3724">
      <w:pPr>
        <w:spacing w:line="480" w:lineRule="auto"/>
        <w:jc w:val="both"/>
        <w:rPr>
          <w:rFonts w:ascii="Times New Roman" w:hAnsi="Times New Roman" w:cs="Times New Roman"/>
          <w:color w:val="000000" w:themeColor="text1"/>
          <w:sz w:val="24"/>
          <w:szCs w:val="24"/>
        </w:rPr>
        <w:sectPr w:rsidR="00B3678A" w:rsidSect="00B3678A">
          <w:type w:val="continuous"/>
          <w:pgSz w:w="16838" w:h="11906" w:orient="landscape" w:code="9"/>
          <w:pgMar w:top="1440" w:right="1440" w:bottom="2160" w:left="1440" w:header="706" w:footer="706" w:gutter="0"/>
          <w:cols w:space="708"/>
          <w:docGrid w:linePitch="360"/>
        </w:sectPr>
      </w:pPr>
      <w:bookmarkStart w:id="98" w:name="_Hlk152535869"/>
      <w:bookmarkStart w:id="99" w:name="_Hlk152537947"/>
    </w:p>
    <w:p w14:paraId="6B12D026" w14:textId="6EC83E8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Means range 0.00 – 3.00 = Respondents’ disagreement concerning chieftaincy conflicts and economic security, while 3.01 – 5.0 = Respondents agreement concerning chieftaincy conflicts and economic security.</w:t>
      </w:r>
    </w:p>
    <w:bookmarkEnd w:id="98"/>
    <w:p w14:paraId="4BC8204A" w14:textId="39F2101D" w:rsidR="00CD3724" w:rsidRDefault="00CD3724" w:rsidP="00CD3724">
      <w:pPr>
        <w:spacing w:line="480" w:lineRule="auto"/>
        <w:jc w:val="both"/>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sz w:val="24"/>
          <w:szCs w:val="24"/>
        </w:rPr>
        <w:t>As displayed in Table 4.1, the weighted average (M = 3.16; SD = 1.26) signifies a prevailing consensus among respondents affirming the notion that chieftaincy conflicts could influence unemployment, access to credit and revenue generation. The moderate standard deviation of 1.26 suggests a considerable dispersion in respondents' responses, indicating a diverse range of perspectives clustering around the mean.</w:t>
      </w:r>
      <w:r w:rsidRPr="00E2630C">
        <w:rPr>
          <w:rFonts w:ascii="Times New Roman" w:eastAsia="Calibri" w:hAnsi="Times New Roman" w:cs="Times New Roman"/>
          <w:color w:val="000000" w:themeColor="text1"/>
          <w:sz w:val="24"/>
          <w:szCs w:val="24"/>
        </w:rPr>
        <w:t xml:space="preserve"> </w:t>
      </w:r>
      <w:bookmarkStart w:id="100" w:name="_Hlk152600659"/>
      <w:r w:rsidRPr="00E2630C">
        <w:rPr>
          <w:rFonts w:ascii="Times New Roman" w:eastAsia="Calibri" w:hAnsi="Times New Roman" w:cs="Times New Roman"/>
          <w:color w:val="000000" w:themeColor="text1"/>
          <w:sz w:val="24"/>
          <w:szCs w:val="24"/>
        </w:rPr>
        <w:t>Probing further,</w:t>
      </w:r>
      <w:r w:rsidRPr="00E2630C">
        <w:rPr>
          <w:rFonts w:ascii="Times New Roman" w:eastAsia="Calibri" w:hAnsi="Times New Roman" w:cs="Times New Roman"/>
          <w:b/>
          <w:color w:val="000000" w:themeColor="text1"/>
          <w:sz w:val="24"/>
          <w:szCs w:val="24"/>
        </w:rPr>
        <w:t xml:space="preserve"> </w:t>
      </w:r>
      <w:r w:rsidRPr="00E2630C">
        <w:rPr>
          <w:rFonts w:ascii="Times New Roman" w:eastAsia="Calibri" w:hAnsi="Times New Roman" w:cs="Times New Roman"/>
          <w:color w:val="000000" w:themeColor="text1"/>
          <w:sz w:val="24"/>
          <w:szCs w:val="24"/>
        </w:rPr>
        <w:t>the study investigated the potential influence of chieftaincy conflict on the economic security of people in Bimbilla. The hypothesis posited that chieftaincy conflict would have a positive influence on unemployment, access to credit, and revenue generation. To assess this hypothesis, a multiple regression analysis was employed.</w:t>
      </w:r>
      <w:bookmarkEnd w:id="100"/>
    </w:p>
    <w:p w14:paraId="1660EB99" w14:textId="56BA3452" w:rsidR="00B3678A" w:rsidRDefault="00B3678A" w:rsidP="00CD3724">
      <w:pPr>
        <w:spacing w:line="480" w:lineRule="auto"/>
        <w:jc w:val="both"/>
        <w:rPr>
          <w:rFonts w:ascii="Times New Roman" w:eastAsia="Calibri" w:hAnsi="Times New Roman" w:cs="Times New Roman"/>
          <w:color w:val="000000" w:themeColor="text1"/>
          <w:sz w:val="24"/>
          <w:szCs w:val="24"/>
        </w:rPr>
      </w:pPr>
    </w:p>
    <w:p w14:paraId="407614AA" w14:textId="1BB4B259" w:rsidR="00B3678A" w:rsidRDefault="00B3678A" w:rsidP="00CD3724">
      <w:pPr>
        <w:spacing w:line="480" w:lineRule="auto"/>
        <w:jc w:val="both"/>
        <w:rPr>
          <w:rFonts w:ascii="Times New Roman" w:eastAsia="Calibri" w:hAnsi="Times New Roman" w:cs="Times New Roman"/>
          <w:color w:val="000000" w:themeColor="text1"/>
          <w:sz w:val="24"/>
          <w:szCs w:val="24"/>
        </w:rPr>
      </w:pPr>
    </w:p>
    <w:p w14:paraId="7E2ABAC6" w14:textId="6F9E0AE6" w:rsidR="00B3678A" w:rsidRDefault="00B3678A" w:rsidP="00CD3724">
      <w:pPr>
        <w:spacing w:line="480" w:lineRule="auto"/>
        <w:jc w:val="both"/>
        <w:rPr>
          <w:rFonts w:ascii="Times New Roman" w:eastAsia="Calibri" w:hAnsi="Times New Roman" w:cs="Times New Roman"/>
          <w:color w:val="000000" w:themeColor="text1"/>
          <w:sz w:val="24"/>
          <w:szCs w:val="24"/>
        </w:rPr>
      </w:pPr>
    </w:p>
    <w:p w14:paraId="1D150E25" w14:textId="21C8FDF7" w:rsidR="00B3678A" w:rsidRDefault="00B3678A" w:rsidP="00CD3724">
      <w:pPr>
        <w:spacing w:line="480" w:lineRule="auto"/>
        <w:jc w:val="both"/>
        <w:rPr>
          <w:rFonts w:ascii="Times New Roman" w:eastAsia="Calibri" w:hAnsi="Times New Roman" w:cs="Times New Roman"/>
          <w:color w:val="000000" w:themeColor="text1"/>
          <w:sz w:val="24"/>
          <w:szCs w:val="24"/>
        </w:rPr>
      </w:pPr>
    </w:p>
    <w:p w14:paraId="36C3A2FB" w14:textId="19DE8D9F" w:rsidR="00B3678A" w:rsidRDefault="00B3678A" w:rsidP="00CD3724">
      <w:pPr>
        <w:spacing w:line="480" w:lineRule="auto"/>
        <w:jc w:val="both"/>
        <w:rPr>
          <w:rFonts w:ascii="Times New Roman" w:eastAsia="Calibri" w:hAnsi="Times New Roman" w:cs="Times New Roman"/>
          <w:color w:val="000000" w:themeColor="text1"/>
          <w:sz w:val="24"/>
          <w:szCs w:val="24"/>
        </w:rPr>
      </w:pPr>
    </w:p>
    <w:p w14:paraId="09EBDD9D" w14:textId="188E9426" w:rsidR="00B3678A" w:rsidRDefault="00B3678A" w:rsidP="00CD3724">
      <w:pPr>
        <w:spacing w:line="480" w:lineRule="auto"/>
        <w:jc w:val="both"/>
        <w:rPr>
          <w:rFonts w:ascii="Times New Roman" w:eastAsia="Calibri" w:hAnsi="Times New Roman" w:cs="Times New Roman"/>
          <w:color w:val="000000" w:themeColor="text1"/>
          <w:sz w:val="24"/>
          <w:szCs w:val="24"/>
        </w:rPr>
      </w:pPr>
    </w:p>
    <w:p w14:paraId="30D62CCE" w14:textId="6E4F84D2" w:rsidR="00B3678A" w:rsidRDefault="00B3678A" w:rsidP="00CD3724">
      <w:pPr>
        <w:spacing w:line="480" w:lineRule="auto"/>
        <w:jc w:val="both"/>
        <w:rPr>
          <w:rFonts w:ascii="Times New Roman" w:eastAsia="Calibri" w:hAnsi="Times New Roman" w:cs="Times New Roman"/>
          <w:color w:val="000000" w:themeColor="text1"/>
          <w:sz w:val="24"/>
          <w:szCs w:val="24"/>
        </w:rPr>
      </w:pPr>
    </w:p>
    <w:p w14:paraId="7BA75543" w14:textId="7A388144" w:rsidR="00B3678A" w:rsidRDefault="00B3678A" w:rsidP="00CD3724">
      <w:pPr>
        <w:spacing w:line="480" w:lineRule="auto"/>
        <w:jc w:val="both"/>
        <w:rPr>
          <w:rFonts w:ascii="Times New Roman" w:eastAsia="Calibri" w:hAnsi="Times New Roman" w:cs="Times New Roman"/>
          <w:color w:val="000000" w:themeColor="text1"/>
          <w:sz w:val="24"/>
          <w:szCs w:val="24"/>
        </w:rPr>
      </w:pPr>
    </w:p>
    <w:p w14:paraId="64C4103A" w14:textId="77777777" w:rsidR="00B3678A" w:rsidRPr="00E2630C" w:rsidRDefault="00B3678A" w:rsidP="00CD3724">
      <w:pPr>
        <w:spacing w:line="480" w:lineRule="auto"/>
        <w:jc w:val="both"/>
        <w:rPr>
          <w:rFonts w:ascii="Times New Roman" w:eastAsia="Calibri" w:hAnsi="Times New Roman" w:cs="Times New Roman"/>
          <w:color w:val="000000" w:themeColor="text1"/>
          <w:sz w:val="24"/>
          <w:szCs w:val="24"/>
        </w:rPr>
      </w:pPr>
    </w:p>
    <w:p w14:paraId="578B92AB" w14:textId="77777777" w:rsidR="00CD3724" w:rsidRPr="00E2630C" w:rsidRDefault="00CD3724" w:rsidP="00990904">
      <w:pPr>
        <w:pStyle w:val="Heading6"/>
      </w:pPr>
      <w:bookmarkStart w:id="101" w:name="_Toc147130491"/>
      <w:bookmarkStart w:id="102" w:name="_Toc182386320"/>
      <w:bookmarkStart w:id="103" w:name="_Hlk152594946"/>
      <w:r w:rsidRPr="00E2630C">
        <w:rPr>
          <w:rFonts w:eastAsia="Calibri"/>
          <w:iCs/>
        </w:rPr>
        <w:lastRenderedPageBreak/>
        <w:t xml:space="preserve">Table 4.2: </w:t>
      </w:r>
      <w:r w:rsidRPr="00990904">
        <w:t>Results</w:t>
      </w:r>
      <w:r w:rsidRPr="00E2630C">
        <w:rPr>
          <w:rFonts w:eastAsia="Calibri"/>
          <w:iCs/>
        </w:rPr>
        <w:t xml:space="preserve"> of Multiple Regression </w:t>
      </w:r>
      <w:bookmarkEnd w:id="101"/>
      <w:r w:rsidRPr="00E2630C">
        <w:rPr>
          <w:rFonts w:eastAsia="Calibri"/>
          <w:iCs/>
        </w:rPr>
        <w:t xml:space="preserve">on </w:t>
      </w:r>
      <w:r w:rsidRPr="00E2630C">
        <w:t>Chieftaincy Conflicts and Economic Security in Bimbilla.</w:t>
      </w:r>
      <w:bookmarkEnd w:id="102"/>
    </w:p>
    <w:p w14:paraId="20869785"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b/>
          <w:bCs/>
          <w:color w:val="000000" w:themeColor="text1"/>
          <w:sz w:val="24"/>
          <w:szCs w:val="24"/>
        </w:rPr>
        <w:t xml:space="preserve">Model summary </w:t>
      </w:r>
    </w:p>
    <w:tbl>
      <w:tblPr>
        <w:tblStyle w:val="TableGrid1"/>
        <w:tblW w:w="791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1"/>
        <w:gridCol w:w="744"/>
        <w:gridCol w:w="1170"/>
        <w:gridCol w:w="2250"/>
        <w:gridCol w:w="2875"/>
      </w:tblGrid>
      <w:tr w:rsidR="002D25B6" w:rsidRPr="00E2630C" w14:paraId="3723B395" w14:textId="77777777" w:rsidTr="003315F5">
        <w:tc>
          <w:tcPr>
            <w:tcW w:w="871" w:type="dxa"/>
            <w:tcBorders>
              <w:top w:val="single" w:sz="4" w:space="0" w:color="auto"/>
              <w:bottom w:val="single" w:sz="4" w:space="0" w:color="auto"/>
            </w:tcBorders>
          </w:tcPr>
          <w:p w14:paraId="666F8448" w14:textId="77777777" w:rsidR="00CD3724" w:rsidRPr="00E2630C" w:rsidRDefault="00CD3724" w:rsidP="00B3678A">
            <w:pPr>
              <w:spacing w:line="24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744" w:type="dxa"/>
            <w:tcBorders>
              <w:top w:val="single" w:sz="4" w:space="0" w:color="auto"/>
              <w:bottom w:val="single" w:sz="4" w:space="0" w:color="auto"/>
            </w:tcBorders>
          </w:tcPr>
          <w:p w14:paraId="5F32BC7C" w14:textId="77777777" w:rsidR="00CD3724" w:rsidRPr="00E2630C" w:rsidRDefault="00CD3724" w:rsidP="00B3678A">
            <w:pPr>
              <w:spacing w:line="24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R</w:t>
            </w:r>
          </w:p>
        </w:tc>
        <w:tc>
          <w:tcPr>
            <w:tcW w:w="1170" w:type="dxa"/>
            <w:tcBorders>
              <w:top w:val="single" w:sz="4" w:space="0" w:color="auto"/>
              <w:bottom w:val="single" w:sz="4" w:space="0" w:color="auto"/>
            </w:tcBorders>
          </w:tcPr>
          <w:p w14:paraId="3875C454" w14:textId="77777777" w:rsidR="00CD3724" w:rsidRPr="00E2630C" w:rsidRDefault="00CD3724" w:rsidP="00B3678A">
            <w:pPr>
              <w:spacing w:line="24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R Square</w:t>
            </w:r>
          </w:p>
        </w:tc>
        <w:tc>
          <w:tcPr>
            <w:tcW w:w="2250" w:type="dxa"/>
            <w:tcBorders>
              <w:top w:val="single" w:sz="4" w:space="0" w:color="auto"/>
              <w:bottom w:val="single" w:sz="4" w:space="0" w:color="auto"/>
            </w:tcBorders>
          </w:tcPr>
          <w:p w14:paraId="18F997D8" w14:textId="77777777" w:rsidR="00CD3724" w:rsidRPr="00E2630C" w:rsidRDefault="00CD3724" w:rsidP="00B3678A">
            <w:pPr>
              <w:spacing w:line="24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Adjusted R square</w:t>
            </w:r>
          </w:p>
        </w:tc>
        <w:tc>
          <w:tcPr>
            <w:tcW w:w="2875" w:type="dxa"/>
            <w:tcBorders>
              <w:top w:val="single" w:sz="4" w:space="0" w:color="auto"/>
              <w:bottom w:val="single" w:sz="4" w:space="0" w:color="auto"/>
            </w:tcBorders>
          </w:tcPr>
          <w:p w14:paraId="3A42FE54" w14:textId="77777777" w:rsidR="00CD3724" w:rsidRPr="00E2630C" w:rsidRDefault="00CD3724" w:rsidP="00B3678A">
            <w:pPr>
              <w:spacing w:line="24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Std. Error of Estimate</w:t>
            </w:r>
          </w:p>
        </w:tc>
      </w:tr>
      <w:tr w:rsidR="002D25B6" w:rsidRPr="00E2630C" w14:paraId="09C1016C" w14:textId="77777777" w:rsidTr="003315F5">
        <w:tc>
          <w:tcPr>
            <w:tcW w:w="871" w:type="dxa"/>
            <w:tcBorders>
              <w:top w:val="single" w:sz="4" w:space="0" w:color="auto"/>
            </w:tcBorders>
            <w:shd w:val="clear" w:color="auto" w:fill="FFFFFF"/>
            <w:vAlign w:val="center"/>
          </w:tcPr>
          <w:p w14:paraId="6FAD3783" w14:textId="77777777" w:rsidR="00CD3724" w:rsidRPr="00E2630C" w:rsidRDefault="00CD3724" w:rsidP="00B3678A">
            <w:pPr>
              <w:spacing w:line="240" w:lineRule="auto"/>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w:t>
            </w:r>
          </w:p>
        </w:tc>
        <w:tc>
          <w:tcPr>
            <w:tcW w:w="744" w:type="dxa"/>
            <w:tcBorders>
              <w:top w:val="single" w:sz="4" w:space="0" w:color="auto"/>
            </w:tcBorders>
            <w:shd w:val="clear" w:color="auto" w:fill="FFFFFF"/>
            <w:vAlign w:val="center"/>
          </w:tcPr>
          <w:p w14:paraId="63379B5E" w14:textId="77777777" w:rsidR="00CD3724" w:rsidRPr="00E2630C" w:rsidRDefault="00CD3724" w:rsidP="00B3678A">
            <w:pPr>
              <w:spacing w:line="24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.240</w:t>
            </w:r>
          </w:p>
        </w:tc>
        <w:tc>
          <w:tcPr>
            <w:tcW w:w="1170" w:type="dxa"/>
            <w:tcBorders>
              <w:top w:val="single" w:sz="4" w:space="0" w:color="auto"/>
            </w:tcBorders>
            <w:shd w:val="clear" w:color="auto" w:fill="FFFFFF"/>
            <w:vAlign w:val="center"/>
          </w:tcPr>
          <w:p w14:paraId="67504BE0" w14:textId="77777777" w:rsidR="00CD3724" w:rsidRPr="00E2630C" w:rsidRDefault="00CD3724" w:rsidP="00B3678A">
            <w:pPr>
              <w:spacing w:line="240" w:lineRule="auto"/>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.058</w:t>
            </w:r>
          </w:p>
        </w:tc>
        <w:tc>
          <w:tcPr>
            <w:tcW w:w="2250" w:type="dxa"/>
            <w:tcBorders>
              <w:top w:val="single" w:sz="4" w:space="0" w:color="auto"/>
            </w:tcBorders>
            <w:shd w:val="clear" w:color="auto" w:fill="FFFFFF"/>
            <w:vAlign w:val="center"/>
          </w:tcPr>
          <w:p w14:paraId="0E7BAB57" w14:textId="77777777" w:rsidR="00CD3724" w:rsidRPr="00E2630C" w:rsidRDefault="00CD3724" w:rsidP="00B3678A">
            <w:pPr>
              <w:spacing w:line="240" w:lineRule="auto"/>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.049</w:t>
            </w:r>
          </w:p>
        </w:tc>
        <w:tc>
          <w:tcPr>
            <w:tcW w:w="2875" w:type="dxa"/>
            <w:tcBorders>
              <w:top w:val="single" w:sz="4" w:space="0" w:color="auto"/>
            </w:tcBorders>
            <w:shd w:val="clear" w:color="auto" w:fill="FFFFFF"/>
            <w:vAlign w:val="center"/>
          </w:tcPr>
          <w:p w14:paraId="3968EFB7" w14:textId="77777777" w:rsidR="00CD3724" w:rsidRPr="00E2630C" w:rsidRDefault="00CD3724" w:rsidP="00B3678A">
            <w:pPr>
              <w:spacing w:line="240" w:lineRule="auto"/>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1.40517</w:t>
            </w:r>
          </w:p>
        </w:tc>
      </w:tr>
    </w:tbl>
    <w:p w14:paraId="4C6039B7" w14:textId="77777777" w:rsidR="00CD3724" w:rsidRPr="00990904" w:rsidRDefault="00CD3724" w:rsidP="00990904">
      <w:pPr>
        <w:pStyle w:val="NoSpacing"/>
        <w:rPr>
          <w:sz w:val="12"/>
          <w:szCs w:val="12"/>
        </w:rPr>
      </w:pPr>
    </w:p>
    <w:p w14:paraId="22930523" w14:textId="77777777" w:rsidR="00CD3724" w:rsidRPr="00E2630C" w:rsidRDefault="00CD3724" w:rsidP="00CD3724">
      <w:pPr>
        <w:autoSpaceDE w:val="0"/>
        <w:autoSpaceDN w:val="0"/>
        <w:adjustRightInd w:val="0"/>
        <w:spacing w:after="0" w:line="400" w:lineRule="atLeast"/>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ANOVA</w:t>
      </w:r>
    </w:p>
    <w:tbl>
      <w:tblPr>
        <w:tblStyle w:val="TableGrid1"/>
        <w:tblW w:w="791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3"/>
        <w:gridCol w:w="2147"/>
        <w:gridCol w:w="1080"/>
        <w:gridCol w:w="1710"/>
        <w:gridCol w:w="1054"/>
        <w:gridCol w:w="636"/>
      </w:tblGrid>
      <w:tr w:rsidR="002D25B6" w:rsidRPr="00E2630C" w14:paraId="3F929610" w14:textId="77777777" w:rsidTr="003315F5">
        <w:tc>
          <w:tcPr>
            <w:tcW w:w="1283" w:type="dxa"/>
            <w:tcBorders>
              <w:top w:val="single" w:sz="4" w:space="0" w:color="auto"/>
              <w:bottom w:val="single" w:sz="4" w:space="0" w:color="auto"/>
            </w:tcBorders>
            <w:shd w:val="clear" w:color="auto" w:fill="FFFFFF"/>
          </w:tcPr>
          <w:p w14:paraId="7D38D984"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2147" w:type="dxa"/>
            <w:tcBorders>
              <w:top w:val="single" w:sz="4" w:space="0" w:color="auto"/>
              <w:bottom w:val="single" w:sz="4" w:space="0" w:color="auto"/>
            </w:tcBorders>
            <w:shd w:val="clear" w:color="auto" w:fill="FFFFFF"/>
          </w:tcPr>
          <w:p w14:paraId="08FD99F0"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Sum of Squares</w:t>
            </w:r>
          </w:p>
        </w:tc>
        <w:tc>
          <w:tcPr>
            <w:tcW w:w="1080" w:type="dxa"/>
            <w:tcBorders>
              <w:top w:val="single" w:sz="4" w:space="0" w:color="auto"/>
              <w:bottom w:val="single" w:sz="4" w:space="0" w:color="auto"/>
            </w:tcBorders>
            <w:shd w:val="clear" w:color="auto" w:fill="FFFFFF"/>
          </w:tcPr>
          <w:p w14:paraId="04073EC5"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df</w:t>
            </w:r>
          </w:p>
        </w:tc>
        <w:tc>
          <w:tcPr>
            <w:tcW w:w="1710" w:type="dxa"/>
            <w:tcBorders>
              <w:top w:val="single" w:sz="4" w:space="0" w:color="auto"/>
              <w:bottom w:val="single" w:sz="4" w:space="0" w:color="auto"/>
            </w:tcBorders>
            <w:shd w:val="clear" w:color="auto" w:fill="FFFFFF"/>
          </w:tcPr>
          <w:p w14:paraId="24FFAFFC"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Mean Square</w:t>
            </w:r>
          </w:p>
        </w:tc>
        <w:tc>
          <w:tcPr>
            <w:tcW w:w="1054" w:type="dxa"/>
            <w:tcBorders>
              <w:top w:val="single" w:sz="4" w:space="0" w:color="auto"/>
              <w:bottom w:val="single" w:sz="4" w:space="0" w:color="auto"/>
            </w:tcBorders>
            <w:shd w:val="clear" w:color="auto" w:fill="FFFFFF"/>
          </w:tcPr>
          <w:p w14:paraId="000F14AB"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F</w:t>
            </w:r>
          </w:p>
        </w:tc>
        <w:tc>
          <w:tcPr>
            <w:tcW w:w="636" w:type="dxa"/>
            <w:tcBorders>
              <w:top w:val="single" w:sz="4" w:space="0" w:color="auto"/>
              <w:bottom w:val="single" w:sz="4" w:space="0" w:color="auto"/>
            </w:tcBorders>
            <w:shd w:val="clear" w:color="auto" w:fill="FFFFFF"/>
          </w:tcPr>
          <w:p w14:paraId="5D98877C"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Sig.</w:t>
            </w:r>
          </w:p>
        </w:tc>
      </w:tr>
      <w:tr w:rsidR="002D25B6" w:rsidRPr="00E2630C" w14:paraId="5778B6FB" w14:textId="77777777" w:rsidTr="003315F5">
        <w:tc>
          <w:tcPr>
            <w:tcW w:w="1283" w:type="dxa"/>
            <w:tcBorders>
              <w:top w:val="single" w:sz="4" w:space="0" w:color="auto"/>
            </w:tcBorders>
            <w:vAlign w:val="center"/>
          </w:tcPr>
          <w:p w14:paraId="7593A825"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Regression</w:t>
            </w:r>
          </w:p>
        </w:tc>
        <w:tc>
          <w:tcPr>
            <w:tcW w:w="2147" w:type="dxa"/>
            <w:tcBorders>
              <w:top w:val="single" w:sz="4" w:space="0" w:color="auto"/>
            </w:tcBorders>
            <w:vAlign w:val="center"/>
          </w:tcPr>
          <w:p w14:paraId="3CA68675"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39.688</w:t>
            </w:r>
          </w:p>
        </w:tc>
        <w:tc>
          <w:tcPr>
            <w:tcW w:w="1080" w:type="dxa"/>
            <w:tcBorders>
              <w:top w:val="single" w:sz="4" w:space="0" w:color="auto"/>
            </w:tcBorders>
            <w:vAlign w:val="center"/>
          </w:tcPr>
          <w:p w14:paraId="5B810973"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3</w:t>
            </w:r>
          </w:p>
        </w:tc>
        <w:tc>
          <w:tcPr>
            <w:tcW w:w="1710" w:type="dxa"/>
            <w:tcBorders>
              <w:top w:val="single" w:sz="4" w:space="0" w:color="auto"/>
            </w:tcBorders>
            <w:vAlign w:val="center"/>
          </w:tcPr>
          <w:p w14:paraId="00545D8B"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13.229</w:t>
            </w:r>
          </w:p>
        </w:tc>
        <w:tc>
          <w:tcPr>
            <w:tcW w:w="1054" w:type="dxa"/>
            <w:tcBorders>
              <w:top w:val="single" w:sz="4" w:space="0" w:color="auto"/>
            </w:tcBorders>
            <w:vAlign w:val="center"/>
          </w:tcPr>
          <w:p w14:paraId="3F954C07"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6.700</w:t>
            </w:r>
          </w:p>
        </w:tc>
        <w:tc>
          <w:tcPr>
            <w:tcW w:w="636" w:type="dxa"/>
            <w:tcBorders>
              <w:top w:val="single" w:sz="4" w:space="0" w:color="auto"/>
            </w:tcBorders>
            <w:vAlign w:val="center"/>
          </w:tcPr>
          <w:p w14:paraId="5D927AAA"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.000</w:t>
            </w:r>
          </w:p>
        </w:tc>
      </w:tr>
      <w:tr w:rsidR="002D25B6" w:rsidRPr="00E2630C" w14:paraId="03EDF9F5" w14:textId="77777777" w:rsidTr="003315F5">
        <w:tc>
          <w:tcPr>
            <w:tcW w:w="1283" w:type="dxa"/>
            <w:tcBorders>
              <w:bottom w:val="single" w:sz="4" w:space="0" w:color="auto"/>
            </w:tcBorders>
            <w:vAlign w:val="center"/>
          </w:tcPr>
          <w:p w14:paraId="4D109240"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Residual</w:t>
            </w:r>
          </w:p>
        </w:tc>
        <w:tc>
          <w:tcPr>
            <w:tcW w:w="2147" w:type="dxa"/>
            <w:tcBorders>
              <w:bottom w:val="single" w:sz="4" w:space="0" w:color="auto"/>
            </w:tcBorders>
            <w:vAlign w:val="center"/>
          </w:tcPr>
          <w:p w14:paraId="0FC77DA4"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649.615</w:t>
            </w:r>
          </w:p>
        </w:tc>
        <w:tc>
          <w:tcPr>
            <w:tcW w:w="1080" w:type="dxa"/>
            <w:tcBorders>
              <w:bottom w:val="single" w:sz="4" w:space="0" w:color="auto"/>
            </w:tcBorders>
            <w:vAlign w:val="center"/>
          </w:tcPr>
          <w:p w14:paraId="732BAEA1"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329</w:t>
            </w:r>
          </w:p>
        </w:tc>
        <w:tc>
          <w:tcPr>
            <w:tcW w:w="1710" w:type="dxa"/>
            <w:tcBorders>
              <w:bottom w:val="single" w:sz="4" w:space="0" w:color="auto"/>
            </w:tcBorders>
            <w:vAlign w:val="center"/>
          </w:tcPr>
          <w:p w14:paraId="6DD73D36"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1.975</w:t>
            </w:r>
          </w:p>
        </w:tc>
        <w:tc>
          <w:tcPr>
            <w:tcW w:w="1054" w:type="dxa"/>
            <w:tcBorders>
              <w:bottom w:val="single" w:sz="4" w:space="0" w:color="auto"/>
            </w:tcBorders>
          </w:tcPr>
          <w:p w14:paraId="75544204"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p>
        </w:tc>
        <w:tc>
          <w:tcPr>
            <w:tcW w:w="636" w:type="dxa"/>
            <w:tcBorders>
              <w:bottom w:val="single" w:sz="4" w:space="0" w:color="auto"/>
            </w:tcBorders>
          </w:tcPr>
          <w:p w14:paraId="3C7587F8" w14:textId="77777777" w:rsidR="00CD3724" w:rsidRPr="00E2630C" w:rsidRDefault="00CD3724" w:rsidP="00B3678A">
            <w:pPr>
              <w:autoSpaceDE w:val="0"/>
              <w:autoSpaceDN w:val="0"/>
              <w:adjustRightInd w:val="0"/>
              <w:spacing w:line="240" w:lineRule="auto"/>
              <w:rPr>
                <w:rFonts w:ascii="Times New Roman" w:eastAsia="Calibri" w:hAnsi="Times New Roman" w:cs="Times New Roman"/>
                <w:color w:val="000000" w:themeColor="text1"/>
                <w:sz w:val="24"/>
                <w:szCs w:val="24"/>
              </w:rPr>
            </w:pPr>
          </w:p>
        </w:tc>
      </w:tr>
      <w:tr w:rsidR="00CD3724" w:rsidRPr="00E2630C" w14:paraId="486E059E" w14:textId="77777777" w:rsidTr="003315F5">
        <w:tc>
          <w:tcPr>
            <w:tcW w:w="1283" w:type="dxa"/>
            <w:tcBorders>
              <w:top w:val="single" w:sz="4" w:space="0" w:color="auto"/>
              <w:bottom w:val="single" w:sz="4" w:space="0" w:color="auto"/>
            </w:tcBorders>
            <w:vAlign w:val="center"/>
          </w:tcPr>
          <w:p w14:paraId="5B9ADCB5"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Total</w:t>
            </w:r>
          </w:p>
        </w:tc>
        <w:tc>
          <w:tcPr>
            <w:tcW w:w="2147" w:type="dxa"/>
            <w:tcBorders>
              <w:top w:val="single" w:sz="4" w:space="0" w:color="auto"/>
              <w:bottom w:val="single" w:sz="4" w:space="0" w:color="auto"/>
            </w:tcBorders>
            <w:vAlign w:val="center"/>
          </w:tcPr>
          <w:p w14:paraId="5F11E824"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r w:rsidRPr="00E2630C">
              <w:rPr>
                <w:rFonts w:ascii="Times New Roman" w:hAnsi="Times New Roman" w:cs="Times New Roman"/>
                <w:b/>
                <w:bCs/>
                <w:color w:val="000000" w:themeColor="text1"/>
                <w:kern w:val="0"/>
                <w:sz w:val="24"/>
                <w:szCs w:val="24"/>
              </w:rPr>
              <w:t>689.303</w:t>
            </w:r>
          </w:p>
        </w:tc>
        <w:tc>
          <w:tcPr>
            <w:tcW w:w="1080" w:type="dxa"/>
            <w:tcBorders>
              <w:top w:val="single" w:sz="4" w:space="0" w:color="auto"/>
              <w:bottom w:val="single" w:sz="4" w:space="0" w:color="auto"/>
            </w:tcBorders>
            <w:vAlign w:val="center"/>
          </w:tcPr>
          <w:p w14:paraId="4D03857E"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332</w:t>
            </w:r>
          </w:p>
        </w:tc>
        <w:tc>
          <w:tcPr>
            <w:tcW w:w="1710" w:type="dxa"/>
            <w:tcBorders>
              <w:top w:val="single" w:sz="4" w:space="0" w:color="auto"/>
              <w:bottom w:val="single" w:sz="4" w:space="0" w:color="auto"/>
            </w:tcBorders>
          </w:tcPr>
          <w:p w14:paraId="1B251981"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p>
        </w:tc>
        <w:tc>
          <w:tcPr>
            <w:tcW w:w="1054" w:type="dxa"/>
            <w:tcBorders>
              <w:top w:val="single" w:sz="4" w:space="0" w:color="auto"/>
              <w:bottom w:val="single" w:sz="4" w:space="0" w:color="auto"/>
            </w:tcBorders>
          </w:tcPr>
          <w:p w14:paraId="79501E76"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p>
        </w:tc>
        <w:tc>
          <w:tcPr>
            <w:tcW w:w="636" w:type="dxa"/>
            <w:tcBorders>
              <w:top w:val="single" w:sz="4" w:space="0" w:color="auto"/>
              <w:bottom w:val="single" w:sz="4" w:space="0" w:color="auto"/>
            </w:tcBorders>
          </w:tcPr>
          <w:p w14:paraId="11AD8257"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p>
        </w:tc>
      </w:tr>
    </w:tbl>
    <w:p w14:paraId="3FDA5936" w14:textId="77777777" w:rsidR="00CD3724" w:rsidRPr="00990904" w:rsidRDefault="00CD3724" w:rsidP="00CD3724">
      <w:pPr>
        <w:autoSpaceDE w:val="0"/>
        <w:autoSpaceDN w:val="0"/>
        <w:adjustRightInd w:val="0"/>
        <w:spacing w:after="0"/>
        <w:rPr>
          <w:rFonts w:ascii="Times New Roman" w:eastAsia="Calibri" w:hAnsi="Times New Roman" w:cs="Times New Roman"/>
          <w:b/>
          <w:bCs/>
          <w:color w:val="000000" w:themeColor="text1"/>
          <w:sz w:val="14"/>
          <w:szCs w:val="14"/>
        </w:rPr>
      </w:pPr>
    </w:p>
    <w:p w14:paraId="369D4C27" w14:textId="77777777" w:rsidR="00CD3724" w:rsidRPr="00E2630C" w:rsidRDefault="00CD3724" w:rsidP="00CD3724">
      <w:pPr>
        <w:autoSpaceDE w:val="0"/>
        <w:autoSpaceDN w:val="0"/>
        <w:adjustRightInd w:val="0"/>
        <w:spacing w:after="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Coefficients</w:t>
      </w:r>
    </w:p>
    <w:tbl>
      <w:tblPr>
        <w:tblStyle w:val="TableGrid1"/>
        <w:tblW w:w="800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4"/>
        <w:gridCol w:w="1341"/>
        <w:gridCol w:w="1170"/>
        <w:gridCol w:w="900"/>
        <w:gridCol w:w="990"/>
        <w:gridCol w:w="1350"/>
      </w:tblGrid>
      <w:tr w:rsidR="002D25B6" w:rsidRPr="00E2630C" w14:paraId="1DC225E7" w14:textId="77777777" w:rsidTr="003315F5">
        <w:tc>
          <w:tcPr>
            <w:tcW w:w="2254" w:type="dxa"/>
            <w:tcBorders>
              <w:top w:val="single" w:sz="4" w:space="0" w:color="auto"/>
              <w:bottom w:val="single" w:sz="4" w:space="0" w:color="auto"/>
            </w:tcBorders>
            <w:vAlign w:val="center"/>
          </w:tcPr>
          <w:p w14:paraId="4B7F3E59" w14:textId="77777777" w:rsidR="00CD3724" w:rsidRPr="00E2630C" w:rsidRDefault="00CD3724" w:rsidP="00B3678A">
            <w:pPr>
              <w:autoSpaceDE w:val="0"/>
              <w:autoSpaceDN w:val="0"/>
              <w:adjustRightInd w:val="0"/>
              <w:spacing w:line="240" w:lineRule="auto"/>
              <w:rPr>
                <w:rFonts w:ascii="Times New Roman" w:eastAsia="Calibri" w:hAnsi="Times New Roman" w:cs="Times New Roman"/>
                <w:b/>
                <w:bCs/>
                <w:color w:val="000000" w:themeColor="text1"/>
                <w:sz w:val="24"/>
                <w:szCs w:val="24"/>
              </w:rPr>
            </w:pPr>
            <w:bookmarkStart w:id="104" w:name="_Hlk140225788"/>
            <w:r w:rsidRPr="00E2630C">
              <w:rPr>
                <w:rFonts w:ascii="Times New Roman" w:eastAsia="Calibri" w:hAnsi="Times New Roman" w:cs="Times New Roman"/>
                <w:b/>
                <w:bCs/>
                <w:color w:val="000000" w:themeColor="text1"/>
                <w:sz w:val="24"/>
                <w:szCs w:val="24"/>
              </w:rPr>
              <w:t>Model</w:t>
            </w:r>
          </w:p>
        </w:tc>
        <w:tc>
          <w:tcPr>
            <w:tcW w:w="1341" w:type="dxa"/>
            <w:tcBorders>
              <w:top w:val="single" w:sz="4" w:space="0" w:color="auto"/>
              <w:bottom w:val="single" w:sz="4" w:space="0" w:color="auto"/>
            </w:tcBorders>
            <w:vAlign w:val="center"/>
          </w:tcPr>
          <w:p w14:paraId="6B87AF6D" w14:textId="577FB505" w:rsidR="00CD3724" w:rsidRPr="00E2630C" w:rsidRDefault="00AC2BAD" w:rsidP="00B3678A">
            <w:pPr>
              <w:autoSpaceDE w:val="0"/>
              <w:autoSpaceDN w:val="0"/>
              <w:adjustRightInd w:val="0"/>
              <w:spacing w:line="24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Β</w:t>
            </w:r>
          </w:p>
        </w:tc>
        <w:tc>
          <w:tcPr>
            <w:tcW w:w="1170" w:type="dxa"/>
            <w:tcBorders>
              <w:top w:val="single" w:sz="4" w:space="0" w:color="auto"/>
              <w:bottom w:val="single" w:sz="4" w:space="0" w:color="auto"/>
            </w:tcBorders>
            <w:vAlign w:val="center"/>
          </w:tcPr>
          <w:p w14:paraId="4F61D34C"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SE</w:t>
            </w:r>
          </w:p>
        </w:tc>
        <w:tc>
          <w:tcPr>
            <w:tcW w:w="900" w:type="dxa"/>
            <w:tcBorders>
              <w:top w:val="single" w:sz="4" w:space="0" w:color="auto"/>
              <w:bottom w:val="single" w:sz="4" w:space="0" w:color="auto"/>
            </w:tcBorders>
          </w:tcPr>
          <w:p w14:paraId="76F3D742"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Β</w:t>
            </w:r>
          </w:p>
        </w:tc>
        <w:tc>
          <w:tcPr>
            <w:tcW w:w="990" w:type="dxa"/>
            <w:tcBorders>
              <w:top w:val="single" w:sz="4" w:space="0" w:color="auto"/>
              <w:bottom w:val="single" w:sz="4" w:space="0" w:color="auto"/>
            </w:tcBorders>
            <w:vAlign w:val="center"/>
          </w:tcPr>
          <w:p w14:paraId="0395F837"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T</w:t>
            </w:r>
          </w:p>
        </w:tc>
        <w:tc>
          <w:tcPr>
            <w:tcW w:w="1350" w:type="dxa"/>
            <w:tcBorders>
              <w:top w:val="single" w:sz="4" w:space="0" w:color="auto"/>
              <w:bottom w:val="single" w:sz="4" w:space="0" w:color="auto"/>
            </w:tcBorders>
            <w:vAlign w:val="center"/>
          </w:tcPr>
          <w:p w14:paraId="2B600590"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P</w:t>
            </w:r>
          </w:p>
        </w:tc>
      </w:tr>
      <w:tr w:rsidR="002D25B6" w:rsidRPr="00E2630C" w14:paraId="3F3CA164" w14:textId="77777777" w:rsidTr="003315F5">
        <w:tc>
          <w:tcPr>
            <w:tcW w:w="2254" w:type="dxa"/>
            <w:tcBorders>
              <w:top w:val="single" w:sz="4" w:space="0" w:color="auto"/>
            </w:tcBorders>
            <w:vAlign w:val="center"/>
          </w:tcPr>
          <w:p w14:paraId="3C34D86C" w14:textId="77777777" w:rsidR="00CD3724" w:rsidRPr="00E2630C" w:rsidRDefault="00CD3724" w:rsidP="00B3678A">
            <w:pPr>
              <w:autoSpaceDE w:val="0"/>
              <w:autoSpaceDN w:val="0"/>
              <w:adjustRightInd w:val="0"/>
              <w:spacing w:line="240" w:lineRule="auto"/>
              <w:jc w:val="both"/>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 (Constant)</w:t>
            </w:r>
          </w:p>
        </w:tc>
        <w:tc>
          <w:tcPr>
            <w:tcW w:w="1341" w:type="dxa"/>
            <w:tcBorders>
              <w:top w:val="single" w:sz="4" w:space="0" w:color="auto"/>
            </w:tcBorders>
            <w:shd w:val="clear" w:color="auto" w:fill="FFFFFF"/>
            <w:vAlign w:val="center"/>
          </w:tcPr>
          <w:p w14:paraId="525F8857"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4.188</w:t>
            </w:r>
          </w:p>
        </w:tc>
        <w:tc>
          <w:tcPr>
            <w:tcW w:w="1170" w:type="dxa"/>
            <w:tcBorders>
              <w:top w:val="single" w:sz="4" w:space="0" w:color="auto"/>
            </w:tcBorders>
            <w:shd w:val="clear" w:color="auto" w:fill="FFFFFF"/>
            <w:vAlign w:val="center"/>
          </w:tcPr>
          <w:p w14:paraId="35FE5B08"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.371</w:t>
            </w:r>
          </w:p>
        </w:tc>
        <w:tc>
          <w:tcPr>
            <w:tcW w:w="900" w:type="dxa"/>
            <w:tcBorders>
              <w:top w:val="single" w:sz="4" w:space="0" w:color="auto"/>
            </w:tcBorders>
            <w:shd w:val="clear" w:color="auto" w:fill="FFFFFF"/>
          </w:tcPr>
          <w:p w14:paraId="79F70B2F"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p>
        </w:tc>
        <w:tc>
          <w:tcPr>
            <w:tcW w:w="990" w:type="dxa"/>
            <w:tcBorders>
              <w:top w:val="single" w:sz="4" w:space="0" w:color="auto"/>
            </w:tcBorders>
            <w:shd w:val="clear" w:color="auto" w:fill="FFFFFF"/>
            <w:vAlign w:val="center"/>
          </w:tcPr>
          <w:p w14:paraId="1574FCA4"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11.282</w:t>
            </w:r>
          </w:p>
        </w:tc>
        <w:tc>
          <w:tcPr>
            <w:tcW w:w="1350" w:type="dxa"/>
            <w:tcBorders>
              <w:top w:val="single" w:sz="4" w:space="0" w:color="auto"/>
            </w:tcBorders>
            <w:shd w:val="clear" w:color="auto" w:fill="FFFFFF"/>
            <w:vAlign w:val="center"/>
          </w:tcPr>
          <w:p w14:paraId="440CEF14"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.000</w:t>
            </w:r>
          </w:p>
        </w:tc>
      </w:tr>
      <w:tr w:rsidR="002D25B6" w:rsidRPr="00E2630C" w14:paraId="35C5089E" w14:textId="77777777" w:rsidTr="003315F5">
        <w:tc>
          <w:tcPr>
            <w:tcW w:w="2254" w:type="dxa"/>
            <w:vAlign w:val="center"/>
          </w:tcPr>
          <w:p w14:paraId="14084BFA" w14:textId="77777777" w:rsidR="00CD3724" w:rsidRPr="00E2630C" w:rsidRDefault="00CD3724" w:rsidP="00B3678A">
            <w:pPr>
              <w:autoSpaceDE w:val="0"/>
              <w:autoSpaceDN w:val="0"/>
              <w:adjustRightInd w:val="0"/>
              <w:spacing w:line="240" w:lineRule="auto"/>
              <w:jc w:val="both"/>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sz w:val="24"/>
                <w:szCs w:val="24"/>
              </w:rPr>
              <w:t>Unemployment</w:t>
            </w:r>
          </w:p>
        </w:tc>
        <w:tc>
          <w:tcPr>
            <w:tcW w:w="1341" w:type="dxa"/>
            <w:shd w:val="clear" w:color="auto" w:fill="FFFFFF"/>
            <w:vAlign w:val="center"/>
          </w:tcPr>
          <w:p w14:paraId="1D5776B6"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-.020</w:t>
            </w:r>
          </w:p>
        </w:tc>
        <w:tc>
          <w:tcPr>
            <w:tcW w:w="1170" w:type="dxa"/>
            <w:shd w:val="clear" w:color="auto" w:fill="FFFFFF"/>
            <w:vAlign w:val="center"/>
          </w:tcPr>
          <w:p w14:paraId="3F71E322"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.058</w:t>
            </w:r>
          </w:p>
        </w:tc>
        <w:tc>
          <w:tcPr>
            <w:tcW w:w="900" w:type="dxa"/>
            <w:shd w:val="clear" w:color="auto" w:fill="FFFFFF"/>
            <w:vAlign w:val="center"/>
          </w:tcPr>
          <w:p w14:paraId="0F235FFA"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-.019</w:t>
            </w:r>
          </w:p>
        </w:tc>
        <w:tc>
          <w:tcPr>
            <w:tcW w:w="990" w:type="dxa"/>
            <w:shd w:val="clear" w:color="auto" w:fill="FFFFFF"/>
            <w:vAlign w:val="center"/>
          </w:tcPr>
          <w:p w14:paraId="5B25BE61"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-.350</w:t>
            </w:r>
          </w:p>
        </w:tc>
        <w:tc>
          <w:tcPr>
            <w:tcW w:w="1350" w:type="dxa"/>
            <w:shd w:val="clear" w:color="auto" w:fill="FFFFFF"/>
            <w:vAlign w:val="center"/>
          </w:tcPr>
          <w:p w14:paraId="520570CB"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.726</w:t>
            </w:r>
          </w:p>
        </w:tc>
      </w:tr>
      <w:tr w:rsidR="002D25B6" w:rsidRPr="00E2630C" w14:paraId="43B59912" w14:textId="77777777" w:rsidTr="003315F5">
        <w:tc>
          <w:tcPr>
            <w:tcW w:w="2254" w:type="dxa"/>
            <w:vAlign w:val="center"/>
          </w:tcPr>
          <w:p w14:paraId="62E86C50" w14:textId="77777777" w:rsidR="00CD3724" w:rsidRPr="00E2630C" w:rsidRDefault="00CD3724" w:rsidP="00B3678A">
            <w:pPr>
              <w:autoSpaceDE w:val="0"/>
              <w:autoSpaceDN w:val="0"/>
              <w:adjustRightInd w:val="0"/>
              <w:spacing w:line="240" w:lineRule="auto"/>
              <w:jc w:val="both"/>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sz w:val="24"/>
                <w:szCs w:val="24"/>
              </w:rPr>
              <w:t>Access to credit</w:t>
            </w:r>
          </w:p>
        </w:tc>
        <w:tc>
          <w:tcPr>
            <w:tcW w:w="1341" w:type="dxa"/>
            <w:shd w:val="clear" w:color="auto" w:fill="FFFFFF"/>
            <w:vAlign w:val="center"/>
          </w:tcPr>
          <w:p w14:paraId="09902DE1"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-.298</w:t>
            </w:r>
          </w:p>
        </w:tc>
        <w:tc>
          <w:tcPr>
            <w:tcW w:w="1170" w:type="dxa"/>
            <w:shd w:val="clear" w:color="auto" w:fill="FFFFFF"/>
            <w:vAlign w:val="center"/>
          </w:tcPr>
          <w:p w14:paraId="7B3CCB07"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.068</w:t>
            </w:r>
          </w:p>
        </w:tc>
        <w:tc>
          <w:tcPr>
            <w:tcW w:w="900" w:type="dxa"/>
            <w:shd w:val="clear" w:color="auto" w:fill="FFFFFF"/>
            <w:vAlign w:val="center"/>
          </w:tcPr>
          <w:p w14:paraId="6645D7E2"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-.241</w:t>
            </w:r>
          </w:p>
        </w:tc>
        <w:tc>
          <w:tcPr>
            <w:tcW w:w="990" w:type="dxa"/>
            <w:shd w:val="clear" w:color="auto" w:fill="FFFFFF"/>
            <w:vAlign w:val="center"/>
          </w:tcPr>
          <w:p w14:paraId="2077DB2F"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-4.362</w:t>
            </w:r>
          </w:p>
        </w:tc>
        <w:tc>
          <w:tcPr>
            <w:tcW w:w="1350" w:type="dxa"/>
            <w:shd w:val="clear" w:color="auto" w:fill="FFFFFF"/>
            <w:vAlign w:val="center"/>
          </w:tcPr>
          <w:p w14:paraId="31206AFF"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.000</w:t>
            </w:r>
          </w:p>
        </w:tc>
      </w:tr>
      <w:tr w:rsidR="002D25B6" w:rsidRPr="00E2630C" w14:paraId="046C48A7" w14:textId="77777777" w:rsidTr="003315F5">
        <w:tc>
          <w:tcPr>
            <w:tcW w:w="2254" w:type="dxa"/>
          </w:tcPr>
          <w:p w14:paraId="28BE189D" w14:textId="77777777" w:rsidR="00CD3724" w:rsidRPr="00E2630C" w:rsidRDefault="00CD3724" w:rsidP="00B3678A">
            <w:pPr>
              <w:autoSpaceDE w:val="0"/>
              <w:autoSpaceDN w:val="0"/>
              <w:adjustRightInd w:val="0"/>
              <w:spacing w:line="240" w:lineRule="auto"/>
              <w:jc w:val="both"/>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sz w:val="24"/>
                <w:szCs w:val="24"/>
              </w:rPr>
              <w:t>Revenue generation</w:t>
            </w:r>
          </w:p>
        </w:tc>
        <w:tc>
          <w:tcPr>
            <w:tcW w:w="1341" w:type="dxa"/>
            <w:shd w:val="clear" w:color="auto" w:fill="FFFFFF"/>
            <w:vAlign w:val="center"/>
          </w:tcPr>
          <w:p w14:paraId="1FC3070B"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.054</w:t>
            </w:r>
          </w:p>
        </w:tc>
        <w:tc>
          <w:tcPr>
            <w:tcW w:w="1170" w:type="dxa"/>
            <w:shd w:val="clear" w:color="auto" w:fill="FFFFFF"/>
            <w:vAlign w:val="center"/>
          </w:tcPr>
          <w:p w14:paraId="17F1F9D4"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.062</w:t>
            </w:r>
          </w:p>
        </w:tc>
        <w:tc>
          <w:tcPr>
            <w:tcW w:w="900" w:type="dxa"/>
            <w:shd w:val="clear" w:color="auto" w:fill="FFFFFF"/>
            <w:vAlign w:val="center"/>
          </w:tcPr>
          <w:p w14:paraId="390A02C6"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.046</w:t>
            </w:r>
          </w:p>
        </w:tc>
        <w:tc>
          <w:tcPr>
            <w:tcW w:w="990" w:type="dxa"/>
            <w:shd w:val="clear" w:color="auto" w:fill="FFFFFF"/>
            <w:vAlign w:val="center"/>
          </w:tcPr>
          <w:p w14:paraId="501927B7"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.861</w:t>
            </w:r>
          </w:p>
        </w:tc>
        <w:tc>
          <w:tcPr>
            <w:tcW w:w="1350" w:type="dxa"/>
            <w:shd w:val="clear" w:color="auto" w:fill="FFFFFF"/>
            <w:vAlign w:val="center"/>
          </w:tcPr>
          <w:p w14:paraId="701583C0" w14:textId="77777777" w:rsidR="00CD3724" w:rsidRPr="00E2630C" w:rsidRDefault="00CD3724" w:rsidP="00B3678A">
            <w:pPr>
              <w:autoSpaceDE w:val="0"/>
              <w:autoSpaceDN w:val="0"/>
              <w:adjustRightInd w:val="0"/>
              <w:spacing w:line="24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.390</w:t>
            </w:r>
          </w:p>
        </w:tc>
      </w:tr>
    </w:tbl>
    <w:bookmarkEnd w:id="104"/>
    <w:p w14:paraId="492BD15C" w14:textId="77777777" w:rsidR="00CD3724" w:rsidRPr="00E2630C" w:rsidRDefault="00CD3724" w:rsidP="00CD3724">
      <w:pPr>
        <w:spacing w:line="480" w:lineRule="auto"/>
        <w:jc w:val="both"/>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Source: Fieldwork, 2023</w:t>
      </w:r>
    </w:p>
    <w:p w14:paraId="310B9415" w14:textId="77777777" w:rsidR="00CD3724" w:rsidRPr="00E2630C" w:rsidRDefault="00CD3724" w:rsidP="00CD3724">
      <w:pPr>
        <w:spacing w:line="480" w:lineRule="auto"/>
        <w:jc w:val="both"/>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 xml:space="preserve">The study's findings reveal that the three dependent variables collectively account for 4.9% of the variability in chieftaincy conflicts (f (13.229) = 6.700, p &lt;0.001). A closer examination of each individual variable indicates that chieftaincy conflicts do not significantly influence unemployment (β = -0.019, t = -0.350, p = 0.726) and revenue generation (β = 0.046, t = 0.861, p = 0.390). On the contrary, access to credit (β = -0.241, t = -4.362, p = 0.000) emerged as the sole economic security substantially impacted by chieftaincy conflicts. </w:t>
      </w:r>
      <w:bookmarkStart w:id="105" w:name="_Hlk152599399"/>
      <w:r w:rsidRPr="00E2630C">
        <w:rPr>
          <w:rFonts w:ascii="Times New Roman" w:eastAsia="Calibri" w:hAnsi="Times New Roman" w:cs="Times New Roman"/>
          <w:color w:val="000000" w:themeColor="text1"/>
          <w:sz w:val="24"/>
          <w:szCs w:val="24"/>
        </w:rPr>
        <w:t>The results highlight a notable positive relationship (p = 0.000), underscoring that access to credit surpasses other pillars of economic security in its influence.</w:t>
      </w:r>
      <w:bookmarkEnd w:id="99"/>
      <w:r w:rsidRPr="00E2630C">
        <w:rPr>
          <w:rFonts w:ascii="Times New Roman" w:eastAsia="Calibri" w:hAnsi="Times New Roman" w:cs="Times New Roman"/>
          <w:color w:val="000000" w:themeColor="text1"/>
          <w:sz w:val="24"/>
          <w:szCs w:val="24"/>
        </w:rPr>
        <w:t xml:space="preserve"> The findings in this context align with research conducted by Gyader and Libanus (2020), which found that chieftaincy conflicts, often exert </w:t>
      </w:r>
      <w:r w:rsidRPr="00E2630C">
        <w:rPr>
          <w:rFonts w:ascii="Times New Roman" w:eastAsia="Calibri" w:hAnsi="Times New Roman" w:cs="Times New Roman"/>
          <w:color w:val="000000" w:themeColor="text1"/>
          <w:sz w:val="24"/>
          <w:szCs w:val="24"/>
        </w:rPr>
        <w:lastRenderedPageBreak/>
        <w:t>substantial negative effects on both the socio-cultural and economic dimensions of communities. Such conflicts may be exacerbated by youth unemployment, leading to heightened involvement in criminal activities and ethnic tensions (Wajim, 2020).</w:t>
      </w:r>
      <w:r w:rsidRPr="00E2630C">
        <w:rPr>
          <w:rFonts w:ascii="Times New Roman" w:hAnsi="Times New Roman" w:cs="Times New Roman"/>
          <w:color w:val="000000" w:themeColor="text1"/>
          <w:sz w:val="24"/>
          <w:szCs w:val="24"/>
        </w:rPr>
        <w:t xml:space="preserve"> </w:t>
      </w:r>
      <w:r w:rsidRPr="00E2630C">
        <w:rPr>
          <w:rFonts w:ascii="Times New Roman" w:eastAsia="Calibri" w:hAnsi="Times New Roman" w:cs="Times New Roman"/>
          <w:color w:val="000000" w:themeColor="text1"/>
          <w:sz w:val="24"/>
          <w:szCs w:val="24"/>
        </w:rPr>
        <w:t>Conversely, the critical aspect of revenue generation, serving as a vital income source for the state government, faces hindrances due to corrupt practices. This, in turn, can impact the efficient utilization of the generated revenue, as highlighted by Alade (2015).</w:t>
      </w:r>
    </w:p>
    <w:p w14:paraId="243CC56B" w14:textId="59506020"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An assured basic income is necessary for economic stability; this can be obtained, in most cases, through profitable and productive employment or, in an emergency, from a publicly funded safety net. However, only a small percentage of the global population may currently live in economically secure zones free from war (HDR, 2021). </w:t>
      </w:r>
    </w:p>
    <w:p w14:paraId="07885F41"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In an interview, participants (farmers) lamented respectively as follows;</w:t>
      </w:r>
    </w:p>
    <w:p w14:paraId="15BAF238" w14:textId="77777777" w:rsidR="00CD3724" w:rsidRPr="00E2630C" w:rsidRDefault="00CD3724" w:rsidP="00CD3724">
      <w:pPr>
        <w:spacing w:line="360" w:lineRule="auto"/>
        <w:jc w:val="both"/>
        <w:rPr>
          <w:rFonts w:ascii="Times New Roman" w:hAnsi="Times New Roman" w:cs="Times New Roman"/>
          <w:i/>
          <w:iCs/>
          <w:color w:val="000000" w:themeColor="text1"/>
          <w:sz w:val="24"/>
          <w:szCs w:val="24"/>
        </w:rPr>
      </w:pPr>
      <w:r w:rsidRPr="00E2630C">
        <w:rPr>
          <w:rFonts w:ascii="Times New Roman" w:hAnsi="Times New Roman" w:cs="Times New Roman"/>
          <w:i/>
          <w:iCs/>
          <w:color w:val="000000" w:themeColor="text1"/>
          <w:sz w:val="24"/>
          <w:szCs w:val="24"/>
        </w:rPr>
        <w:t>the conflict-affected the rate at which we farm because we were much more careful about how and what we farm. What you farm will determine your level of revenue or income. People use to come to the village and buy all their agricultural produce and even investors come there to buy, process and package it there, creating job for the youth and increasing returns on investment. Farmers are not enjoying all this again because of the chieftaincy conflict in the municipality.</w:t>
      </w:r>
    </w:p>
    <w:p w14:paraId="3FEB0B43" w14:textId="2D0A697D" w:rsidR="00CD3724" w:rsidRPr="00E2630C" w:rsidRDefault="00CD3724" w:rsidP="00CD3724">
      <w:pPr>
        <w:spacing w:line="360" w:lineRule="auto"/>
        <w:jc w:val="both"/>
        <w:rPr>
          <w:rFonts w:ascii="Times New Roman" w:hAnsi="Times New Roman" w:cs="Times New Roman"/>
          <w:i/>
          <w:color w:val="000000" w:themeColor="text1"/>
          <w:sz w:val="24"/>
          <w:szCs w:val="24"/>
        </w:rPr>
      </w:pPr>
      <w:r w:rsidRPr="00E2630C">
        <w:rPr>
          <w:rFonts w:ascii="Times New Roman" w:hAnsi="Times New Roman" w:cs="Times New Roman"/>
          <w:i/>
          <w:color w:val="000000" w:themeColor="text1"/>
          <w:sz w:val="24"/>
          <w:szCs w:val="24"/>
        </w:rPr>
        <w:t>When one of the contenders was murdered, my Yam farm was burnt and because of that I did not farm the subsequent year. Also, due to fear of being attacked, my maize farm was taken by weeds when the conflict started. I also engaged in the sale of livestock and I use to sell my livestock to traders from different places (strangers) who normally come to the Bimbilla market to trade but because of the conflicts, they have been prevented from this trading business. I am no longer able</w:t>
      </w:r>
      <w:r w:rsidRPr="00E2630C">
        <w:rPr>
          <w:rFonts w:ascii="Times New Roman" w:hAnsi="Times New Roman" w:cs="Times New Roman"/>
          <w:i/>
          <w:color w:val="000000" w:themeColor="text1"/>
          <w:sz w:val="24"/>
          <w:szCs w:val="24"/>
        </w:rPr>
        <w:tab/>
        <w:t>to</w:t>
      </w:r>
      <w:r w:rsidR="00E33850">
        <w:rPr>
          <w:rFonts w:ascii="Times New Roman" w:hAnsi="Times New Roman" w:cs="Times New Roman"/>
          <w:i/>
          <w:color w:val="000000" w:themeColor="text1"/>
          <w:sz w:val="24"/>
          <w:szCs w:val="24"/>
        </w:rPr>
        <w:t xml:space="preserve"> </w:t>
      </w:r>
      <w:r w:rsidRPr="00E2630C">
        <w:rPr>
          <w:rFonts w:ascii="Times New Roman" w:hAnsi="Times New Roman" w:cs="Times New Roman"/>
          <w:i/>
          <w:color w:val="000000" w:themeColor="text1"/>
          <w:sz w:val="24"/>
          <w:szCs w:val="24"/>
        </w:rPr>
        <w:t>make enough sales/income as before. (A Remark by a Farmer, 2023).</w:t>
      </w:r>
    </w:p>
    <w:p w14:paraId="371BD6AB"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i/>
          <w:iCs/>
          <w:color w:val="000000" w:themeColor="text1"/>
          <w:sz w:val="24"/>
          <w:szCs w:val="24"/>
        </w:rPr>
        <w:t xml:space="preserve">I am here with my children some of whom have graduated from the University but without any job. After harvesting we end up using everything and even sometimes have </w:t>
      </w:r>
      <w:r w:rsidRPr="00E2630C">
        <w:rPr>
          <w:rFonts w:ascii="Times New Roman" w:hAnsi="Times New Roman" w:cs="Times New Roman"/>
          <w:i/>
          <w:iCs/>
          <w:color w:val="000000" w:themeColor="text1"/>
          <w:sz w:val="24"/>
          <w:szCs w:val="24"/>
        </w:rPr>
        <w:lastRenderedPageBreak/>
        <w:t>to fall on others before we can feed ourselves. The few companies here which could have absorbed our children have been shut down due to these intermittent violent conflicts. With the few ones left, unless you have strong political connections, no one will give employment to your children. It is quite disheartening here. (A Respondent Remark, 2023)</w:t>
      </w:r>
    </w:p>
    <w:p w14:paraId="420722FB" w14:textId="40B9B086" w:rsidR="00CD3724" w:rsidRPr="00E2630C" w:rsidRDefault="00CD3724" w:rsidP="00CD3724">
      <w:pPr>
        <w:spacing w:line="360" w:lineRule="auto"/>
        <w:jc w:val="both"/>
        <w:rPr>
          <w:rFonts w:ascii="Times New Roman" w:hAnsi="Times New Roman" w:cs="Times New Roman"/>
          <w:i/>
          <w:color w:val="000000" w:themeColor="text1"/>
          <w:sz w:val="24"/>
          <w:szCs w:val="24"/>
        </w:rPr>
      </w:pPr>
      <w:r w:rsidRPr="00E2630C">
        <w:rPr>
          <w:rFonts w:ascii="Times New Roman" w:hAnsi="Times New Roman" w:cs="Times New Roman"/>
          <w:i/>
          <w:color w:val="000000" w:themeColor="text1"/>
          <w:sz w:val="24"/>
          <w:szCs w:val="24"/>
        </w:rPr>
        <w:t>We all lost our jobs because of the conflict in this area. I was working with an organization which was shut down by the board of directors and then transported all the machines and equipment to the head office in Accra. Up to now, I have been searching for a job and I can’t find one. Our economic situation is very terrible. Do you know the number of people I feed and what happens to them now? It is now very difficult for us to take care of our families. The most painful part is that those causing the problems are roaming freely in the community and spending a lot of money of which we don’t know where they get them from. My guess is that they have been paid to ensure the conflict does not end. (Unemployed Community Member Remarks, 2023)</w:t>
      </w:r>
    </w:p>
    <w:p w14:paraId="26D5CE41" w14:textId="77777777" w:rsidR="00CD3724" w:rsidRPr="00E2630C" w:rsidRDefault="00CD3724" w:rsidP="00CD3724">
      <w:pPr>
        <w:spacing w:line="360" w:lineRule="auto"/>
        <w:jc w:val="both"/>
        <w:rPr>
          <w:rFonts w:ascii="Times New Roman" w:hAnsi="Times New Roman" w:cs="Times New Roman"/>
          <w:i/>
          <w:color w:val="000000" w:themeColor="text1"/>
          <w:sz w:val="24"/>
          <w:szCs w:val="24"/>
        </w:rPr>
      </w:pPr>
      <w:r w:rsidRPr="00E2630C">
        <w:rPr>
          <w:rFonts w:ascii="Times New Roman" w:hAnsi="Times New Roman" w:cs="Times New Roman"/>
          <w:i/>
          <w:color w:val="000000" w:themeColor="text1"/>
          <w:sz w:val="24"/>
          <w:szCs w:val="24"/>
        </w:rPr>
        <w:t>Because of the conflict, we cannot import any goods to sell nor can we export our produce or raw materials to customers outside our place. Most of the traders in the market have limited goods to sell, even though customers demand for them. Most of our suppliers are afraid to transport goods to us on credit because they don’t want their goods or their capital to be locked down here. The last time I farmed, I was able to harvest all my farm produce.  After consuming part, the rest got spoiled, because we couldn't get buyers. They were all afraid to come to the municipality due to the conflict (Trader Remarks, 2023).</w:t>
      </w:r>
    </w:p>
    <w:p w14:paraId="735649A2"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Buttressing the above, a Banker in the municipality indicated;</w:t>
      </w:r>
    </w:p>
    <w:p w14:paraId="5053CAA1" w14:textId="77777777" w:rsidR="00CD3724" w:rsidRPr="00E2630C" w:rsidRDefault="00CD3724" w:rsidP="00CD3724">
      <w:pPr>
        <w:spacing w:after="0" w:line="360" w:lineRule="auto"/>
        <w:jc w:val="both"/>
        <w:rPr>
          <w:rFonts w:ascii="Times New Roman" w:hAnsi="Times New Roman" w:cs="Times New Roman"/>
          <w:i/>
          <w:iCs/>
          <w:color w:val="000000" w:themeColor="text1"/>
          <w:sz w:val="24"/>
          <w:szCs w:val="24"/>
        </w:rPr>
      </w:pPr>
      <w:r w:rsidRPr="00E2630C">
        <w:rPr>
          <w:rFonts w:ascii="Times New Roman" w:hAnsi="Times New Roman" w:cs="Times New Roman"/>
          <w:i/>
          <w:iCs/>
          <w:color w:val="000000" w:themeColor="text1"/>
          <w:sz w:val="24"/>
          <w:szCs w:val="24"/>
        </w:rPr>
        <w:t>The Bank could give huge sums of money to the traders and farmers for them to boost their businesses which they could later pay with interest. But it is hard to give out loans now to such people because it is not guaranteed they will pay back due to the instability nature of the place due to the conflict.</w:t>
      </w:r>
    </w:p>
    <w:p w14:paraId="39916937" w14:textId="77777777" w:rsidR="00CD3724" w:rsidRPr="00E2630C" w:rsidRDefault="00CD3724" w:rsidP="0099090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An opinion leader made it clear to the researcher that the community went backward due to the chieftaincy conflict in the area. He indicated that a number of investors were </w:t>
      </w:r>
      <w:r w:rsidRPr="00E2630C">
        <w:rPr>
          <w:rFonts w:ascii="Times New Roman" w:hAnsi="Times New Roman" w:cs="Times New Roman"/>
          <w:color w:val="000000" w:themeColor="text1"/>
          <w:sz w:val="24"/>
          <w:szCs w:val="24"/>
        </w:rPr>
        <w:lastRenderedPageBreak/>
        <w:t>trooping into the municipality some years back, and not even long ago, an NGO wanted to plant a yam processing factory in the municipality and a land was given to them.</w:t>
      </w:r>
    </w:p>
    <w:p w14:paraId="1A7E3DF2" w14:textId="77777777" w:rsidR="00CD3724" w:rsidRPr="00E2630C" w:rsidRDefault="00CD3724" w:rsidP="00CD3724">
      <w:pPr>
        <w:spacing w:after="0" w:line="360" w:lineRule="auto"/>
        <w:jc w:val="both"/>
        <w:rPr>
          <w:rFonts w:ascii="Times New Roman" w:hAnsi="Times New Roman" w:cs="Times New Roman"/>
          <w:i/>
          <w:iCs/>
          <w:color w:val="000000" w:themeColor="text1"/>
          <w:sz w:val="24"/>
          <w:szCs w:val="24"/>
        </w:rPr>
      </w:pPr>
      <w:r w:rsidRPr="00E2630C">
        <w:rPr>
          <w:rFonts w:ascii="Times New Roman" w:hAnsi="Times New Roman" w:cs="Times New Roman"/>
          <w:i/>
          <w:iCs/>
          <w:color w:val="000000" w:themeColor="text1"/>
          <w:sz w:val="24"/>
          <w:szCs w:val="24"/>
        </w:rPr>
        <w:t>As I am taking to you, some of their equipment is still in the municipality. During the conflict they flew back to their home country. Till date, they have not returned to the community. I have been writing letters upon letters just to bring them back but they are still insisting they cannot risk investing in the area and if possible, they may consider planting their machines in Tamale but not in Bimbilla municipality</w:t>
      </w:r>
      <w:r w:rsidRPr="00E2630C">
        <w:rPr>
          <w:rFonts w:ascii="Times New Roman" w:hAnsi="Times New Roman" w:cs="Times New Roman"/>
          <w:color w:val="000000" w:themeColor="text1"/>
          <w:sz w:val="24"/>
          <w:szCs w:val="24"/>
        </w:rPr>
        <w:t>. (An interview with an Opinion Leader, 2023).</w:t>
      </w:r>
      <w:r w:rsidRPr="00E2630C">
        <w:rPr>
          <w:rFonts w:ascii="Times New Roman" w:hAnsi="Times New Roman" w:cs="Times New Roman"/>
          <w:i/>
          <w:iCs/>
          <w:color w:val="000000" w:themeColor="text1"/>
          <w:sz w:val="24"/>
          <w:szCs w:val="24"/>
        </w:rPr>
        <w:t xml:space="preserve"> </w:t>
      </w:r>
    </w:p>
    <w:p w14:paraId="781B3405"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p>
    <w:p w14:paraId="46A78C1E"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It was gathered that the NGOs and investors used to give credit to people of various background to start doing something for themselves. However, due to the conflict this facility has been stripped from the indigenes. It was also revealed that most of the youth were having the choice to either choose to work in the civil sector, or NGO, or choose to be an entrepreneur. According to an opinion leader, now all these sectors are locked up leaving only limited options to choose by the community members, which forces them to take the short cut, hence, posing an economic threat to the community.</w:t>
      </w:r>
      <w:bookmarkEnd w:id="103"/>
      <w:bookmarkEnd w:id="105"/>
    </w:p>
    <w:p w14:paraId="24B72EBF"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As revealed in most agriculture and conflict prone communities, Mbowura (2014) study found that the bulk of farmers' yam sales were decreased because yam purchasers were afraid to travel to Kpandai due to the Bimbilla war. The revenue of the municipality was also found to have been drastically reduced. In contrast to Mbowura's perspective, Issifu (2015) analysis of the Dagbon conflict demonstrated that discrimination posed the greatest threat to enterprises, with individuals occasionally purposefully raising prices or stockpiling items in order to intimidate rivals and provide them to allies. His research also showed that Dagbon's state of emergency and curfew, which were implemented during the height of the fighting and forced merchants to open and close </w:t>
      </w:r>
      <w:r w:rsidRPr="00E2630C">
        <w:rPr>
          <w:rFonts w:ascii="Times New Roman" w:hAnsi="Times New Roman" w:cs="Times New Roman"/>
          <w:color w:val="000000" w:themeColor="text1"/>
          <w:sz w:val="24"/>
          <w:szCs w:val="24"/>
        </w:rPr>
        <w:lastRenderedPageBreak/>
        <w:t>their establishments late in order to escape violence and harassment, caused businesses to fail.</w:t>
      </w:r>
    </w:p>
    <w:p w14:paraId="228912AE" w14:textId="213FB016" w:rsidR="00CD3724" w:rsidRDefault="00CD3724" w:rsidP="00CD3724">
      <w:pPr>
        <w:spacing w:line="480" w:lineRule="auto"/>
        <w:jc w:val="both"/>
        <w:rPr>
          <w:rFonts w:ascii="Times New Roman" w:hAnsi="Times New Roman" w:cs="Times New Roman"/>
          <w:bCs/>
          <w:color w:val="000000" w:themeColor="text1"/>
          <w:sz w:val="24"/>
          <w:szCs w:val="24"/>
        </w:rPr>
      </w:pPr>
      <w:r w:rsidRPr="00E2630C">
        <w:rPr>
          <w:rFonts w:ascii="Times New Roman" w:hAnsi="Times New Roman" w:cs="Times New Roman"/>
          <w:bCs/>
          <w:color w:val="000000" w:themeColor="text1"/>
          <w:sz w:val="24"/>
          <w:szCs w:val="24"/>
        </w:rPr>
        <w:t xml:space="preserve">Furthermore, the results of AGI (2014) showed that </w:t>
      </w:r>
      <w:r w:rsidR="00C37B3C" w:rsidRPr="00E2630C">
        <w:rPr>
          <w:rFonts w:ascii="Times New Roman" w:hAnsi="Times New Roman" w:cs="Times New Roman"/>
          <w:bCs/>
          <w:color w:val="000000" w:themeColor="text1"/>
          <w:sz w:val="24"/>
          <w:szCs w:val="24"/>
        </w:rPr>
        <w:t xml:space="preserve">most </w:t>
      </w:r>
      <w:r w:rsidRPr="00E2630C">
        <w:rPr>
          <w:rFonts w:ascii="Times New Roman" w:hAnsi="Times New Roman" w:cs="Times New Roman"/>
          <w:bCs/>
          <w:color w:val="000000" w:themeColor="text1"/>
          <w:sz w:val="24"/>
          <w:szCs w:val="24"/>
        </w:rPr>
        <w:t>traders completely gave up on their companies as a result of the fight. The results also showed that some traders lost money as a result of customers not having enough money to purchase enough produce, and that both customers and dealers restricted their trips to markets as a result of sporadic attacks. These related finding</w:t>
      </w:r>
      <w:r w:rsidR="00484C63" w:rsidRPr="00E2630C">
        <w:rPr>
          <w:rFonts w:ascii="Times New Roman" w:hAnsi="Times New Roman" w:cs="Times New Roman"/>
          <w:bCs/>
          <w:color w:val="000000" w:themeColor="text1"/>
          <w:sz w:val="24"/>
          <w:szCs w:val="24"/>
        </w:rPr>
        <w:t>s</w:t>
      </w:r>
      <w:r w:rsidRPr="00E2630C">
        <w:rPr>
          <w:rFonts w:ascii="Times New Roman" w:hAnsi="Times New Roman" w:cs="Times New Roman"/>
          <w:bCs/>
          <w:color w:val="000000" w:themeColor="text1"/>
          <w:sz w:val="24"/>
          <w:szCs w:val="24"/>
        </w:rPr>
        <w:t xml:space="preserve"> suggest that violent conflict is inimical to economic security of people, especially in conflict prone communities as demonstrated in this current study. </w:t>
      </w:r>
    </w:p>
    <w:p w14:paraId="2352EDBF" w14:textId="77777777" w:rsidR="00990904" w:rsidRPr="00E2630C" w:rsidRDefault="00990904" w:rsidP="00990904">
      <w:pPr>
        <w:pStyle w:val="NoSpacing"/>
      </w:pPr>
    </w:p>
    <w:p w14:paraId="7F9E6703" w14:textId="77777777" w:rsidR="00CD3724" w:rsidRPr="00E2630C" w:rsidRDefault="00CD3724" w:rsidP="00990904">
      <w:pPr>
        <w:pStyle w:val="Heading2"/>
      </w:pPr>
      <w:bookmarkStart w:id="106" w:name="_Toc182386279"/>
      <w:r w:rsidRPr="00E2630C">
        <w:t>4.2 Objective Two: Chieftaincy Conflicts and their Effects on Food Security in Bimbilla</w:t>
      </w:r>
      <w:bookmarkEnd w:id="106"/>
    </w:p>
    <w:p w14:paraId="7AE2DB11"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According to Burton (1990), the availability of food, an ontological need is a prerequisite of a tranquil society. To be able to assess the effects of the chieftaincy conflicts on food security, three variables were considered on the basis of information generated from the literature. A Likert scale was applied and a standard deviation was run for the responses. Aside, a regression analysis was run to ascertain the extent to which conflict is linked to the three variables namely; famine, hunger and sudden rise in food prices. The results are presented in Table 4.3 and 4.4 respectively.</w:t>
      </w:r>
    </w:p>
    <w:p w14:paraId="262C8E89" w14:textId="77777777" w:rsidR="00CD3724" w:rsidRDefault="00CD3724" w:rsidP="00990904">
      <w:pPr>
        <w:pStyle w:val="Heading6"/>
      </w:pPr>
    </w:p>
    <w:p w14:paraId="363D5E3B" w14:textId="77777777" w:rsidR="00DA40B4" w:rsidRDefault="00DA40B4" w:rsidP="00DA40B4"/>
    <w:p w14:paraId="2E7D8501" w14:textId="77777777" w:rsidR="00DA40B4" w:rsidRDefault="00DA40B4" w:rsidP="00DA40B4"/>
    <w:p w14:paraId="3FBAB589" w14:textId="77777777" w:rsidR="00DA40B4" w:rsidRDefault="00DA40B4" w:rsidP="00DA40B4"/>
    <w:p w14:paraId="5414ECAD" w14:textId="77777777" w:rsidR="00DA40B4" w:rsidRDefault="00DA40B4" w:rsidP="00DA40B4"/>
    <w:p w14:paraId="436475F5" w14:textId="77777777" w:rsidR="00DA40B4" w:rsidRDefault="00DA40B4" w:rsidP="00DA40B4"/>
    <w:p w14:paraId="527DC239" w14:textId="77777777" w:rsidR="00DA40B4" w:rsidRDefault="00DA40B4" w:rsidP="00DA40B4">
      <w:pPr>
        <w:sectPr w:rsidR="00DA40B4" w:rsidSect="00B3678A">
          <w:type w:val="continuous"/>
          <w:pgSz w:w="11906" w:h="16838" w:code="9"/>
          <w:pgMar w:top="1440" w:right="1440" w:bottom="1440" w:left="2160" w:header="706" w:footer="706" w:gutter="0"/>
          <w:cols w:space="708"/>
          <w:docGrid w:linePitch="360"/>
        </w:sectPr>
      </w:pPr>
    </w:p>
    <w:p w14:paraId="72E9651A" w14:textId="768E7725" w:rsidR="00DA40B4" w:rsidRPr="00DA40B4" w:rsidRDefault="00DA40B4" w:rsidP="00DA40B4">
      <w:pPr>
        <w:sectPr w:rsidR="00DA40B4" w:rsidRPr="00DA40B4" w:rsidSect="00DA40B4">
          <w:type w:val="continuous"/>
          <w:pgSz w:w="16838" w:h="11906" w:orient="landscape" w:code="9"/>
          <w:pgMar w:top="1440" w:right="1440" w:bottom="2160" w:left="1440" w:header="706" w:footer="706" w:gutter="0"/>
          <w:cols w:space="708"/>
          <w:docGrid w:linePitch="360"/>
        </w:sectPr>
      </w:pPr>
    </w:p>
    <w:p w14:paraId="1BAABF6F" w14:textId="1B96DD76" w:rsidR="003C3A39" w:rsidRPr="00E2630C" w:rsidRDefault="00CD3724" w:rsidP="003C3A39">
      <w:pPr>
        <w:pStyle w:val="Heading6"/>
        <w:rPr>
          <w:rFonts w:cs="Times New Roman"/>
          <w:szCs w:val="24"/>
        </w:rPr>
      </w:pPr>
      <w:bookmarkStart w:id="107" w:name="_Toc182386321"/>
      <w:r w:rsidRPr="00E2630C">
        <w:rPr>
          <w:rFonts w:cs="Times New Roman"/>
          <w:szCs w:val="24"/>
        </w:rPr>
        <w:t xml:space="preserve">Table 4.3: </w:t>
      </w:r>
      <w:r w:rsidR="003C3A39" w:rsidRPr="00E2630C">
        <w:rPr>
          <w:rFonts w:cs="Times New Roman"/>
          <w:szCs w:val="24"/>
        </w:rPr>
        <w:t>Perceptions of The Impact of Chieftaincy Conflicts on Food Security</w:t>
      </w:r>
      <w:bookmarkEnd w:id="107"/>
    </w:p>
    <w:tbl>
      <w:tblPr>
        <w:tblStyle w:val="TableGrid"/>
        <w:tblW w:w="1386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5"/>
        <w:gridCol w:w="1753"/>
        <w:gridCol w:w="1753"/>
        <w:gridCol w:w="1753"/>
        <w:gridCol w:w="1753"/>
        <w:gridCol w:w="1753"/>
        <w:gridCol w:w="1138"/>
        <w:gridCol w:w="1706"/>
      </w:tblGrid>
      <w:tr w:rsidR="002D25B6" w:rsidRPr="00DA40B4" w14:paraId="75E4A6B6" w14:textId="77777777" w:rsidTr="00DA40B4">
        <w:trPr>
          <w:trHeight w:val="917"/>
        </w:trPr>
        <w:tc>
          <w:tcPr>
            <w:tcW w:w="2255" w:type="dxa"/>
            <w:tcBorders>
              <w:top w:val="single" w:sz="4" w:space="0" w:color="auto"/>
            </w:tcBorders>
          </w:tcPr>
          <w:p w14:paraId="52525B81" w14:textId="77777777" w:rsidR="00CD3724" w:rsidRPr="00DA40B4" w:rsidRDefault="00CD3724" w:rsidP="003315F5">
            <w:pPr>
              <w:rPr>
                <w:rFonts w:ascii="Times New Roman" w:hAnsi="Times New Roman" w:cs="Times New Roman"/>
                <w:b/>
                <w:bCs/>
                <w:color w:val="000000" w:themeColor="text1"/>
                <w:sz w:val="24"/>
                <w:szCs w:val="24"/>
              </w:rPr>
            </w:pPr>
            <w:bookmarkStart w:id="108" w:name="_Hlk152526808"/>
            <w:r w:rsidRPr="00DA40B4">
              <w:rPr>
                <w:rFonts w:ascii="Times New Roman" w:hAnsi="Times New Roman" w:cs="Times New Roman"/>
                <w:b/>
                <w:bCs/>
                <w:color w:val="000000" w:themeColor="text1"/>
                <w:sz w:val="24"/>
                <w:szCs w:val="24"/>
              </w:rPr>
              <w:t>The</w:t>
            </w:r>
          </w:p>
        </w:tc>
        <w:tc>
          <w:tcPr>
            <w:tcW w:w="1753" w:type="dxa"/>
            <w:tcBorders>
              <w:top w:val="single" w:sz="4" w:space="0" w:color="auto"/>
            </w:tcBorders>
          </w:tcPr>
          <w:p w14:paraId="3C8D47E5"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Very</w:t>
            </w:r>
          </w:p>
        </w:tc>
        <w:tc>
          <w:tcPr>
            <w:tcW w:w="1753" w:type="dxa"/>
            <w:tcBorders>
              <w:top w:val="single" w:sz="4" w:space="0" w:color="auto"/>
            </w:tcBorders>
          </w:tcPr>
          <w:p w14:paraId="130BE27A"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High</w:t>
            </w:r>
          </w:p>
        </w:tc>
        <w:tc>
          <w:tcPr>
            <w:tcW w:w="1753" w:type="dxa"/>
            <w:tcBorders>
              <w:top w:val="single" w:sz="4" w:space="0" w:color="auto"/>
            </w:tcBorders>
          </w:tcPr>
          <w:p w14:paraId="49FC2455"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Very</w:t>
            </w:r>
          </w:p>
        </w:tc>
        <w:tc>
          <w:tcPr>
            <w:tcW w:w="1753" w:type="dxa"/>
            <w:tcBorders>
              <w:top w:val="single" w:sz="4" w:space="0" w:color="auto"/>
            </w:tcBorders>
          </w:tcPr>
          <w:p w14:paraId="690AABB1"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Low</w:t>
            </w:r>
          </w:p>
        </w:tc>
        <w:tc>
          <w:tcPr>
            <w:tcW w:w="1753" w:type="dxa"/>
            <w:tcBorders>
              <w:top w:val="single" w:sz="4" w:space="0" w:color="auto"/>
            </w:tcBorders>
          </w:tcPr>
          <w:p w14:paraId="596984D5"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Never</w:t>
            </w:r>
          </w:p>
        </w:tc>
        <w:tc>
          <w:tcPr>
            <w:tcW w:w="1138" w:type="dxa"/>
            <w:tcBorders>
              <w:top w:val="single" w:sz="4" w:space="0" w:color="auto"/>
            </w:tcBorders>
          </w:tcPr>
          <w:p w14:paraId="4019CFEC"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Mean</w:t>
            </w:r>
          </w:p>
        </w:tc>
        <w:tc>
          <w:tcPr>
            <w:tcW w:w="1706" w:type="dxa"/>
            <w:tcBorders>
              <w:top w:val="single" w:sz="4" w:space="0" w:color="auto"/>
            </w:tcBorders>
          </w:tcPr>
          <w:p w14:paraId="394A63D5"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Standard Deviation</w:t>
            </w:r>
          </w:p>
        </w:tc>
      </w:tr>
      <w:tr w:rsidR="002D25B6" w:rsidRPr="00DA40B4" w14:paraId="4CE63643" w14:textId="77777777" w:rsidTr="00DA40B4">
        <w:trPr>
          <w:trHeight w:val="817"/>
        </w:trPr>
        <w:tc>
          <w:tcPr>
            <w:tcW w:w="2255" w:type="dxa"/>
          </w:tcPr>
          <w:p w14:paraId="5FDC8721" w14:textId="77777777" w:rsidR="00CD3724" w:rsidRPr="00DA40B4" w:rsidRDefault="00CD3724" w:rsidP="003315F5">
            <w:pP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Repercussion of</w:t>
            </w:r>
          </w:p>
        </w:tc>
        <w:tc>
          <w:tcPr>
            <w:tcW w:w="1753" w:type="dxa"/>
          </w:tcPr>
          <w:p w14:paraId="2A38F64D"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High</w:t>
            </w:r>
          </w:p>
        </w:tc>
        <w:tc>
          <w:tcPr>
            <w:tcW w:w="1753" w:type="dxa"/>
          </w:tcPr>
          <w:p w14:paraId="664D9E5E" w14:textId="77777777" w:rsidR="00CD3724" w:rsidRPr="00DA40B4" w:rsidRDefault="00CD3724" w:rsidP="003315F5">
            <w:pPr>
              <w:jc w:val="center"/>
              <w:rPr>
                <w:rFonts w:ascii="Times New Roman" w:hAnsi="Times New Roman" w:cs="Times New Roman"/>
                <w:b/>
                <w:bCs/>
                <w:color w:val="000000" w:themeColor="text1"/>
                <w:sz w:val="24"/>
                <w:szCs w:val="24"/>
              </w:rPr>
            </w:pPr>
          </w:p>
        </w:tc>
        <w:tc>
          <w:tcPr>
            <w:tcW w:w="1753" w:type="dxa"/>
          </w:tcPr>
          <w:p w14:paraId="4AC17768"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Low</w:t>
            </w:r>
          </w:p>
        </w:tc>
        <w:tc>
          <w:tcPr>
            <w:tcW w:w="1753" w:type="dxa"/>
          </w:tcPr>
          <w:p w14:paraId="7B0EA2E6" w14:textId="77777777" w:rsidR="00CD3724" w:rsidRPr="00DA40B4" w:rsidRDefault="00CD3724" w:rsidP="003315F5">
            <w:pPr>
              <w:jc w:val="center"/>
              <w:rPr>
                <w:rFonts w:ascii="Times New Roman" w:hAnsi="Times New Roman" w:cs="Times New Roman"/>
                <w:b/>
                <w:bCs/>
                <w:color w:val="000000" w:themeColor="text1"/>
                <w:sz w:val="24"/>
                <w:szCs w:val="24"/>
              </w:rPr>
            </w:pPr>
          </w:p>
        </w:tc>
        <w:tc>
          <w:tcPr>
            <w:tcW w:w="1753" w:type="dxa"/>
          </w:tcPr>
          <w:p w14:paraId="7B8C54C0" w14:textId="77777777" w:rsidR="00CD3724" w:rsidRPr="00DA40B4" w:rsidRDefault="00CD3724" w:rsidP="003315F5">
            <w:pPr>
              <w:jc w:val="center"/>
              <w:rPr>
                <w:rFonts w:ascii="Times New Roman" w:hAnsi="Times New Roman" w:cs="Times New Roman"/>
                <w:b/>
                <w:bCs/>
                <w:color w:val="000000" w:themeColor="text1"/>
                <w:sz w:val="24"/>
                <w:szCs w:val="24"/>
              </w:rPr>
            </w:pPr>
          </w:p>
        </w:tc>
        <w:tc>
          <w:tcPr>
            <w:tcW w:w="1138" w:type="dxa"/>
          </w:tcPr>
          <w:p w14:paraId="519C4C0D" w14:textId="77777777" w:rsidR="00CD3724" w:rsidRPr="00DA40B4" w:rsidRDefault="00CD3724" w:rsidP="003315F5">
            <w:pPr>
              <w:jc w:val="center"/>
              <w:rPr>
                <w:rFonts w:ascii="Times New Roman" w:hAnsi="Times New Roman" w:cs="Times New Roman"/>
                <w:b/>
                <w:bCs/>
                <w:color w:val="000000" w:themeColor="text1"/>
                <w:sz w:val="24"/>
                <w:szCs w:val="24"/>
              </w:rPr>
            </w:pPr>
          </w:p>
        </w:tc>
        <w:tc>
          <w:tcPr>
            <w:tcW w:w="1706" w:type="dxa"/>
          </w:tcPr>
          <w:p w14:paraId="741E63C3" w14:textId="77777777" w:rsidR="00CD3724" w:rsidRPr="00DA40B4" w:rsidRDefault="00CD3724" w:rsidP="003315F5">
            <w:pPr>
              <w:jc w:val="center"/>
              <w:rPr>
                <w:rFonts w:ascii="Times New Roman" w:hAnsi="Times New Roman" w:cs="Times New Roman"/>
                <w:b/>
                <w:bCs/>
                <w:color w:val="000000" w:themeColor="text1"/>
                <w:sz w:val="24"/>
                <w:szCs w:val="24"/>
              </w:rPr>
            </w:pPr>
          </w:p>
        </w:tc>
      </w:tr>
      <w:tr w:rsidR="002D25B6" w:rsidRPr="00DA40B4" w14:paraId="0C26AC03" w14:textId="77777777" w:rsidTr="00DA40B4">
        <w:trPr>
          <w:trHeight w:val="283"/>
        </w:trPr>
        <w:tc>
          <w:tcPr>
            <w:tcW w:w="2255" w:type="dxa"/>
            <w:tcBorders>
              <w:bottom w:val="single" w:sz="4" w:space="0" w:color="auto"/>
            </w:tcBorders>
          </w:tcPr>
          <w:p w14:paraId="36BC7D16" w14:textId="77777777" w:rsidR="00CD3724" w:rsidRPr="00DA40B4" w:rsidRDefault="00CD3724" w:rsidP="003315F5">
            <w:pP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The conflicts on</w:t>
            </w:r>
          </w:p>
        </w:tc>
        <w:tc>
          <w:tcPr>
            <w:tcW w:w="1753" w:type="dxa"/>
            <w:tcBorders>
              <w:bottom w:val="single" w:sz="4" w:space="0" w:color="auto"/>
            </w:tcBorders>
          </w:tcPr>
          <w:p w14:paraId="7817792D" w14:textId="77777777" w:rsidR="00CD3724" w:rsidRPr="00DA40B4" w:rsidRDefault="00CD3724" w:rsidP="003315F5">
            <w:pP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 xml:space="preserve">      %</w:t>
            </w:r>
          </w:p>
        </w:tc>
        <w:tc>
          <w:tcPr>
            <w:tcW w:w="1753" w:type="dxa"/>
            <w:tcBorders>
              <w:bottom w:val="single" w:sz="4" w:space="0" w:color="auto"/>
            </w:tcBorders>
          </w:tcPr>
          <w:p w14:paraId="3790986D"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w:t>
            </w:r>
          </w:p>
        </w:tc>
        <w:tc>
          <w:tcPr>
            <w:tcW w:w="1753" w:type="dxa"/>
            <w:tcBorders>
              <w:bottom w:val="single" w:sz="4" w:space="0" w:color="auto"/>
            </w:tcBorders>
          </w:tcPr>
          <w:p w14:paraId="413468C9"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w:t>
            </w:r>
          </w:p>
        </w:tc>
        <w:tc>
          <w:tcPr>
            <w:tcW w:w="1753" w:type="dxa"/>
            <w:tcBorders>
              <w:bottom w:val="single" w:sz="4" w:space="0" w:color="auto"/>
            </w:tcBorders>
          </w:tcPr>
          <w:p w14:paraId="12A4C309"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w:t>
            </w:r>
          </w:p>
        </w:tc>
        <w:tc>
          <w:tcPr>
            <w:tcW w:w="1753" w:type="dxa"/>
            <w:tcBorders>
              <w:bottom w:val="single" w:sz="4" w:space="0" w:color="auto"/>
            </w:tcBorders>
          </w:tcPr>
          <w:p w14:paraId="55DAE5D8" w14:textId="77777777" w:rsidR="00CD3724" w:rsidRPr="00DA40B4" w:rsidRDefault="00CD3724" w:rsidP="003315F5">
            <w:pPr>
              <w:jc w:val="center"/>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w:t>
            </w:r>
          </w:p>
        </w:tc>
        <w:tc>
          <w:tcPr>
            <w:tcW w:w="1138" w:type="dxa"/>
            <w:tcBorders>
              <w:bottom w:val="single" w:sz="4" w:space="0" w:color="auto"/>
            </w:tcBorders>
          </w:tcPr>
          <w:p w14:paraId="49B06470" w14:textId="77777777" w:rsidR="00CD3724" w:rsidRPr="00DA40B4" w:rsidRDefault="00CD3724" w:rsidP="003315F5">
            <w:pPr>
              <w:jc w:val="center"/>
              <w:rPr>
                <w:rFonts w:ascii="Times New Roman" w:hAnsi="Times New Roman" w:cs="Times New Roman"/>
                <w:b/>
                <w:bCs/>
                <w:color w:val="000000" w:themeColor="text1"/>
                <w:sz w:val="24"/>
                <w:szCs w:val="24"/>
              </w:rPr>
            </w:pPr>
          </w:p>
        </w:tc>
        <w:tc>
          <w:tcPr>
            <w:tcW w:w="1706" w:type="dxa"/>
            <w:tcBorders>
              <w:bottom w:val="single" w:sz="4" w:space="0" w:color="auto"/>
            </w:tcBorders>
          </w:tcPr>
          <w:p w14:paraId="0F09F5C8" w14:textId="77777777" w:rsidR="00CD3724" w:rsidRPr="00DA40B4" w:rsidRDefault="00CD3724" w:rsidP="003315F5">
            <w:pPr>
              <w:jc w:val="center"/>
              <w:rPr>
                <w:rFonts w:ascii="Times New Roman" w:hAnsi="Times New Roman" w:cs="Times New Roman"/>
                <w:b/>
                <w:bCs/>
                <w:color w:val="000000" w:themeColor="text1"/>
                <w:sz w:val="24"/>
                <w:szCs w:val="24"/>
              </w:rPr>
            </w:pPr>
          </w:p>
        </w:tc>
      </w:tr>
      <w:tr w:rsidR="002D25B6" w:rsidRPr="00DA40B4" w14:paraId="55E21325" w14:textId="77777777" w:rsidTr="00DA40B4">
        <w:trPr>
          <w:trHeight w:val="596"/>
        </w:trPr>
        <w:tc>
          <w:tcPr>
            <w:tcW w:w="2255" w:type="dxa"/>
            <w:tcBorders>
              <w:top w:val="single" w:sz="4" w:space="0" w:color="auto"/>
            </w:tcBorders>
          </w:tcPr>
          <w:p w14:paraId="42A1A4F7" w14:textId="77777777" w:rsidR="00CD3724" w:rsidRPr="00DA40B4" w:rsidRDefault="00CD3724" w:rsidP="003315F5">
            <w:pPr>
              <w:spacing w:line="360" w:lineRule="auto"/>
              <w:rPr>
                <w:rFonts w:ascii="Times New Roman" w:hAnsi="Times New Roman" w:cs="Times New Roman"/>
                <w:b/>
                <w:bCs/>
                <w:color w:val="000000" w:themeColor="text1"/>
                <w:sz w:val="24"/>
                <w:szCs w:val="24"/>
              </w:rPr>
            </w:pPr>
            <w:bookmarkStart w:id="109" w:name="_Hlk152536034"/>
            <w:r w:rsidRPr="00DA40B4">
              <w:rPr>
                <w:rFonts w:ascii="Times New Roman" w:hAnsi="Times New Roman" w:cs="Times New Roman"/>
                <w:color w:val="000000" w:themeColor="text1"/>
                <w:sz w:val="24"/>
                <w:szCs w:val="24"/>
              </w:rPr>
              <w:t>Hunger</w:t>
            </w:r>
          </w:p>
        </w:tc>
        <w:tc>
          <w:tcPr>
            <w:tcW w:w="1753" w:type="dxa"/>
            <w:tcBorders>
              <w:top w:val="single" w:sz="4" w:space="0" w:color="auto"/>
            </w:tcBorders>
          </w:tcPr>
          <w:p w14:paraId="4E426235"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 xml:space="preserve">33(9.9%)  </w:t>
            </w:r>
          </w:p>
        </w:tc>
        <w:tc>
          <w:tcPr>
            <w:tcW w:w="1753" w:type="dxa"/>
            <w:tcBorders>
              <w:top w:val="single" w:sz="4" w:space="0" w:color="auto"/>
            </w:tcBorders>
          </w:tcPr>
          <w:p w14:paraId="63BE7A39"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90(27%)</w:t>
            </w:r>
          </w:p>
        </w:tc>
        <w:tc>
          <w:tcPr>
            <w:tcW w:w="1753" w:type="dxa"/>
            <w:tcBorders>
              <w:top w:val="single" w:sz="4" w:space="0" w:color="auto"/>
            </w:tcBorders>
          </w:tcPr>
          <w:p w14:paraId="1D63B6EC"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70(21%)</w:t>
            </w:r>
          </w:p>
        </w:tc>
        <w:tc>
          <w:tcPr>
            <w:tcW w:w="1753" w:type="dxa"/>
            <w:tcBorders>
              <w:top w:val="single" w:sz="4" w:space="0" w:color="auto"/>
            </w:tcBorders>
          </w:tcPr>
          <w:p w14:paraId="156D49E3"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90(27%)</w:t>
            </w:r>
          </w:p>
        </w:tc>
        <w:tc>
          <w:tcPr>
            <w:tcW w:w="1753" w:type="dxa"/>
            <w:tcBorders>
              <w:top w:val="single" w:sz="4" w:space="0" w:color="auto"/>
            </w:tcBorders>
          </w:tcPr>
          <w:p w14:paraId="1CB84E40"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50(15%)</w:t>
            </w:r>
          </w:p>
        </w:tc>
        <w:tc>
          <w:tcPr>
            <w:tcW w:w="1138" w:type="dxa"/>
            <w:tcBorders>
              <w:top w:val="single" w:sz="4" w:space="0" w:color="auto"/>
            </w:tcBorders>
          </w:tcPr>
          <w:p w14:paraId="659EBD59"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2.90</w:t>
            </w:r>
          </w:p>
        </w:tc>
        <w:tc>
          <w:tcPr>
            <w:tcW w:w="1706" w:type="dxa"/>
            <w:tcBorders>
              <w:top w:val="single" w:sz="4" w:space="0" w:color="auto"/>
            </w:tcBorders>
          </w:tcPr>
          <w:p w14:paraId="15D2DFD8"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1.24</w:t>
            </w:r>
          </w:p>
        </w:tc>
      </w:tr>
      <w:tr w:rsidR="002D25B6" w:rsidRPr="00DA40B4" w14:paraId="01E0CAAC" w14:textId="77777777" w:rsidTr="00DA40B4">
        <w:trPr>
          <w:trHeight w:val="613"/>
        </w:trPr>
        <w:tc>
          <w:tcPr>
            <w:tcW w:w="2255" w:type="dxa"/>
          </w:tcPr>
          <w:p w14:paraId="5D055CB0" w14:textId="77777777" w:rsidR="00CD3724" w:rsidRPr="00DA40B4" w:rsidRDefault="00CD3724" w:rsidP="003315F5">
            <w:pPr>
              <w:spacing w:line="360" w:lineRule="auto"/>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Famine</w:t>
            </w:r>
          </w:p>
        </w:tc>
        <w:tc>
          <w:tcPr>
            <w:tcW w:w="1753" w:type="dxa"/>
          </w:tcPr>
          <w:p w14:paraId="31C1BB82"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 xml:space="preserve">69(20.7%) </w:t>
            </w:r>
          </w:p>
        </w:tc>
        <w:tc>
          <w:tcPr>
            <w:tcW w:w="1753" w:type="dxa"/>
          </w:tcPr>
          <w:p w14:paraId="70432F75"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55(16.5%)</w:t>
            </w:r>
          </w:p>
        </w:tc>
        <w:tc>
          <w:tcPr>
            <w:tcW w:w="1753" w:type="dxa"/>
          </w:tcPr>
          <w:p w14:paraId="5C809569"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90(27.0%)</w:t>
            </w:r>
          </w:p>
        </w:tc>
        <w:tc>
          <w:tcPr>
            <w:tcW w:w="1753" w:type="dxa"/>
          </w:tcPr>
          <w:p w14:paraId="4BF0CB5D"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73(21.9%)</w:t>
            </w:r>
          </w:p>
        </w:tc>
        <w:tc>
          <w:tcPr>
            <w:tcW w:w="1753" w:type="dxa"/>
          </w:tcPr>
          <w:p w14:paraId="6FB6900A"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46(13.8%)</w:t>
            </w:r>
          </w:p>
        </w:tc>
        <w:tc>
          <w:tcPr>
            <w:tcW w:w="1138" w:type="dxa"/>
          </w:tcPr>
          <w:p w14:paraId="49C0C6FE"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3.08</w:t>
            </w:r>
          </w:p>
        </w:tc>
        <w:tc>
          <w:tcPr>
            <w:tcW w:w="1706" w:type="dxa"/>
          </w:tcPr>
          <w:p w14:paraId="039EE5C1"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1.33</w:t>
            </w:r>
          </w:p>
        </w:tc>
      </w:tr>
      <w:tr w:rsidR="002D25B6" w:rsidRPr="00DA40B4" w14:paraId="05DA58AA" w14:textId="77777777" w:rsidTr="00DA40B4">
        <w:trPr>
          <w:trHeight w:val="1090"/>
        </w:trPr>
        <w:tc>
          <w:tcPr>
            <w:tcW w:w="2255" w:type="dxa"/>
            <w:tcBorders>
              <w:bottom w:val="single" w:sz="4" w:space="0" w:color="auto"/>
            </w:tcBorders>
          </w:tcPr>
          <w:p w14:paraId="27CBECBF"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 xml:space="preserve">Sudden rise in </w:t>
            </w:r>
          </w:p>
          <w:p w14:paraId="55462112"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food prices</w:t>
            </w:r>
          </w:p>
        </w:tc>
        <w:tc>
          <w:tcPr>
            <w:tcW w:w="1753" w:type="dxa"/>
            <w:tcBorders>
              <w:bottom w:val="single" w:sz="4" w:space="0" w:color="auto"/>
            </w:tcBorders>
          </w:tcPr>
          <w:p w14:paraId="7E6F9D88"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 xml:space="preserve">68(20.4%) </w:t>
            </w:r>
          </w:p>
        </w:tc>
        <w:tc>
          <w:tcPr>
            <w:tcW w:w="1753" w:type="dxa"/>
            <w:tcBorders>
              <w:bottom w:val="single" w:sz="4" w:space="0" w:color="auto"/>
            </w:tcBorders>
          </w:tcPr>
          <w:p w14:paraId="1AFB5D20"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82(24.6%)</w:t>
            </w:r>
          </w:p>
        </w:tc>
        <w:tc>
          <w:tcPr>
            <w:tcW w:w="1753" w:type="dxa"/>
            <w:tcBorders>
              <w:bottom w:val="single" w:sz="4" w:space="0" w:color="auto"/>
            </w:tcBorders>
          </w:tcPr>
          <w:p w14:paraId="38304BB3"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82(24.6%)</w:t>
            </w:r>
          </w:p>
        </w:tc>
        <w:tc>
          <w:tcPr>
            <w:tcW w:w="1753" w:type="dxa"/>
            <w:tcBorders>
              <w:bottom w:val="single" w:sz="4" w:space="0" w:color="auto"/>
            </w:tcBorders>
          </w:tcPr>
          <w:p w14:paraId="2FD4D8E9"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58(17.4%)</w:t>
            </w:r>
          </w:p>
        </w:tc>
        <w:tc>
          <w:tcPr>
            <w:tcW w:w="1753" w:type="dxa"/>
            <w:tcBorders>
              <w:bottom w:val="single" w:sz="4" w:space="0" w:color="auto"/>
            </w:tcBorders>
          </w:tcPr>
          <w:p w14:paraId="1392360B"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43(12.9%)</w:t>
            </w:r>
          </w:p>
        </w:tc>
        <w:tc>
          <w:tcPr>
            <w:tcW w:w="1138" w:type="dxa"/>
            <w:tcBorders>
              <w:bottom w:val="single" w:sz="4" w:space="0" w:color="auto"/>
            </w:tcBorders>
          </w:tcPr>
          <w:p w14:paraId="6B2FFDD7"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3.22</w:t>
            </w:r>
          </w:p>
        </w:tc>
        <w:tc>
          <w:tcPr>
            <w:tcW w:w="1706" w:type="dxa"/>
            <w:tcBorders>
              <w:bottom w:val="single" w:sz="4" w:space="0" w:color="auto"/>
            </w:tcBorders>
          </w:tcPr>
          <w:p w14:paraId="2B2A03A3"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r w:rsidRPr="00DA40B4">
              <w:rPr>
                <w:rFonts w:ascii="Times New Roman" w:hAnsi="Times New Roman" w:cs="Times New Roman"/>
                <w:color w:val="000000" w:themeColor="text1"/>
                <w:sz w:val="24"/>
                <w:szCs w:val="24"/>
              </w:rPr>
              <w:t>1.31</w:t>
            </w:r>
          </w:p>
        </w:tc>
      </w:tr>
      <w:bookmarkEnd w:id="109"/>
      <w:tr w:rsidR="002D25B6" w:rsidRPr="00DA40B4" w14:paraId="5577AFB0" w14:textId="77777777" w:rsidTr="00DA40B4">
        <w:trPr>
          <w:trHeight w:val="613"/>
        </w:trPr>
        <w:tc>
          <w:tcPr>
            <w:tcW w:w="2255" w:type="dxa"/>
            <w:tcBorders>
              <w:top w:val="single" w:sz="4" w:space="0" w:color="auto"/>
              <w:bottom w:val="single" w:sz="4" w:space="0" w:color="auto"/>
            </w:tcBorders>
          </w:tcPr>
          <w:p w14:paraId="24881A12" w14:textId="77777777" w:rsidR="00CD3724" w:rsidRPr="00DA40B4" w:rsidRDefault="00CD3724" w:rsidP="003315F5">
            <w:pPr>
              <w:spacing w:line="360" w:lineRule="auto"/>
              <w:jc w:val="both"/>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 xml:space="preserve">Weighted </w:t>
            </w:r>
          </w:p>
        </w:tc>
        <w:tc>
          <w:tcPr>
            <w:tcW w:w="1753" w:type="dxa"/>
            <w:tcBorders>
              <w:top w:val="single" w:sz="4" w:space="0" w:color="auto"/>
              <w:bottom w:val="single" w:sz="4" w:space="0" w:color="auto"/>
            </w:tcBorders>
          </w:tcPr>
          <w:p w14:paraId="145CF3BE" w14:textId="77777777" w:rsidR="00CD3724" w:rsidRPr="00DA40B4" w:rsidRDefault="00CD3724" w:rsidP="003315F5">
            <w:pPr>
              <w:spacing w:line="360" w:lineRule="auto"/>
              <w:jc w:val="both"/>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Average</w:t>
            </w:r>
          </w:p>
        </w:tc>
        <w:tc>
          <w:tcPr>
            <w:tcW w:w="1753" w:type="dxa"/>
            <w:tcBorders>
              <w:top w:val="single" w:sz="4" w:space="0" w:color="auto"/>
              <w:bottom w:val="single" w:sz="4" w:space="0" w:color="auto"/>
            </w:tcBorders>
          </w:tcPr>
          <w:p w14:paraId="4CFF7346"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p>
        </w:tc>
        <w:tc>
          <w:tcPr>
            <w:tcW w:w="1753" w:type="dxa"/>
            <w:tcBorders>
              <w:top w:val="single" w:sz="4" w:space="0" w:color="auto"/>
              <w:bottom w:val="single" w:sz="4" w:space="0" w:color="auto"/>
            </w:tcBorders>
          </w:tcPr>
          <w:p w14:paraId="7EF6278E"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p>
        </w:tc>
        <w:tc>
          <w:tcPr>
            <w:tcW w:w="1753" w:type="dxa"/>
            <w:tcBorders>
              <w:top w:val="single" w:sz="4" w:space="0" w:color="auto"/>
              <w:bottom w:val="single" w:sz="4" w:space="0" w:color="auto"/>
            </w:tcBorders>
          </w:tcPr>
          <w:p w14:paraId="44587EB4" w14:textId="77777777" w:rsidR="00CD3724" w:rsidRPr="00DA40B4" w:rsidRDefault="00CD3724" w:rsidP="003315F5">
            <w:pPr>
              <w:spacing w:line="360" w:lineRule="auto"/>
              <w:jc w:val="both"/>
              <w:rPr>
                <w:rFonts w:ascii="Times New Roman" w:hAnsi="Times New Roman" w:cs="Times New Roman"/>
                <w:color w:val="000000" w:themeColor="text1"/>
                <w:sz w:val="24"/>
                <w:szCs w:val="24"/>
              </w:rPr>
            </w:pPr>
          </w:p>
        </w:tc>
        <w:tc>
          <w:tcPr>
            <w:tcW w:w="1753" w:type="dxa"/>
            <w:tcBorders>
              <w:top w:val="single" w:sz="4" w:space="0" w:color="auto"/>
              <w:bottom w:val="single" w:sz="4" w:space="0" w:color="auto"/>
            </w:tcBorders>
          </w:tcPr>
          <w:p w14:paraId="12018CA5" w14:textId="77777777" w:rsidR="00CD3724" w:rsidRPr="00DA40B4" w:rsidRDefault="00CD3724" w:rsidP="003315F5">
            <w:pPr>
              <w:spacing w:line="360" w:lineRule="auto"/>
              <w:jc w:val="both"/>
              <w:rPr>
                <w:rFonts w:ascii="Times New Roman" w:hAnsi="Times New Roman" w:cs="Times New Roman"/>
                <w:b/>
                <w:bCs/>
                <w:color w:val="000000" w:themeColor="text1"/>
                <w:sz w:val="24"/>
                <w:szCs w:val="24"/>
              </w:rPr>
            </w:pPr>
          </w:p>
        </w:tc>
        <w:tc>
          <w:tcPr>
            <w:tcW w:w="1138" w:type="dxa"/>
            <w:tcBorders>
              <w:top w:val="single" w:sz="4" w:space="0" w:color="auto"/>
              <w:bottom w:val="single" w:sz="4" w:space="0" w:color="auto"/>
            </w:tcBorders>
          </w:tcPr>
          <w:p w14:paraId="607D53D5" w14:textId="77777777" w:rsidR="00CD3724" w:rsidRPr="00DA40B4" w:rsidRDefault="00CD3724" w:rsidP="003315F5">
            <w:pPr>
              <w:spacing w:line="360" w:lineRule="auto"/>
              <w:jc w:val="both"/>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3.07</w:t>
            </w:r>
          </w:p>
        </w:tc>
        <w:tc>
          <w:tcPr>
            <w:tcW w:w="1706" w:type="dxa"/>
            <w:tcBorders>
              <w:top w:val="single" w:sz="4" w:space="0" w:color="auto"/>
              <w:bottom w:val="single" w:sz="4" w:space="0" w:color="auto"/>
            </w:tcBorders>
          </w:tcPr>
          <w:p w14:paraId="4305ED91" w14:textId="77777777" w:rsidR="00CD3724" w:rsidRPr="00DA40B4" w:rsidRDefault="00CD3724" w:rsidP="003315F5">
            <w:pPr>
              <w:spacing w:line="360" w:lineRule="auto"/>
              <w:jc w:val="both"/>
              <w:rPr>
                <w:rFonts w:ascii="Times New Roman" w:hAnsi="Times New Roman" w:cs="Times New Roman"/>
                <w:b/>
                <w:bCs/>
                <w:color w:val="000000" w:themeColor="text1"/>
                <w:sz w:val="24"/>
                <w:szCs w:val="24"/>
              </w:rPr>
            </w:pPr>
            <w:r w:rsidRPr="00DA40B4">
              <w:rPr>
                <w:rFonts w:ascii="Times New Roman" w:hAnsi="Times New Roman" w:cs="Times New Roman"/>
                <w:b/>
                <w:bCs/>
                <w:color w:val="000000" w:themeColor="text1"/>
                <w:sz w:val="24"/>
                <w:szCs w:val="24"/>
              </w:rPr>
              <w:t>1.29</w:t>
            </w:r>
          </w:p>
        </w:tc>
      </w:tr>
    </w:tbl>
    <w:bookmarkEnd w:id="108"/>
    <w:p w14:paraId="6B9BCEDF" w14:textId="77777777" w:rsidR="00CD3724" w:rsidRPr="00E2630C" w:rsidRDefault="00CD3724" w:rsidP="00CD3724">
      <w:pPr>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 xml:space="preserve">Source: Fieldwork, 2023 Scale = 1 Never, 2 Low, 3 Very Low, 4 High, 5 Very high </w:t>
      </w:r>
      <w:bookmarkStart w:id="110" w:name="_Hlk152536718"/>
    </w:p>
    <w:p w14:paraId="535C3C58" w14:textId="77777777" w:rsidR="00CD3724" w:rsidRPr="00E2630C" w:rsidRDefault="00CD3724" w:rsidP="00CD3724">
      <w:pPr>
        <w:jc w:val="both"/>
        <w:rPr>
          <w:rFonts w:ascii="Times New Roman" w:hAnsi="Times New Roman" w:cs="Times New Roman"/>
          <w:b/>
          <w:bCs/>
          <w:color w:val="000000" w:themeColor="text1"/>
          <w:sz w:val="24"/>
          <w:szCs w:val="24"/>
        </w:rPr>
        <w:sectPr w:rsidR="00CD3724" w:rsidRPr="00E2630C" w:rsidSect="00DA40B4">
          <w:type w:val="continuous"/>
          <w:pgSz w:w="16838" w:h="11906" w:orient="landscape" w:code="9"/>
          <w:pgMar w:top="1440" w:right="1440" w:bottom="2160" w:left="1440" w:header="706" w:footer="706" w:gutter="0"/>
          <w:cols w:space="708"/>
          <w:docGrid w:linePitch="360"/>
        </w:sectPr>
      </w:pPr>
    </w:p>
    <w:p w14:paraId="1483D536" w14:textId="5508E470" w:rsidR="00CD3724" w:rsidRDefault="00CD3724" w:rsidP="00CD3724">
      <w:pPr>
        <w:jc w:val="both"/>
        <w:rPr>
          <w:rFonts w:ascii="Times New Roman" w:hAnsi="Times New Roman" w:cs="Times New Roman"/>
          <w:b/>
          <w:bCs/>
          <w:color w:val="000000" w:themeColor="text1"/>
          <w:sz w:val="24"/>
          <w:szCs w:val="24"/>
        </w:rPr>
      </w:pPr>
    </w:p>
    <w:p w14:paraId="7AAF884E" w14:textId="77777777" w:rsidR="00DA40B4" w:rsidRDefault="00DA40B4" w:rsidP="00CD3724">
      <w:pPr>
        <w:jc w:val="both"/>
        <w:rPr>
          <w:rFonts w:ascii="Times New Roman" w:hAnsi="Times New Roman" w:cs="Times New Roman"/>
          <w:b/>
          <w:bCs/>
          <w:color w:val="000000" w:themeColor="text1"/>
          <w:sz w:val="24"/>
          <w:szCs w:val="24"/>
        </w:rPr>
        <w:sectPr w:rsidR="00DA40B4" w:rsidSect="00DA40B4">
          <w:type w:val="continuous"/>
          <w:pgSz w:w="16838" w:h="11906" w:orient="landscape" w:code="9"/>
          <w:pgMar w:top="1440" w:right="1440" w:bottom="2160" w:left="1440" w:header="706" w:footer="706" w:gutter="0"/>
          <w:cols w:space="708"/>
          <w:docGrid w:linePitch="360"/>
        </w:sectPr>
      </w:pPr>
    </w:p>
    <w:p w14:paraId="209738E8"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The scale ranges from 0.00 to 3.00, denoting respondents' disagreement regarding chieftaincy conflicts and food security, while 3.01 to 5.00 indicates respondents' agreement on these issues. As presented in Table 4.3, the mean of means (M = 3.07; SD = 1.29) signifies a prevailing agreement among respondents regarding the notion that issues such as hunger, farming, and sudden rise in food prices could occasion due to chieftaincy conflicts. With an average standard deviation of 1.29, the researcher observes a moderate dispersion of responses, highlighting the variability among respondents' viewpoints around the mean of 1.29. </w:t>
      </w:r>
      <w:r w:rsidRPr="00E2630C">
        <w:rPr>
          <w:rFonts w:ascii="Times New Roman" w:eastAsia="Calibri" w:hAnsi="Times New Roman" w:cs="Times New Roman"/>
          <w:color w:val="000000" w:themeColor="text1"/>
          <w:sz w:val="24"/>
          <w:szCs w:val="24"/>
        </w:rPr>
        <w:t xml:space="preserve">The current study's discoveries align with the research conducted by </w:t>
      </w:r>
      <w:r w:rsidRPr="00E2630C">
        <w:rPr>
          <w:rFonts w:ascii="Times New Roman" w:hAnsi="Times New Roman" w:cs="Times New Roman"/>
          <w:color w:val="000000" w:themeColor="text1"/>
          <w:sz w:val="24"/>
          <w:szCs w:val="24"/>
        </w:rPr>
        <w:t>Messer (2009)</w:t>
      </w:r>
      <w:r w:rsidRPr="00E2630C">
        <w:rPr>
          <w:rFonts w:ascii="Times New Roman" w:eastAsia="Calibri" w:hAnsi="Times New Roman" w:cs="Times New Roman"/>
          <w:color w:val="000000" w:themeColor="text1"/>
          <w:sz w:val="24"/>
          <w:szCs w:val="24"/>
        </w:rPr>
        <w:t>, pinpointing that chieftaincy conflicts could play a role in elements including hunger, famine and abrupt surges in food prices. These factors invariably, have the potential to escalate into social unrest and violence, as exemplified by the political demonstrations in over 50 countries during the 2008 food insecurity crises. The competition for control over essential food production resources, including land and water, can also catalyze conflict (</w:t>
      </w:r>
      <w:r w:rsidRPr="00E2630C">
        <w:rPr>
          <w:rFonts w:ascii="Times New Roman" w:hAnsi="Times New Roman" w:cs="Times New Roman"/>
          <w:color w:val="000000" w:themeColor="text1"/>
          <w:sz w:val="24"/>
          <w:szCs w:val="24"/>
        </w:rPr>
        <w:t xml:space="preserve">Interpeace, 2023). </w:t>
      </w:r>
      <w:r w:rsidRPr="00E2630C">
        <w:rPr>
          <w:rFonts w:ascii="Times New Roman" w:eastAsia="Calibri" w:hAnsi="Times New Roman" w:cs="Times New Roman"/>
          <w:color w:val="000000" w:themeColor="text1"/>
          <w:sz w:val="24"/>
          <w:szCs w:val="24"/>
        </w:rPr>
        <w:t xml:space="preserve">In Ethiopia, the prevalence of conflict was found to have intertwined with factors such as periodic drought, inadequate infrastructure, and traditional farming practices, all contributed to food insecurity </w:t>
      </w:r>
      <w:r w:rsidRPr="00E2630C">
        <w:rPr>
          <w:rFonts w:ascii="Times New Roman" w:hAnsi="Times New Roman" w:cs="Times New Roman"/>
          <w:color w:val="000000" w:themeColor="text1"/>
          <w:sz w:val="24"/>
          <w:szCs w:val="24"/>
        </w:rPr>
        <w:t>(Gatdet, 2021).</w:t>
      </w:r>
      <w:r w:rsidRPr="00E2630C">
        <w:rPr>
          <w:rFonts w:ascii="Times New Roman" w:eastAsia="Calibri" w:hAnsi="Times New Roman" w:cs="Times New Roman"/>
          <w:color w:val="000000" w:themeColor="text1"/>
          <w:sz w:val="24"/>
          <w:szCs w:val="24"/>
        </w:rPr>
        <w:t xml:space="preserve"> Tackling these challenges necessitates a comprehensive strategy encompassing diverse initiatives. These include fostering non-farm activities, promoting family-based economic models, enhancing irrigation practices, and refining conflict management techniques (Gatdet, 2021).</w:t>
      </w:r>
    </w:p>
    <w:p w14:paraId="646EF046" w14:textId="3F77833E" w:rsidR="00CD3724" w:rsidRDefault="00CD3724" w:rsidP="00CD3724">
      <w:pPr>
        <w:spacing w:line="480" w:lineRule="auto"/>
        <w:jc w:val="both"/>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The study further probed the potential influence of chieftaincy conflicts on food security. The hypothesis posited that chieftaincy conflicts could positively engender hunger, famine and sudden rise in food prices. To assess this hypothesis, a multiple regression analysis was employed.</w:t>
      </w:r>
    </w:p>
    <w:p w14:paraId="0F049F06" w14:textId="77777777" w:rsidR="00CD3724" w:rsidRPr="00E2630C" w:rsidRDefault="00CD3724" w:rsidP="00990904">
      <w:pPr>
        <w:pStyle w:val="Heading6"/>
      </w:pPr>
      <w:bookmarkStart w:id="111" w:name="_Toc182386322"/>
      <w:bookmarkStart w:id="112" w:name="_Hlk152603108"/>
      <w:r w:rsidRPr="00E2630C">
        <w:rPr>
          <w:rFonts w:eastAsia="Calibri"/>
          <w:iCs/>
        </w:rPr>
        <w:lastRenderedPageBreak/>
        <w:t xml:space="preserve">Table 4.4: </w:t>
      </w:r>
      <w:r w:rsidRPr="00990904">
        <w:t>Results</w:t>
      </w:r>
      <w:r w:rsidRPr="00E2630C">
        <w:rPr>
          <w:rFonts w:eastAsia="Calibri"/>
          <w:iCs/>
        </w:rPr>
        <w:t xml:space="preserve"> of Multiple Regression on </w:t>
      </w:r>
      <w:r w:rsidRPr="00E2630C">
        <w:t>Chieftaincy Conflicts and Food Security in Bimbilla.</w:t>
      </w:r>
      <w:bookmarkEnd w:id="111"/>
    </w:p>
    <w:p w14:paraId="3F556ABE"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b/>
          <w:bCs/>
          <w:color w:val="000000" w:themeColor="text1"/>
          <w:sz w:val="24"/>
          <w:szCs w:val="24"/>
        </w:rPr>
        <w:t xml:space="preserve">Model summary </w:t>
      </w:r>
    </w:p>
    <w:tbl>
      <w:tblPr>
        <w:tblStyle w:val="TableGrid1"/>
        <w:tblW w:w="791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1"/>
        <w:gridCol w:w="744"/>
        <w:gridCol w:w="1170"/>
        <w:gridCol w:w="2250"/>
        <w:gridCol w:w="2875"/>
      </w:tblGrid>
      <w:tr w:rsidR="002D25B6" w:rsidRPr="00E2630C" w14:paraId="1CF99190" w14:textId="77777777" w:rsidTr="003315F5">
        <w:tc>
          <w:tcPr>
            <w:tcW w:w="871" w:type="dxa"/>
            <w:tcBorders>
              <w:top w:val="single" w:sz="4" w:space="0" w:color="auto"/>
              <w:bottom w:val="single" w:sz="4" w:space="0" w:color="auto"/>
            </w:tcBorders>
          </w:tcPr>
          <w:p w14:paraId="4AECD264"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744" w:type="dxa"/>
            <w:tcBorders>
              <w:top w:val="single" w:sz="4" w:space="0" w:color="auto"/>
              <w:bottom w:val="single" w:sz="4" w:space="0" w:color="auto"/>
            </w:tcBorders>
          </w:tcPr>
          <w:p w14:paraId="7A501839"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R</w:t>
            </w:r>
          </w:p>
        </w:tc>
        <w:tc>
          <w:tcPr>
            <w:tcW w:w="1170" w:type="dxa"/>
            <w:tcBorders>
              <w:top w:val="single" w:sz="4" w:space="0" w:color="auto"/>
              <w:bottom w:val="single" w:sz="4" w:space="0" w:color="auto"/>
            </w:tcBorders>
          </w:tcPr>
          <w:p w14:paraId="6DBE3100"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R Square</w:t>
            </w:r>
          </w:p>
        </w:tc>
        <w:tc>
          <w:tcPr>
            <w:tcW w:w="2250" w:type="dxa"/>
            <w:tcBorders>
              <w:top w:val="single" w:sz="4" w:space="0" w:color="auto"/>
              <w:bottom w:val="single" w:sz="4" w:space="0" w:color="auto"/>
            </w:tcBorders>
          </w:tcPr>
          <w:p w14:paraId="346AB53A"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Adjusted R square</w:t>
            </w:r>
          </w:p>
        </w:tc>
        <w:tc>
          <w:tcPr>
            <w:tcW w:w="2875" w:type="dxa"/>
            <w:tcBorders>
              <w:top w:val="single" w:sz="4" w:space="0" w:color="auto"/>
              <w:bottom w:val="single" w:sz="4" w:space="0" w:color="auto"/>
            </w:tcBorders>
          </w:tcPr>
          <w:p w14:paraId="7CB73F05"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Std. Error of Estimate</w:t>
            </w:r>
          </w:p>
        </w:tc>
      </w:tr>
      <w:tr w:rsidR="002D25B6" w:rsidRPr="00E2630C" w14:paraId="0D2AA590" w14:textId="77777777" w:rsidTr="003315F5">
        <w:tc>
          <w:tcPr>
            <w:tcW w:w="871" w:type="dxa"/>
            <w:tcBorders>
              <w:top w:val="single" w:sz="4" w:space="0" w:color="auto"/>
            </w:tcBorders>
            <w:shd w:val="clear" w:color="auto" w:fill="FFFFFF"/>
            <w:vAlign w:val="center"/>
          </w:tcPr>
          <w:p w14:paraId="2D5206C6"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w:t>
            </w:r>
          </w:p>
        </w:tc>
        <w:tc>
          <w:tcPr>
            <w:tcW w:w="744" w:type="dxa"/>
            <w:tcBorders>
              <w:top w:val="single" w:sz="4" w:space="0" w:color="auto"/>
            </w:tcBorders>
            <w:shd w:val="clear" w:color="auto" w:fill="FFFFFF"/>
            <w:vAlign w:val="center"/>
          </w:tcPr>
          <w:p w14:paraId="3EDA9C04"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.229</w:t>
            </w:r>
          </w:p>
        </w:tc>
        <w:tc>
          <w:tcPr>
            <w:tcW w:w="1170" w:type="dxa"/>
            <w:tcBorders>
              <w:top w:val="single" w:sz="4" w:space="0" w:color="auto"/>
            </w:tcBorders>
            <w:shd w:val="clear" w:color="auto" w:fill="FFFFFF"/>
            <w:vAlign w:val="center"/>
          </w:tcPr>
          <w:p w14:paraId="63A0273C"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.053</w:t>
            </w:r>
          </w:p>
        </w:tc>
        <w:tc>
          <w:tcPr>
            <w:tcW w:w="2250" w:type="dxa"/>
            <w:tcBorders>
              <w:top w:val="single" w:sz="4" w:space="0" w:color="auto"/>
            </w:tcBorders>
            <w:shd w:val="clear" w:color="auto" w:fill="FFFFFF"/>
            <w:vAlign w:val="center"/>
          </w:tcPr>
          <w:p w14:paraId="120E0436"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.044</w:t>
            </w:r>
          </w:p>
        </w:tc>
        <w:tc>
          <w:tcPr>
            <w:tcW w:w="2875" w:type="dxa"/>
            <w:tcBorders>
              <w:top w:val="single" w:sz="4" w:space="0" w:color="auto"/>
            </w:tcBorders>
            <w:shd w:val="clear" w:color="auto" w:fill="FFFFFF"/>
            <w:vAlign w:val="center"/>
          </w:tcPr>
          <w:p w14:paraId="3EC4562C"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1.56683</w:t>
            </w:r>
          </w:p>
        </w:tc>
      </w:tr>
    </w:tbl>
    <w:p w14:paraId="381E350B" w14:textId="77777777" w:rsidR="00CD3724" w:rsidRPr="00E2630C" w:rsidRDefault="00CD3724" w:rsidP="00CD3724">
      <w:pPr>
        <w:autoSpaceDE w:val="0"/>
        <w:autoSpaceDN w:val="0"/>
        <w:adjustRightInd w:val="0"/>
        <w:spacing w:after="0" w:line="400" w:lineRule="atLeast"/>
        <w:rPr>
          <w:rFonts w:ascii="Times New Roman" w:eastAsia="Calibri" w:hAnsi="Times New Roman" w:cs="Times New Roman"/>
          <w:b/>
          <w:bCs/>
          <w:color w:val="000000" w:themeColor="text1"/>
          <w:sz w:val="24"/>
          <w:szCs w:val="24"/>
        </w:rPr>
      </w:pPr>
    </w:p>
    <w:p w14:paraId="79E5B585" w14:textId="77777777" w:rsidR="00CD3724" w:rsidRPr="00E2630C" w:rsidRDefault="00CD3724" w:rsidP="00CD3724">
      <w:pPr>
        <w:autoSpaceDE w:val="0"/>
        <w:autoSpaceDN w:val="0"/>
        <w:adjustRightInd w:val="0"/>
        <w:spacing w:after="0" w:line="400" w:lineRule="atLeast"/>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ANOVA</w:t>
      </w:r>
    </w:p>
    <w:tbl>
      <w:tblPr>
        <w:tblStyle w:val="TableGrid1"/>
        <w:tblW w:w="791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3"/>
        <w:gridCol w:w="2147"/>
        <w:gridCol w:w="1080"/>
        <w:gridCol w:w="1710"/>
        <w:gridCol w:w="1054"/>
        <w:gridCol w:w="636"/>
      </w:tblGrid>
      <w:tr w:rsidR="002D25B6" w:rsidRPr="00E2630C" w14:paraId="7A1323D8" w14:textId="77777777" w:rsidTr="003315F5">
        <w:tc>
          <w:tcPr>
            <w:tcW w:w="1283" w:type="dxa"/>
            <w:tcBorders>
              <w:top w:val="single" w:sz="4" w:space="0" w:color="auto"/>
              <w:bottom w:val="single" w:sz="4" w:space="0" w:color="auto"/>
            </w:tcBorders>
            <w:shd w:val="clear" w:color="auto" w:fill="FFFFFF"/>
          </w:tcPr>
          <w:p w14:paraId="7C7196F0"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2147" w:type="dxa"/>
            <w:tcBorders>
              <w:top w:val="single" w:sz="4" w:space="0" w:color="auto"/>
              <w:bottom w:val="single" w:sz="4" w:space="0" w:color="auto"/>
            </w:tcBorders>
            <w:shd w:val="clear" w:color="auto" w:fill="FFFFFF"/>
          </w:tcPr>
          <w:p w14:paraId="2CB87D7C"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Sum of Squares</w:t>
            </w:r>
          </w:p>
        </w:tc>
        <w:tc>
          <w:tcPr>
            <w:tcW w:w="1080" w:type="dxa"/>
            <w:tcBorders>
              <w:top w:val="single" w:sz="4" w:space="0" w:color="auto"/>
              <w:bottom w:val="single" w:sz="4" w:space="0" w:color="auto"/>
            </w:tcBorders>
            <w:shd w:val="clear" w:color="auto" w:fill="FFFFFF"/>
          </w:tcPr>
          <w:p w14:paraId="3CB2C11C" w14:textId="63A27228" w:rsidR="00CD3724" w:rsidRPr="00E2630C" w:rsidRDefault="00776656"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D</w:t>
            </w:r>
            <w:r w:rsidR="00CD3724" w:rsidRPr="00E2630C">
              <w:rPr>
                <w:rFonts w:ascii="Times New Roman" w:eastAsia="Calibri" w:hAnsi="Times New Roman" w:cs="Times New Roman"/>
                <w:b/>
                <w:bCs/>
                <w:color w:val="000000" w:themeColor="text1"/>
                <w:sz w:val="24"/>
                <w:szCs w:val="24"/>
              </w:rPr>
              <w:t>f</w:t>
            </w:r>
          </w:p>
        </w:tc>
        <w:tc>
          <w:tcPr>
            <w:tcW w:w="1710" w:type="dxa"/>
            <w:tcBorders>
              <w:top w:val="single" w:sz="4" w:space="0" w:color="auto"/>
              <w:bottom w:val="single" w:sz="4" w:space="0" w:color="auto"/>
            </w:tcBorders>
            <w:shd w:val="clear" w:color="auto" w:fill="FFFFFF"/>
          </w:tcPr>
          <w:p w14:paraId="30A71874"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Mean Square</w:t>
            </w:r>
          </w:p>
        </w:tc>
        <w:tc>
          <w:tcPr>
            <w:tcW w:w="1054" w:type="dxa"/>
            <w:tcBorders>
              <w:top w:val="single" w:sz="4" w:space="0" w:color="auto"/>
              <w:bottom w:val="single" w:sz="4" w:space="0" w:color="auto"/>
            </w:tcBorders>
            <w:shd w:val="clear" w:color="auto" w:fill="FFFFFF"/>
          </w:tcPr>
          <w:p w14:paraId="1561E658"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F</w:t>
            </w:r>
          </w:p>
        </w:tc>
        <w:tc>
          <w:tcPr>
            <w:tcW w:w="636" w:type="dxa"/>
            <w:tcBorders>
              <w:top w:val="single" w:sz="4" w:space="0" w:color="auto"/>
              <w:bottom w:val="single" w:sz="4" w:space="0" w:color="auto"/>
            </w:tcBorders>
            <w:shd w:val="clear" w:color="auto" w:fill="FFFFFF"/>
          </w:tcPr>
          <w:p w14:paraId="67CE8D64"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Sig.</w:t>
            </w:r>
          </w:p>
        </w:tc>
      </w:tr>
      <w:tr w:rsidR="002D25B6" w:rsidRPr="00E2630C" w14:paraId="3561A586" w14:textId="77777777" w:rsidTr="003315F5">
        <w:tc>
          <w:tcPr>
            <w:tcW w:w="1283" w:type="dxa"/>
            <w:tcBorders>
              <w:top w:val="single" w:sz="4" w:space="0" w:color="auto"/>
            </w:tcBorders>
            <w:vAlign w:val="center"/>
          </w:tcPr>
          <w:p w14:paraId="4B531299"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Regression</w:t>
            </w:r>
          </w:p>
        </w:tc>
        <w:tc>
          <w:tcPr>
            <w:tcW w:w="2147" w:type="dxa"/>
            <w:tcBorders>
              <w:top w:val="single" w:sz="4" w:space="0" w:color="auto"/>
            </w:tcBorders>
            <w:shd w:val="clear" w:color="auto" w:fill="FFFFFF"/>
            <w:vAlign w:val="center"/>
          </w:tcPr>
          <w:p w14:paraId="4CFD5E9C"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44.780</w:t>
            </w:r>
          </w:p>
        </w:tc>
        <w:tc>
          <w:tcPr>
            <w:tcW w:w="1080" w:type="dxa"/>
            <w:tcBorders>
              <w:top w:val="single" w:sz="4" w:space="0" w:color="auto"/>
            </w:tcBorders>
            <w:shd w:val="clear" w:color="auto" w:fill="FFFFFF"/>
            <w:vAlign w:val="center"/>
          </w:tcPr>
          <w:p w14:paraId="2F235725"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w:t>
            </w:r>
          </w:p>
        </w:tc>
        <w:tc>
          <w:tcPr>
            <w:tcW w:w="1710" w:type="dxa"/>
            <w:tcBorders>
              <w:top w:val="single" w:sz="4" w:space="0" w:color="auto"/>
            </w:tcBorders>
            <w:shd w:val="clear" w:color="auto" w:fill="FFFFFF"/>
            <w:vAlign w:val="center"/>
          </w:tcPr>
          <w:p w14:paraId="79D3036D"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14.927</w:t>
            </w:r>
          </w:p>
        </w:tc>
        <w:tc>
          <w:tcPr>
            <w:tcW w:w="1054" w:type="dxa"/>
            <w:tcBorders>
              <w:top w:val="single" w:sz="4" w:space="0" w:color="auto"/>
            </w:tcBorders>
            <w:shd w:val="clear" w:color="auto" w:fill="FFFFFF"/>
            <w:vAlign w:val="center"/>
          </w:tcPr>
          <w:p w14:paraId="2F375666"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6.080</w:t>
            </w:r>
          </w:p>
        </w:tc>
        <w:tc>
          <w:tcPr>
            <w:tcW w:w="636" w:type="dxa"/>
            <w:tcBorders>
              <w:top w:val="single" w:sz="4" w:space="0" w:color="auto"/>
            </w:tcBorders>
            <w:shd w:val="clear" w:color="auto" w:fill="FFFFFF"/>
            <w:vAlign w:val="center"/>
          </w:tcPr>
          <w:p w14:paraId="78FA4CCF"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.000</w:t>
            </w:r>
          </w:p>
        </w:tc>
      </w:tr>
      <w:tr w:rsidR="002D25B6" w:rsidRPr="00E2630C" w14:paraId="355C999E" w14:textId="77777777" w:rsidTr="003315F5">
        <w:tc>
          <w:tcPr>
            <w:tcW w:w="1283" w:type="dxa"/>
            <w:tcBorders>
              <w:bottom w:val="single" w:sz="4" w:space="0" w:color="auto"/>
            </w:tcBorders>
            <w:vAlign w:val="center"/>
          </w:tcPr>
          <w:p w14:paraId="7E17D720"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Residual</w:t>
            </w:r>
          </w:p>
        </w:tc>
        <w:tc>
          <w:tcPr>
            <w:tcW w:w="2147" w:type="dxa"/>
            <w:tcBorders>
              <w:bottom w:val="single" w:sz="4" w:space="0" w:color="auto"/>
            </w:tcBorders>
            <w:shd w:val="clear" w:color="auto" w:fill="FFFFFF"/>
            <w:vAlign w:val="center"/>
          </w:tcPr>
          <w:p w14:paraId="73A4D178"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807.677</w:t>
            </w:r>
          </w:p>
        </w:tc>
        <w:tc>
          <w:tcPr>
            <w:tcW w:w="1080" w:type="dxa"/>
            <w:tcBorders>
              <w:bottom w:val="single" w:sz="4" w:space="0" w:color="auto"/>
            </w:tcBorders>
            <w:shd w:val="clear" w:color="auto" w:fill="FFFFFF"/>
            <w:vAlign w:val="center"/>
          </w:tcPr>
          <w:p w14:paraId="1504E9B3"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329</w:t>
            </w:r>
          </w:p>
        </w:tc>
        <w:tc>
          <w:tcPr>
            <w:tcW w:w="1710" w:type="dxa"/>
            <w:tcBorders>
              <w:bottom w:val="single" w:sz="4" w:space="0" w:color="auto"/>
            </w:tcBorders>
            <w:shd w:val="clear" w:color="auto" w:fill="FFFFFF"/>
            <w:vAlign w:val="center"/>
          </w:tcPr>
          <w:p w14:paraId="78862A4D"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2.455</w:t>
            </w:r>
          </w:p>
        </w:tc>
        <w:tc>
          <w:tcPr>
            <w:tcW w:w="1054" w:type="dxa"/>
            <w:tcBorders>
              <w:bottom w:val="single" w:sz="4" w:space="0" w:color="auto"/>
            </w:tcBorders>
            <w:shd w:val="clear" w:color="auto" w:fill="FFFFFF"/>
          </w:tcPr>
          <w:p w14:paraId="4E11C79B"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p>
        </w:tc>
        <w:tc>
          <w:tcPr>
            <w:tcW w:w="636" w:type="dxa"/>
            <w:tcBorders>
              <w:bottom w:val="single" w:sz="4" w:space="0" w:color="auto"/>
            </w:tcBorders>
            <w:shd w:val="clear" w:color="auto" w:fill="FFFFFF"/>
          </w:tcPr>
          <w:p w14:paraId="1B235410"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p>
        </w:tc>
      </w:tr>
      <w:tr w:rsidR="002D25B6" w:rsidRPr="00E2630C" w14:paraId="7015B11D" w14:textId="77777777" w:rsidTr="003315F5">
        <w:tc>
          <w:tcPr>
            <w:tcW w:w="1283" w:type="dxa"/>
            <w:tcBorders>
              <w:top w:val="single" w:sz="4" w:space="0" w:color="auto"/>
              <w:bottom w:val="single" w:sz="4" w:space="0" w:color="auto"/>
            </w:tcBorders>
            <w:vAlign w:val="center"/>
          </w:tcPr>
          <w:p w14:paraId="3C7E17E4"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Total</w:t>
            </w:r>
          </w:p>
        </w:tc>
        <w:tc>
          <w:tcPr>
            <w:tcW w:w="2147" w:type="dxa"/>
            <w:tcBorders>
              <w:top w:val="single" w:sz="4" w:space="0" w:color="auto"/>
              <w:bottom w:val="single" w:sz="4" w:space="0" w:color="auto"/>
            </w:tcBorders>
            <w:shd w:val="clear" w:color="auto" w:fill="FFFFFF"/>
            <w:vAlign w:val="center"/>
          </w:tcPr>
          <w:p w14:paraId="4C676955"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hAnsi="Times New Roman" w:cs="Times New Roman"/>
                <w:color w:val="000000" w:themeColor="text1"/>
                <w:kern w:val="0"/>
                <w:sz w:val="24"/>
                <w:szCs w:val="24"/>
              </w:rPr>
              <w:t>852.456</w:t>
            </w:r>
          </w:p>
        </w:tc>
        <w:tc>
          <w:tcPr>
            <w:tcW w:w="1080" w:type="dxa"/>
            <w:tcBorders>
              <w:top w:val="single" w:sz="4" w:space="0" w:color="auto"/>
              <w:bottom w:val="single" w:sz="4" w:space="0" w:color="auto"/>
            </w:tcBorders>
            <w:shd w:val="clear" w:color="auto" w:fill="FFFFFF"/>
            <w:vAlign w:val="center"/>
          </w:tcPr>
          <w:p w14:paraId="3640C41C"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hAnsi="Times New Roman" w:cs="Times New Roman"/>
                <w:color w:val="000000" w:themeColor="text1"/>
                <w:kern w:val="0"/>
                <w:sz w:val="24"/>
                <w:szCs w:val="24"/>
              </w:rPr>
              <w:t>332</w:t>
            </w:r>
          </w:p>
        </w:tc>
        <w:tc>
          <w:tcPr>
            <w:tcW w:w="1710" w:type="dxa"/>
            <w:tcBorders>
              <w:top w:val="single" w:sz="4" w:space="0" w:color="auto"/>
              <w:bottom w:val="single" w:sz="4" w:space="0" w:color="auto"/>
            </w:tcBorders>
            <w:shd w:val="clear" w:color="auto" w:fill="FFFFFF"/>
          </w:tcPr>
          <w:p w14:paraId="6DB04507"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p>
        </w:tc>
        <w:tc>
          <w:tcPr>
            <w:tcW w:w="1054" w:type="dxa"/>
            <w:tcBorders>
              <w:top w:val="single" w:sz="4" w:space="0" w:color="auto"/>
              <w:bottom w:val="single" w:sz="4" w:space="0" w:color="auto"/>
            </w:tcBorders>
            <w:shd w:val="clear" w:color="auto" w:fill="FFFFFF"/>
          </w:tcPr>
          <w:p w14:paraId="1E551C19"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p>
        </w:tc>
        <w:tc>
          <w:tcPr>
            <w:tcW w:w="636" w:type="dxa"/>
            <w:tcBorders>
              <w:top w:val="single" w:sz="4" w:space="0" w:color="auto"/>
              <w:bottom w:val="single" w:sz="4" w:space="0" w:color="auto"/>
            </w:tcBorders>
            <w:shd w:val="clear" w:color="auto" w:fill="FFFFFF"/>
          </w:tcPr>
          <w:p w14:paraId="4223BCFB"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p>
        </w:tc>
      </w:tr>
    </w:tbl>
    <w:p w14:paraId="0B388DC4" w14:textId="77777777" w:rsidR="00CD3724" w:rsidRPr="00E2630C" w:rsidRDefault="00CD3724" w:rsidP="00CD3724">
      <w:pPr>
        <w:autoSpaceDE w:val="0"/>
        <w:autoSpaceDN w:val="0"/>
        <w:adjustRightInd w:val="0"/>
        <w:spacing w:after="0"/>
        <w:rPr>
          <w:rFonts w:ascii="Times New Roman" w:eastAsia="Calibri" w:hAnsi="Times New Roman" w:cs="Times New Roman"/>
          <w:b/>
          <w:bCs/>
          <w:color w:val="000000" w:themeColor="text1"/>
          <w:sz w:val="24"/>
          <w:szCs w:val="24"/>
        </w:rPr>
      </w:pPr>
    </w:p>
    <w:p w14:paraId="13A33ECB" w14:textId="77777777" w:rsidR="00CD3724" w:rsidRPr="00E2630C" w:rsidRDefault="00CD3724" w:rsidP="00CD3724">
      <w:pPr>
        <w:autoSpaceDE w:val="0"/>
        <w:autoSpaceDN w:val="0"/>
        <w:adjustRightInd w:val="0"/>
        <w:spacing w:after="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Coefficients</w:t>
      </w:r>
    </w:p>
    <w:tbl>
      <w:tblPr>
        <w:tblStyle w:val="TableGrid1"/>
        <w:tblW w:w="800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4"/>
        <w:gridCol w:w="1341"/>
        <w:gridCol w:w="1170"/>
        <w:gridCol w:w="900"/>
        <w:gridCol w:w="990"/>
        <w:gridCol w:w="1350"/>
      </w:tblGrid>
      <w:tr w:rsidR="002D25B6" w:rsidRPr="00E2630C" w14:paraId="27C8BD47" w14:textId="77777777" w:rsidTr="003315F5">
        <w:tc>
          <w:tcPr>
            <w:tcW w:w="2254" w:type="dxa"/>
            <w:tcBorders>
              <w:top w:val="single" w:sz="4" w:space="0" w:color="auto"/>
              <w:bottom w:val="single" w:sz="4" w:space="0" w:color="auto"/>
            </w:tcBorders>
            <w:vAlign w:val="center"/>
          </w:tcPr>
          <w:p w14:paraId="78ACBA20" w14:textId="77777777" w:rsidR="00CD3724" w:rsidRPr="00E2630C" w:rsidRDefault="00CD3724" w:rsidP="003315F5">
            <w:pPr>
              <w:autoSpaceDE w:val="0"/>
              <w:autoSpaceDN w:val="0"/>
              <w:adjustRightInd w:val="0"/>
              <w:spacing w:line="360" w:lineRule="auto"/>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1341" w:type="dxa"/>
            <w:tcBorders>
              <w:top w:val="single" w:sz="4" w:space="0" w:color="auto"/>
              <w:bottom w:val="single" w:sz="4" w:space="0" w:color="auto"/>
            </w:tcBorders>
            <w:vAlign w:val="center"/>
          </w:tcPr>
          <w:p w14:paraId="156D494D"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 xml:space="preserve">β </w:t>
            </w:r>
          </w:p>
        </w:tc>
        <w:tc>
          <w:tcPr>
            <w:tcW w:w="1170" w:type="dxa"/>
            <w:tcBorders>
              <w:top w:val="single" w:sz="4" w:space="0" w:color="auto"/>
              <w:bottom w:val="single" w:sz="4" w:space="0" w:color="auto"/>
            </w:tcBorders>
            <w:vAlign w:val="center"/>
          </w:tcPr>
          <w:p w14:paraId="1CA1C333"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SE</w:t>
            </w:r>
          </w:p>
        </w:tc>
        <w:tc>
          <w:tcPr>
            <w:tcW w:w="900" w:type="dxa"/>
            <w:tcBorders>
              <w:top w:val="single" w:sz="4" w:space="0" w:color="auto"/>
              <w:bottom w:val="single" w:sz="4" w:space="0" w:color="auto"/>
            </w:tcBorders>
          </w:tcPr>
          <w:p w14:paraId="04CA4629"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Β</w:t>
            </w:r>
          </w:p>
        </w:tc>
        <w:tc>
          <w:tcPr>
            <w:tcW w:w="990" w:type="dxa"/>
            <w:tcBorders>
              <w:top w:val="single" w:sz="4" w:space="0" w:color="auto"/>
              <w:bottom w:val="single" w:sz="4" w:space="0" w:color="auto"/>
            </w:tcBorders>
            <w:vAlign w:val="center"/>
          </w:tcPr>
          <w:p w14:paraId="5EF24312"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t</w:t>
            </w:r>
          </w:p>
        </w:tc>
        <w:tc>
          <w:tcPr>
            <w:tcW w:w="1350" w:type="dxa"/>
            <w:tcBorders>
              <w:top w:val="single" w:sz="4" w:space="0" w:color="auto"/>
              <w:bottom w:val="single" w:sz="4" w:space="0" w:color="auto"/>
            </w:tcBorders>
            <w:vAlign w:val="center"/>
          </w:tcPr>
          <w:p w14:paraId="0F0401E1"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P</w:t>
            </w:r>
          </w:p>
        </w:tc>
      </w:tr>
      <w:tr w:rsidR="002D25B6" w:rsidRPr="00E2630C" w14:paraId="2EC0F425" w14:textId="77777777" w:rsidTr="003315F5">
        <w:tc>
          <w:tcPr>
            <w:tcW w:w="2254" w:type="dxa"/>
            <w:tcBorders>
              <w:top w:val="single" w:sz="4" w:space="0" w:color="auto"/>
            </w:tcBorders>
            <w:vAlign w:val="center"/>
          </w:tcPr>
          <w:p w14:paraId="5B120A88" w14:textId="77777777" w:rsidR="00CD3724" w:rsidRPr="00E2630C" w:rsidRDefault="00CD3724" w:rsidP="003315F5">
            <w:pPr>
              <w:autoSpaceDE w:val="0"/>
              <w:autoSpaceDN w:val="0"/>
              <w:adjustRightInd w:val="0"/>
              <w:spacing w:line="36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 (Constant)</w:t>
            </w:r>
          </w:p>
        </w:tc>
        <w:tc>
          <w:tcPr>
            <w:tcW w:w="1341" w:type="dxa"/>
            <w:tcBorders>
              <w:top w:val="single" w:sz="4" w:space="0" w:color="auto"/>
            </w:tcBorders>
            <w:shd w:val="clear" w:color="auto" w:fill="FFFFFF"/>
            <w:vAlign w:val="center"/>
          </w:tcPr>
          <w:p w14:paraId="5E2AF705"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2.990</w:t>
            </w:r>
          </w:p>
        </w:tc>
        <w:tc>
          <w:tcPr>
            <w:tcW w:w="1170" w:type="dxa"/>
            <w:tcBorders>
              <w:top w:val="single" w:sz="4" w:space="0" w:color="auto"/>
            </w:tcBorders>
            <w:shd w:val="clear" w:color="auto" w:fill="FFFFFF"/>
            <w:vAlign w:val="center"/>
          </w:tcPr>
          <w:p w14:paraId="31535F12"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.269</w:t>
            </w:r>
          </w:p>
        </w:tc>
        <w:tc>
          <w:tcPr>
            <w:tcW w:w="900" w:type="dxa"/>
            <w:tcBorders>
              <w:top w:val="single" w:sz="4" w:space="0" w:color="auto"/>
            </w:tcBorders>
            <w:shd w:val="clear" w:color="auto" w:fill="FFFFFF"/>
          </w:tcPr>
          <w:p w14:paraId="667310BA"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p>
        </w:tc>
        <w:tc>
          <w:tcPr>
            <w:tcW w:w="990" w:type="dxa"/>
            <w:tcBorders>
              <w:top w:val="single" w:sz="4" w:space="0" w:color="auto"/>
            </w:tcBorders>
            <w:shd w:val="clear" w:color="auto" w:fill="FFFFFF"/>
            <w:vAlign w:val="center"/>
          </w:tcPr>
          <w:p w14:paraId="67558B95"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11.104</w:t>
            </w:r>
          </w:p>
        </w:tc>
        <w:tc>
          <w:tcPr>
            <w:tcW w:w="1350" w:type="dxa"/>
            <w:tcBorders>
              <w:top w:val="single" w:sz="4" w:space="0" w:color="auto"/>
            </w:tcBorders>
            <w:shd w:val="clear" w:color="auto" w:fill="FFFFFF"/>
            <w:vAlign w:val="center"/>
          </w:tcPr>
          <w:p w14:paraId="57D8AF11"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.000</w:t>
            </w:r>
          </w:p>
        </w:tc>
      </w:tr>
      <w:tr w:rsidR="002D25B6" w:rsidRPr="00E2630C" w14:paraId="53A1EEBB" w14:textId="77777777" w:rsidTr="003315F5">
        <w:tc>
          <w:tcPr>
            <w:tcW w:w="2254" w:type="dxa"/>
            <w:vAlign w:val="center"/>
          </w:tcPr>
          <w:p w14:paraId="3B630888" w14:textId="77777777" w:rsidR="00CD3724" w:rsidRPr="00E2630C" w:rsidRDefault="00CD3724" w:rsidP="003315F5">
            <w:pPr>
              <w:autoSpaceDE w:val="0"/>
              <w:autoSpaceDN w:val="0"/>
              <w:adjustRightInd w:val="0"/>
              <w:spacing w:line="36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Hunger</w:t>
            </w:r>
          </w:p>
        </w:tc>
        <w:tc>
          <w:tcPr>
            <w:tcW w:w="1341" w:type="dxa"/>
            <w:shd w:val="clear" w:color="auto" w:fill="FFFFFF"/>
            <w:vAlign w:val="center"/>
          </w:tcPr>
          <w:p w14:paraId="614B221F"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-.117</w:t>
            </w:r>
          </w:p>
        </w:tc>
        <w:tc>
          <w:tcPr>
            <w:tcW w:w="1170" w:type="dxa"/>
            <w:shd w:val="clear" w:color="auto" w:fill="FFFFFF"/>
            <w:vAlign w:val="center"/>
          </w:tcPr>
          <w:p w14:paraId="1A68DB80"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.042</w:t>
            </w:r>
          </w:p>
        </w:tc>
        <w:tc>
          <w:tcPr>
            <w:tcW w:w="900" w:type="dxa"/>
            <w:shd w:val="clear" w:color="auto" w:fill="FFFFFF"/>
            <w:vAlign w:val="center"/>
          </w:tcPr>
          <w:p w14:paraId="43B987FB"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-.152</w:t>
            </w:r>
          </w:p>
        </w:tc>
        <w:tc>
          <w:tcPr>
            <w:tcW w:w="990" w:type="dxa"/>
            <w:shd w:val="clear" w:color="auto" w:fill="FFFFFF"/>
            <w:vAlign w:val="center"/>
          </w:tcPr>
          <w:p w14:paraId="3FA270CA"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-2.807</w:t>
            </w:r>
          </w:p>
        </w:tc>
        <w:tc>
          <w:tcPr>
            <w:tcW w:w="1350" w:type="dxa"/>
            <w:shd w:val="clear" w:color="auto" w:fill="FFFFFF"/>
            <w:vAlign w:val="center"/>
          </w:tcPr>
          <w:p w14:paraId="55CDCF98"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.005</w:t>
            </w:r>
          </w:p>
        </w:tc>
      </w:tr>
      <w:tr w:rsidR="002D25B6" w:rsidRPr="00E2630C" w14:paraId="653A1626" w14:textId="77777777" w:rsidTr="003315F5">
        <w:tc>
          <w:tcPr>
            <w:tcW w:w="2254" w:type="dxa"/>
            <w:vAlign w:val="center"/>
          </w:tcPr>
          <w:p w14:paraId="06506716" w14:textId="77777777" w:rsidR="00CD3724" w:rsidRPr="00E2630C" w:rsidRDefault="00CD3724" w:rsidP="003315F5">
            <w:pPr>
              <w:autoSpaceDE w:val="0"/>
              <w:autoSpaceDN w:val="0"/>
              <w:adjustRightInd w:val="0"/>
              <w:spacing w:line="36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Famine</w:t>
            </w:r>
          </w:p>
        </w:tc>
        <w:tc>
          <w:tcPr>
            <w:tcW w:w="1341" w:type="dxa"/>
            <w:shd w:val="clear" w:color="auto" w:fill="FFFFFF"/>
            <w:vAlign w:val="center"/>
          </w:tcPr>
          <w:p w14:paraId="558F60BA"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.232</w:t>
            </w:r>
          </w:p>
        </w:tc>
        <w:tc>
          <w:tcPr>
            <w:tcW w:w="1170" w:type="dxa"/>
            <w:shd w:val="clear" w:color="auto" w:fill="FFFFFF"/>
            <w:vAlign w:val="center"/>
          </w:tcPr>
          <w:p w14:paraId="787EA013"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.067</w:t>
            </w:r>
          </w:p>
        </w:tc>
        <w:tc>
          <w:tcPr>
            <w:tcW w:w="900" w:type="dxa"/>
            <w:shd w:val="clear" w:color="auto" w:fill="FFFFFF"/>
            <w:vAlign w:val="center"/>
          </w:tcPr>
          <w:p w14:paraId="2CCFF74F"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.188</w:t>
            </w:r>
          </w:p>
        </w:tc>
        <w:tc>
          <w:tcPr>
            <w:tcW w:w="990" w:type="dxa"/>
            <w:shd w:val="clear" w:color="auto" w:fill="FFFFFF"/>
            <w:vAlign w:val="center"/>
          </w:tcPr>
          <w:p w14:paraId="414F55A9"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3.443</w:t>
            </w:r>
          </w:p>
        </w:tc>
        <w:tc>
          <w:tcPr>
            <w:tcW w:w="1350" w:type="dxa"/>
            <w:shd w:val="clear" w:color="auto" w:fill="FFFFFF"/>
            <w:vAlign w:val="center"/>
          </w:tcPr>
          <w:p w14:paraId="1B960492"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.001</w:t>
            </w:r>
          </w:p>
        </w:tc>
      </w:tr>
      <w:tr w:rsidR="002D25B6" w:rsidRPr="00E2630C" w14:paraId="4F60CB8A" w14:textId="77777777" w:rsidTr="003315F5">
        <w:tc>
          <w:tcPr>
            <w:tcW w:w="2254" w:type="dxa"/>
          </w:tcPr>
          <w:p w14:paraId="0070AA18" w14:textId="77777777" w:rsidR="00CD3724" w:rsidRPr="00E2630C" w:rsidRDefault="00CD3724" w:rsidP="003315F5">
            <w:pPr>
              <w:autoSpaceDE w:val="0"/>
              <w:autoSpaceDN w:val="0"/>
              <w:adjustRightInd w:val="0"/>
              <w:spacing w:line="36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Sudden rise in food prices</w:t>
            </w:r>
          </w:p>
        </w:tc>
        <w:tc>
          <w:tcPr>
            <w:tcW w:w="1341" w:type="dxa"/>
            <w:shd w:val="clear" w:color="auto" w:fill="FFFFFF"/>
            <w:vAlign w:val="center"/>
          </w:tcPr>
          <w:p w14:paraId="7D39F89D"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.005</w:t>
            </w:r>
          </w:p>
        </w:tc>
        <w:tc>
          <w:tcPr>
            <w:tcW w:w="1170" w:type="dxa"/>
            <w:shd w:val="clear" w:color="auto" w:fill="FFFFFF"/>
            <w:vAlign w:val="center"/>
          </w:tcPr>
          <w:p w14:paraId="34038B15"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.041</w:t>
            </w:r>
          </w:p>
        </w:tc>
        <w:tc>
          <w:tcPr>
            <w:tcW w:w="900" w:type="dxa"/>
            <w:shd w:val="clear" w:color="auto" w:fill="FFFFFF"/>
            <w:vAlign w:val="center"/>
          </w:tcPr>
          <w:p w14:paraId="06FB872A"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.006</w:t>
            </w:r>
          </w:p>
        </w:tc>
        <w:tc>
          <w:tcPr>
            <w:tcW w:w="990" w:type="dxa"/>
            <w:shd w:val="clear" w:color="auto" w:fill="FFFFFF"/>
            <w:vAlign w:val="center"/>
          </w:tcPr>
          <w:p w14:paraId="7A7D0443"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.113</w:t>
            </w:r>
          </w:p>
        </w:tc>
        <w:tc>
          <w:tcPr>
            <w:tcW w:w="1350" w:type="dxa"/>
            <w:shd w:val="clear" w:color="auto" w:fill="FFFFFF"/>
            <w:vAlign w:val="center"/>
          </w:tcPr>
          <w:p w14:paraId="29196C69"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.910</w:t>
            </w:r>
          </w:p>
        </w:tc>
      </w:tr>
    </w:tbl>
    <w:p w14:paraId="4F6D4D57" w14:textId="77777777" w:rsidR="00CD3724" w:rsidRPr="00E2630C" w:rsidRDefault="00CD3724" w:rsidP="00CD3724">
      <w:pPr>
        <w:spacing w:line="480" w:lineRule="auto"/>
        <w:jc w:val="both"/>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Source: fieldwork 2023.</w:t>
      </w:r>
    </w:p>
    <w:p w14:paraId="2F3CE523" w14:textId="77777777" w:rsidR="00CD3724" w:rsidRPr="00E2630C" w:rsidRDefault="00CD3724" w:rsidP="00CD3724">
      <w:pPr>
        <w:spacing w:line="480" w:lineRule="auto"/>
        <w:jc w:val="both"/>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 xml:space="preserve">The outcomes of the study unveiled that the three dependent variables collectively explain 4.4% of the variation in chieftaincy conflicts (f (14.927) = 6.080, p &lt; 0.001). A closer examination of the individual effects reveals that chieftaincy conflicts significantly impact hunger (β = -0.152, t = -2.807, p = 0.005) and famine (β = 0.188, t = 3.443, p = 0.001). Conversely, a sudden increase in food prices (β = 0.006, t = 0.113, p = 0.910) stood as the only food security factor which is not affected substantially by chieftaincy conflicts as in the study locality. The findings underscore </w:t>
      </w:r>
      <w:bookmarkStart w:id="113" w:name="_Hlk157884168"/>
      <w:r w:rsidRPr="00E2630C">
        <w:rPr>
          <w:rFonts w:ascii="Times New Roman" w:eastAsia="Calibri" w:hAnsi="Times New Roman" w:cs="Times New Roman"/>
          <w:color w:val="000000" w:themeColor="text1"/>
          <w:sz w:val="24"/>
          <w:szCs w:val="24"/>
        </w:rPr>
        <w:t xml:space="preserve">a noteworthy </w:t>
      </w:r>
      <w:r w:rsidRPr="00E2630C">
        <w:rPr>
          <w:rFonts w:ascii="Times New Roman" w:eastAsia="Calibri" w:hAnsi="Times New Roman" w:cs="Times New Roman"/>
          <w:color w:val="000000" w:themeColor="text1"/>
          <w:sz w:val="24"/>
          <w:szCs w:val="24"/>
        </w:rPr>
        <w:lastRenderedPageBreak/>
        <w:t>positive relationship (p = 0.001) and (p = 0.005), emphasizing that hunger and famine are much more substantially influenced than other food security factors.</w:t>
      </w:r>
    </w:p>
    <w:bookmarkEnd w:id="110"/>
    <w:bookmarkEnd w:id="112"/>
    <w:bookmarkEnd w:id="113"/>
    <w:p w14:paraId="4E2F4415" w14:textId="6A024B96"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observation in this context aligns with research which found hunger and farming as among various outcomes which are substantially and directly driven by chieftaincy conflicts (</w:t>
      </w:r>
      <w:r w:rsidRPr="00E2630C">
        <w:rPr>
          <w:rFonts w:ascii="Times New Roman" w:eastAsia="Times New Roman" w:hAnsi="Times New Roman" w:cs="Times New Roman"/>
          <w:color w:val="000000" w:themeColor="text1"/>
          <w:sz w:val="24"/>
          <w:szCs w:val="24"/>
        </w:rPr>
        <w:t>Matimbwa and Mwalimu, 2019;</w:t>
      </w:r>
      <w:r w:rsidRPr="00E2630C">
        <w:rPr>
          <w:rFonts w:ascii="Times New Roman" w:hAnsi="Times New Roman" w:cs="Times New Roman"/>
          <w:color w:val="000000" w:themeColor="text1"/>
          <w:sz w:val="24"/>
          <w:szCs w:val="24"/>
        </w:rPr>
        <w:t xml:space="preserve"> Ejim et al., 2023a). Both studies emphasize the impact of farming-related issues, such as encroachment on farmlands and crop destruction, in escalating conflicts between farmers and pastoralists. </w:t>
      </w:r>
      <w:r w:rsidRPr="00E2630C">
        <w:rPr>
          <w:rFonts w:ascii="Times New Roman" w:eastAsia="Times New Roman" w:hAnsi="Times New Roman" w:cs="Times New Roman"/>
          <w:color w:val="000000" w:themeColor="text1"/>
          <w:sz w:val="24"/>
          <w:szCs w:val="24"/>
        </w:rPr>
        <w:t>Pinstrup-Andersen (2008),</w:t>
      </w:r>
      <w:r w:rsidRPr="00E2630C">
        <w:rPr>
          <w:rFonts w:ascii="Times New Roman" w:hAnsi="Times New Roman" w:cs="Times New Roman"/>
          <w:color w:val="000000" w:themeColor="text1"/>
          <w:sz w:val="24"/>
          <w:szCs w:val="24"/>
        </w:rPr>
        <w:t xml:space="preserve"> further underscores the significant influence of poverty and poor health, prevalent in rural farming communities, on the initiation of armed conflicts. Extending this discourse to chieftaincy conflicts, Agyeman (2021) highlights the developmental implications, including hunger and infrastructural destruction. Collectively, these studies suggest that addressing chieftaincy conflicts and associated land disputes could effectively alleviate hunger, poverty and poverty. </w:t>
      </w:r>
      <w:r w:rsidRPr="00E2630C">
        <w:rPr>
          <w:rFonts w:ascii="Times New Roman" w:eastAsia="Times New Roman" w:hAnsi="Times New Roman" w:cs="Times New Roman"/>
          <w:color w:val="000000" w:themeColor="text1"/>
          <w:sz w:val="24"/>
          <w:szCs w:val="24"/>
        </w:rPr>
        <w:t>Arezki (2011)</w:t>
      </w:r>
      <w:r w:rsidRPr="00E2630C">
        <w:rPr>
          <w:rFonts w:ascii="Times New Roman" w:hAnsi="Times New Roman" w:cs="Times New Roman"/>
          <w:color w:val="000000" w:themeColor="text1"/>
          <w:sz w:val="24"/>
          <w:szCs w:val="24"/>
        </w:rPr>
        <w:t xml:space="preserve"> study provides a supporting argument to the findings indicating that a sudden rise in food prices, particularly in low-income countries, can lead to a significant increase in anti-government demonstrations, riots, and civil conflict. This is especially true in regions with higher agricultural production</w:t>
      </w:r>
      <w:r w:rsidR="00776656" w:rsidRPr="00E2630C">
        <w:rPr>
          <w:rFonts w:ascii="Times New Roman" w:hAnsi="Times New Roman" w:cs="Times New Roman"/>
          <w:color w:val="000000" w:themeColor="text1"/>
          <w:sz w:val="24"/>
          <w:szCs w:val="24"/>
        </w:rPr>
        <w:t xml:space="preserve"> </w:t>
      </w:r>
      <w:r w:rsidRPr="00E2630C">
        <w:rPr>
          <w:rFonts w:ascii="Times New Roman" w:hAnsi="Times New Roman" w:cs="Times New Roman"/>
          <w:color w:val="000000" w:themeColor="text1"/>
          <w:sz w:val="24"/>
          <w:szCs w:val="24"/>
        </w:rPr>
        <w:t xml:space="preserve">(Winne, 2019). </w:t>
      </w:r>
    </w:p>
    <w:p w14:paraId="0653C7B4" w14:textId="77777777" w:rsidR="00CD3724" w:rsidRPr="00E2630C" w:rsidRDefault="00CD3724" w:rsidP="00CD3724">
      <w:pPr>
        <w:pStyle w:val="NoSpacing"/>
        <w:rPr>
          <w:rFonts w:ascii="Times New Roman" w:hAnsi="Times New Roman" w:cs="Times New Roman"/>
          <w:color w:val="000000" w:themeColor="text1"/>
          <w:sz w:val="24"/>
          <w:szCs w:val="24"/>
        </w:rPr>
      </w:pPr>
    </w:p>
    <w:p w14:paraId="5720F159"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Buttressing the above; an opinion leader in an interview indicated:</w:t>
      </w:r>
    </w:p>
    <w:p w14:paraId="25D7BC93" w14:textId="3CCB72A2" w:rsidR="00CD3724" w:rsidRPr="00E2630C" w:rsidRDefault="00CD3724" w:rsidP="00CD3724">
      <w:pPr>
        <w:spacing w:after="0" w:line="360" w:lineRule="auto"/>
        <w:jc w:val="both"/>
        <w:rPr>
          <w:rFonts w:ascii="Times New Roman" w:hAnsi="Times New Roman" w:cs="Times New Roman"/>
          <w:i/>
          <w:iCs/>
          <w:color w:val="000000" w:themeColor="text1"/>
          <w:sz w:val="24"/>
          <w:szCs w:val="24"/>
        </w:rPr>
      </w:pPr>
      <w:r w:rsidRPr="00E2630C">
        <w:rPr>
          <w:rFonts w:ascii="Times New Roman" w:hAnsi="Times New Roman" w:cs="Times New Roman"/>
          <w:i/>
          <w:iCs/>
          <w:color w:val="000000" w:themeColor="text1"/>
          <w:sz w:val="24"/>
          <w:szCs w:val="24"/>
        </w:rPr>
        <w:t>The conflict affected the people in accessing the agricultural produce, this is because, farmers found it difficult to transport their produce to the various market cent</w:t>
      </w:r>
      <w:r w:rsidR="00484C63" w:rsidRPr="00E2630C">
        <w:rPr>
          <w:rFonts w:ascii="Times New Roman" w:hAnsi="Times New Roman" w:cs="Times New Roman"/>
          <w:i/>
          <w:iCs/>
          <w:color w:val="000000" w:themeColor="text1"/>
          <w:sz w:val="24"/>
          <w:szCs w:val="24"/>
        </w:rPr>
        <w:t>re</w:t>
      </w:r>
      <w:r w:rsidRPr="00E2630C">
        <w:rPr>
          <w:rFonts w:ascii="Times New Roman" w:hAnsi="Times New Roman" w:cs="Times New Roman"/>
          <w:i/>
          <w:iCs/>
          <w:color w:val="000000" w:themeColor="text1"/>
          <w:sz w:val="24"/>
          <w:szCs w:val="24"/>
        </w:rPr>
        <w:t>s where they are needed for exportation and consumption. It becomes difficult to access them by both consumers and traders.</w:t>
      </w:r>
    </w:p>
    <w:p w14:paraId="606A13B0" w14:textId="77777777" w:rsidR="00CD3724" w:rsidRPr="00E2630C" w:rsidRDefault="00CD3724" w:rsidP="00CD3724">
      <w:pPr>
        <w:spacing w:after="0" w:line="360" w:lineRule="auto"/>
        <w:jc w:val="both"/>
        <w:rPr>
          <w:rFonts w:ascii="Times New Roman" w:hAnsi="Times New Roman" w:cs="Times New Roman"/>
          <w:i/>
          <w:iCs/>
          <w:color w:val="000000" w:themeColor="text1"/>
          <w:sz w:val="24"/>
          <w:szCs w:val="24"/>
        </w:rPr>
      </w:pPr>
    </w:p>
    <w:p w14:paraId="6082414B"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It was revealed by a key informant that; during the conflict, people were not able to do active business to unable them earn some income to buy farm inputs such as fertilizers, seeds, chemicals for spraying, and weedicides, etc. This according him has a long-term </w:t>
      </w:r>
      <w:r w:rsidRPr="00E2630C">
        <w:rPr>
          <w:rFonts w:ascii="Times New Roman" w:hAnsi="Times New Roman" w:cs="Times New Roman"/>
          <w:color w:val="000000" w:themeColor="text1"/>
          <w:sz w:val="24"/>
          <w:szCs w:val="24"/>
        </w:rPr>
        <w:lastRenderedPageBreak/>
        <w:t>ripple effect on the farming pattern and income cycle. Participants in a focus group discussion remarked respectively:</w:t>
      </w:r>
    </w:p>
    <w:p w14:paraId="000FCBD7" w14:textId="77777777" w:rsidR="00CD3724" w:rsidRPr="00E2630C" w:rsidRDefault="00CD3724" w:rsidP="00CD3724">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i/>
          <w:iCs/>
          <w:color w:val="000000" w:themeColor="text1"/>
          <w:sz w:val="24"/>
          <w:szCs w:val="24"/>
        </w:rPr>
        <w:t>Most of the people in this area are targeting each other, so whenever there is a conflict, they take advantage of it in searching for their farms or harvest to set them ablaze. I will rather be killed by hunger than go to the farm knowing that I will be killed or burnt in the bush. The way things are going, it will get to a time when we will be buying raw materials from other villages to come and feed at home, or better still we will have to travel to the nearby communities. With a slightest misunderstanding, some people intentionally set your farm ablaze or spiritually defecate in the farm to destroy the crops. People can no longer waste money on economic venture that does not yield any returns (Participant’s remark, 2022).</w:t>
      </w:r>
    </w:p>
    <w:p w14:paraId="790BB8AA" w14:textId="77777777" w:rsidR="00CD3724" w:rsidRPr="00E2630C" w:rsidRDefault="00CD3724" w:rsidP="00CD3724">
      <w:pPr>
        <w:spacing w:line="360" w:lineRule="auto"/>
        <w:jc w:val="both"/>
        <w:rPr>
          <w:rFonts w:ascii="Times New Roman" w:hAnsi="Times New Roman" w:cs="Times New Roman"/>
          <w:i/>
          <w:color w:val="000000" w:themeColor="text1"/>
          <w:sz w:val="24"/>
          <w:szCs w:val="24"/>
        </w:rPr>
      </w:pPr>
      <w:r w:rsidRPr="00E2630C">
        <w:rPr>
          <w:rFonts w:ascii="Times New Roman" w:hAnsi="Times New Roman" w:cs="Times New Roman"/>
          <w:i/>
          <w:color w:val="000000" w:themeColor="text1"/>
          <w:sz w:val="24"/>
          <w:szCs w:val="24"/>
        </w:rPr>
        <w:t xml:space="preserve">As of now, there is always a shortage of yam in the market which is not normal. No one wants to risk in farming for fear of losing their farms to fire. We use to have abundant yam here all year around and export more to other regions but that is not the case now. All of us are looking for money during the harvesting season to buy from the farmers rather than farming ourselves which is more economical. </w:t>
      </w:r>
      <w:r w:rsidRPr="00E2630C">
        <w:rPr>
          <w:rFonts w:ascii="Times New Roman" w:hAnsi="Times New Roman" w:cs="Times New Roman"/>
          <w:iCs/>
          <w:color w:val="000000" w:themeColor="text1"/>
          <w:sz w:val="24"/>
          <w:szCs w:val="24"/>
        </w:rPr>
        <w:t>(Respondent Remarks, 2023)</w:t>
      </w:r>
    </w:p>
    <w:p w14:paraId="51B84F7D" w14:textId="77777777" w:rsidR="00CD3724" w:rsidRPr="00E2630C" w:rsidRDefault="00CD3724" w:rsidP="00CD3724">
      <w:pPr>
        <w:spacing w:line="360" w:lineRule="auto"/>
        <w:jc w:val="both"/>
        <w:rPr>
          <w:rFonts w:ascii="Times New Roman" w:hAnsi="Times New Roman" w:cs="Times New Roman"/>
          <w:iCs/>
          <w:color w:val="000000" w:themeColor="text1"/>
          <w:sz w:val="24"/>
          <w:szCs w:val="24"/>
        </w:rPr>
      </w:pPr>
      <w:r w:rsidRPr="00E2630C">
        <w:rPr>
          <w:rFonts w:ascii="Times New Roman" w:hAnsi="Times New Roman" w:cs="Times New Roman"/>
          <w:i/>
          <w:color w:val="000000" w:themeColor="text1"/>
          <w:sz w:val="24"/>
          <w:szCs w:val="24"/>
        </w:rPr>
        <w:t xml:space="preserve">Business is slow, we don’t get what we want to sell from our suppliers. When we send our orders, they end up giving us what they think could be paid within a reasonable time. They don’t want their capital to lock down here, and because we do not also have the physical cash, we always make a little down payment and paid the difference after sale. Now the trust is not there. At first this arrangement worked well for us. In some instances, instead of sending the money to them, per arrangement, we did buy goods such as yam and send to them. The situation has now changed and this has contributed to our feeding predicament </w:t>
      </w:r>
      <w:r w:rsidRPr="00E2630C">
        <w:rPr>
          <w:rFonts w:ascii="Times New Roman" w:hAnsi="Times New Roman" w:cs="Times New Roman"/>
          <w:iCs/>
          <w:color w:val="000000" w:themeColor="text1"/>
          <w:sz w:val="24"/>
          <w:szCs w:val="24"/>
        </w:rPr>
        <w:t>(Respondent Remark, 2023).</w:t>
      </w:r>
    </w:p>
    <w:p w14:paraId="26CE4E18" w14:textId="77777777"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researcher phases of the war broke out at the height of the farming season, just as new farms were being prepared. Meaning that food crops could not be harvested and that many of the harvests were left on the farms to rot. Mbowura (2014) earlier revealed a similar development with regard to the conflict between the Nawuri and the Gonja in Kpandai. </w:t>
      </w:r>
    </w:p>
    <w:p w14:paraId="5396C6D5"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AGI (2014) calculated that, during times of violence, agricultural productivity decreases by an average of 12.3 percent annually in its research of conflicts in Mali and Nigeria. Furthermore, the AGI study showed that the impact of violence on crop output—for example, rice production in 2012 showed a 43 percent drop in real yield when compared to 2011 levels. Aganah (2008) study on the Bawku conflict similarly found farmers, particularly those who cultivate perishable goods like onions and watermelons, incur significant losses during the onset of violence in the Municipality. The Bawku chieftaincy conflict's violence also had a negative impact on commerce, agriculture, revenue generation, lives and property, and infrastructure development.</w:t>
      </w:r>
    </w:p>
    <w:p w14:paraId="5A56CA98" w14:textId="63F98EA9" w:rsidR="00CD3724"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emerging picture is that violent conflicts affect both the immediate community members as well as traders outside the community due to accessibility challenges. This invariably affects the market chain which in turn worsen the food and price situation in the immediate conflict environment certain in motion cycle of economic and social challenges</w:t>
      </w:r>
    </w:p>
    <w:p w14:paraId="77E2D31E" w14:textId="77777777" w:rsidR="00990904" w:rsidRPr="00E2630C" w:rsidRDefault="00990904" w:rsidP="00990904">
      <w:pPr>
        <w:pStyle w:val="NoSpacing"/>
      </w:pPr>
    </w:p>
    <w:p w14:paraId="4EA714AA" w14:textId="77777777" w:rsidR="00CD3724" w:rsidRPr="00E2630C" w:rsidRDefault="00CD3724" w:rsidP="00990904">
      <w:pPr>
        <w:pStyle w:val="Heading2"/>
      </w:pPr>
      <w:bookmarkStart w:id="114" w:name="_Toc182386280"/>
      <w:r w:rsidRPr="00E2630C">
        <w:t>4.3 Objective Three: Chieftaincy Conflicts and Health Security Implication in Bimbilla</w:t>
      </w:r>
      <w:bookmarkEnd w:id="114"/>
    </w:p>
    <w:p w14:paraId="7AD0A9BA" w14:textId="5C15F5AD" w:rsidR="00CD3724" w:rsidRPr="00E2630C" w:rsidRDefault="00CD3724" w:rsidP="00DA40B4">
      <w:pPr>
        <w:spacing w:before="100" w:beforeAutospacing="1" w:after="100" w:afterAutospacing="1"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Health is critical in human life (Marfo, 2015).</w:t>
      </w:r>
      <w:r w:rsidRPr="00E2630C">
        <w:rPr>
          <w:rFonts w:ascii="Times New Roman" w:hAnsi="Times New Roman" w:cs="Times New Roman"/>
          <w:b/>
          <w:bCs/>
          <w:color w:val="000000" w:themeColor="text1"/>
          <w:sz w:val="24"/>
          <w:szCs w:val="24"/>
        </w:rPr>
        <w:t xml:space="preserve"> </w:t>
      </w:r>
      <w:r w:rsidRPr="00E2630C">
        <w:rPr>
          <w:rFonts w:ascii="Times New Roman" w:hAnsi="Times New Roman" w:cs="Times New Roman"/>
          <w:color w:val="000000" w:themeColor="text1"/>
          <w:sz w:val="24"/>
          <w:szCs w:val="24"/>
        </w:rPr>
        <w:t xml:space="preserve">Selmon (1994:1) wrote that, ‘life is man’s most valuable possession and next in order of value is health. Without health, life is deprived and not only of much, if not all, of its usefulness, but also of its joys and pleasures’. Consequently, Marfo (2015) espouses that the promotion of the health of citizens, is one major pre-occupation of nations. He observed that the United Nations (UN) and its agencies such as the World Health Organization (WHO) and the United Nations Children Fund (UNICEF) for instance, have been instrumental in promoting the health needs of nations. The problem of health security has to be consciously </w:t>
      </w:r>
      <w:r w:rsidRPr="00E2630C">
        <w:rPr>
          <w:rFonts w:ascii="Times New Roman" w:hAnsi="Times New Roman" w:cs="Times New Roman"/>
          <w:color w:val="000000" w:themeColor="text1"/>
          <w:sz w:val="24"/>
          <w:szCs w:val="24"/>
        </w:rPr>
        <w:lastRenderedPageBreak/>
        <w:t xml:space="preserve">labelled and addressed. As the securitization theory espouses, </w:t>
      </w:r>
      <w:r w:rsidR="00C37B3C" w:rsidRPr="00E2630C">
        <w:rPr>
          <w:rFonts w:ascii="Times New Roman" w:eastAsia="Times New Roman" w:hAnsi="Times New Roman" w:cs="Times New Roman"/>
          <w:color w:val="000000" w:themeColor="text1"/>
          <w:sz w:val="24"/>
          <w:szCs w:val="24"/>
          <w:lang w:eastAsia="en-GB"/>
        </w:rPr>
        <w:t xml:space="preserve">matters </w:t>
      </w:r>
      <w:r w:rsidRPr="00E2630C">
        <w:rPr>
          <w:rFonts w:ascii="Times New Roman" w:eastAsia="Times New Roman" w:hAnsi="Times New Roman" w:cs="Times New Roman"/>
          <w:color w:val="000000" w:themeColor="text1"/>
          <w:sz w:val="24"/>
          <w:szCs w:val="24"/>
          <w:lang w:eastAsia="en-GB"/>
        </w:rPr>
        <w:t xml:space="preserve">only become security problems when they are branded as security issues (Clara, 2018). </w:t>
      </w:r>
      <w:r w:rsidRPr="00E2630C">
        <w:rPr>
          <w:rFonts w:ascii="Times New Roman" w:hAnsi="Times New Roman" w:cs="Times New Roman"/>
          <w:color w:val="000000" w:themeColor="text1"/>
          <w:sz w:val="24"/>
          <w:szCs w:val="24"/>
        </w:rPr>
        <w:t>The study therefore sought the views of the respondents as to how the conflicts affected their health security in terms of sicknesses, nutrition, sanitation and access to basic health care as informed by the literature. The means and standard deviation for the responses were calculated. A regression analysis was then run to ascertain the link between chieftaincy conflict as against the health security variables as outlined. The results are captured in Table 4.5 and Table 4.6 respectively.</w:t>
      </w:r>
    </w:p>
    <w:p w14:paraId="11B2DC62" w14:textId="77777777" w:rsidR="00CD3724" w:rsidRDefault="00CD3724" w:rsidP="00CD3724">
      <w:pPr>
        <w:spacing w:before="100" w:beforeAutospacing="1" w:after="100" w:afterAutospacing="1" w:line="480" w:lineRule="auto"/>
        <w:jc w:val="both"/>
        <w:rPr>
          <w:rFonts w:ascii="Times New Roman" w:hAnsi="Times New Roman" w:cs="Times New Roman"/>
          <w:b/>
          <w:bCs/>
          <w:color w:val="000000" w:themeColor="text1"/>
          <w:sz w:val="24"/>
          <w:szCs w:val="24"/>
        </w:rPr>
      </w:pPr>
    </w:p>
    <w:p w14:paraId="1E55587D" w14:textId="77777777" w:rsidR="00DA40B4" w:rsidRDefault="00DA40B4" w:rsidP="00DA40B4">
      <w:pPr>
        <w:spacing w:before="100" w:beforeAutospacing="1" w:after="100" w:afterAutospacing="1" w:line="480" w:lineRule="auto"/>
        <w:jc w:val="both"/>
        <w:rPr>
          <w:rFonts w:ascii="Times New Roman" w:hAnsi="Times New Roman" w:cs="Times New Roman"/>
          <w:b/>
          <w:bCs/>
          <w:color w:val="000000" w:themeColor="text1"/>
          <w:sz w:val="24"/>
          <w:szCs w:val="24"/>
        </w:rPr>
        <w:sectPr w:rsidR="00DA40B4" w:rsidSect="00DA40B4">
          <w:type w:val="continuous"/>
          <w:pgSz w:w="11906" w:h="16838" w:code="9"/>
          <w:pgMar w:top="1440" w:right="1440" w:bottom="1440" w:left="2160" w:header="706" w:footer="706" w:gutter="0"/>
          <w:cols w:space="708"/>
          <w:docGrid w:linePitch="360"/>
        </w:sectPr>
      </w:pPr>
    </w:p>
    <w:p w14:paraId="320C3AF5" w14:textId="15BD6842" w:rsidR="00DA40B4" w:rsidRPr="00E2630C" w:rsidRDefault="00DA40B4" w:rsidP="00DA40B4">
      <w:pPr>
        <w:spacing w:before="100" w:beforeAutospacing="1" w:after="100" w:afterAutospacing="1" w:line="480" w:lineRule="auto"/>
        <w:jc w:val="both"/>
        <w:rPr>
          <w:rFonts w:ascii="Times New Roman" w:hAnsi="Times New Roman" w:cs="Times New Roman"/>
          <w:b/>
          <w:bCs/>
          <w:color w:val="000000" w:themeColor="text1"/>
          <w:sz w:val="24"/>
          <w:szCs w:val="24"/>
        </w:rPr>
        <w:sectPr w:rsidR="00DA40B4" w:rsidRPr="00E2630C" w:rsidSect="00DA40B4">
          <w:type w:val="continuous"/>
          <w:pgSz w:w="16838" w:h="11906" w:orient="landscape" w:code="9"/>
          <w:pgMar w:top="1440" w:right="1440" w:bottom="2160" w:left="1440" w:header="706" w:footer="706" w:gutter="0"/>
          <w:cols w:space="708"/>
          <w:docGrid w:linePitch="360"/>
        </w:sectPr>
      </w:pPr>
    </w:p>
    <w:p w14:paraId="1A3EA28C" w14:textId="59C95B74" w:rsidR="00CD3724" w:rsidRPr="00E2630C" w:rsidRDefault="00CD3724" w:rsidP="00990904">
      <w:pPr>
        <w:pStyle w:val="Heading6"/>
      </w:pPr>
      <w:bookmarkStart w:id="115" w:name="_Toc182386323"/>
      <w:r w:rsidRPr="00E2630C">
        <w:t xml:space="preserve">Table 4.5: </w:t>
      </w:r>
      <w:r w:rsidR="003C3A39" w:rsidRPr="00990904">
        <w:t>Perceptions</w:t>
      </w:r>
      <w:r w:rsidR="003C3A39" w:rsidRPr="00E2630C">
        <w:t xml:space="preserve"> of The Impact of Chieftaincy Conflicts on Health Security</w:t>
      </w:r>
      <w:bookmarkEnd w:id="115"/>
    </w:p>
    <w:tbl>
      <w:tblPr>
        <w:tblStyle w:val="TableGrid"/>
        <w:tblW w:w="1384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7"/>
        <w:gridCol w:w="1728"/>
        <w:gridCol w:w="1728"/>
        <w:gridCol w:w="1728"/>
        <w:gridCol w:w="1728"/>
        <w:gridCol w:w="1728"/>
        <w:gridCol w:w="1122"/>
        <w:gridCol w:w="1681"/>
      </w:tblGrid>
      <w:tr w:rsidR="002D25B6" w:rsidRPr="00E2630C" w14:paraId="30E15A0D" w14:textId="77777777" w:rsidTr="003315F5">
        <w:trPr>
          <w:trHeight w:val="972"/>
        </w:trPr>
        <w:tc>
          <w:tcPr>
            <w:tcW w:w="2397" w:type="dxa"/>
            <w:tcBorders>
              <w:bottom w:val="nil"/>
            </w:tcBorders>
          </w:tcPr>
          <w:p w14:paraId="6FEE8AA8" w14:textId="77777777" w:rsidR="00CD3724" w:rsidRPr="00E2630C" w:rsidRDefault="00CD3724" w:rsidP="00DA40B4">
            <w:pPr>
              <w:pStyle w:val="NoSpacing"/>
            </w:pPr>
            <w:r w:rsidRPr="00E2630C">
              <w:t>The</w:t>
            </w:r>
          </w:p>
        </w:tc>
        <w:tc>
          <w:tcPr>
            <w:tcW w:w="1728" w:type="dxa"/>
            <w:tcBorders>
              <w:bottom w:val="nil"/>
            </w:tcBorders>
          </w:tcPr>
          <w:p w14:paraId="2D4A38E8" w14:textId="77777777" w:rsidR="00CD3724" w:rsidRPr="00E2630C" w:rsidRDefault="00CD3724" w:rsidP="00DA40B4">
            <w:pPr>
              <w:pStyle w:val="NoSpacing"/>
            </w:pPr>
            <w:r w:rsidRPr="00E2630C">
              <w:t>Very</w:t>
            </w:r>
          </w:p>
        </w:tc>
        <w:tc>
          <w:tcPr>
            <w:tcW w:w="1728" w:type="dxa"/>
            <w:tcBorders>
              <w:bottom w:val="nil"/>
            </w:tcBorders>
          </w:tcPr>
          <w:p w14:paraId="1375E916" w14:textId="77777777" w:rsidR="00CD3724" w:rsidRPr="00E2630C" w:rsidRDefault="00CD3724" w:rsidP="00DA40B4">
            <w:pPr>
              <w:pStyle w:val="NoSpacing"/>
            </w:pPr>
            <w:r w:rsidRPr="00E2630C">
              <w:t>High</w:t>
            </w:r>
          </w:p>
        </w:tc>
        <w:tc>
          <w:tcPr>
            <w:tcW w:w="1728" w:type="dxa"/>
            <w:tcBorders>
              <w:bottom w:val="nil"/>
            </w:tcBorders>
          </w:tcPr>
          <w:p w14:paraId="2D7BAB70" w14:textId="77777777" w:rsidR="00CD3724" w:rsidRPr="00E2630C" w:rsidRDefault="00CD3724" w:rsidP="00DA40B4">
            <w:pPr>
              <w:pStyle w:val="NoSpacing"/>
            </w:pPr>
            <w:r w:rsidRPr="00E2630C">
              <w:t>Very</w:t>
            </w:r>
          </w:p>
        </w:tc>
        <w:tc>
          <w:tcPr>
            <w:tcW w:w="1728" w:type="dxa"/>
            <w:tcBorders>
              <w:bottom w:val="nil"/>
            </w:tcBorders>
          </w:tcPr>
          <w:p w14:paraId="7C6CB53C" w14:textId="77777777" w:rsidR="00CD3724" w:rsidRPr="00E2630C" w:rsidRDefault="00CD3724" w:rsidP="00DA40B4">
            <w:pPr>
              <w:pStyle w:val="NoSpacing"/>
            </w:pPr>
            <w:r w:rsidRPr="00E2630C">
              <w:t>low</w:t>
            </w:r>
          </w:p>
        </w:tc>
        <w:tc>
          <w:tcPr>
            <w:tcW w:w="1728" w:type="dxa"/>
            <w:tcBorders>
              <w:bottom w:val="nil"/>
            </w:tcBorders>
          </w:tcPr>
          <w:p w14:paraId="7171BEEC" w14:textId="77777777" w:rsidR="00CD3724" w:rsidRPr="00E2630C" w:rsidRDefault="00CD3724" w:rsidP="00DA40B4">
            <w:pPr>
              <w:pStyle w:val="NoSpacing"/>
            </w:pPr>
            <w:r w:rsidRPr="00E2630C">
              <w:t>Never</w:t>
            </w:r>
          </w:p>
        </w:tc>
        <w:tc>
          <w:tcPr>
            <w:tcW w:w="1122" w:type="dxa"/>
            <w:tcBorders>
              <w:bottom w:val="nil"/>
            </w:tcBorders>
          </w:tcPr>
          <w:p w14:paraId="33B654F4" w14:textId="77777777" w:rsidR="00CD3724" w:rsidRPr="00E2630C" w:rsidRDefault="00CD3724" w:rsidP="00DA40B4">
            <w:pPr>
              <w:pStyle w:val="NoSpacing"/>
            </w:pPr>
            <w:r w:rsidRPr="00E2630C">
              <w:t>Mean</w:t>
            </w:r>
          </w:p>
        </w:tc>
        <w:tc>
          <w:tcPr>
            <w:tcW w:w="1681" w:type="dxa"/>
            <w:tcBorders>
              <w:bottom w:val="nil"/>
            </w:tcBorders>
          </w:tcPr>
          <w:p w14:paraId="74E5D9CC" w14:textId="77777777" w:rsidR="00CD3724" w:rsidRPr="00E2630C" w:rsidRDefault="00CD3724" w:rsidP="00DA40B4">
            <w:pPr>
              <w:pStyle w:val="NoSpacing"/>
            </w:pPr>
            <w:r w:rsidRPr="00E2630C">
              <w:t>Standard Deviation</w:t>
            </w:r>
          </w:p>
        </w:tc>
      </w:tr>
      <w:tr w:rsidR="002D25B6" w:rsidRPr="00E2630C" w14:paraId="03B99223" w14:textId="77777777" w:rsidTr="003315F5">
        <w:trPr>
          <w:trHeight w:val="873"/>
        </w:trPr>
        <w:tc>
          <w:tcPr>
            <w:tcW w:w="2397" w:type="dxa"/>
            <w:tcBorders>
              <w:top w:val="nil"/>
              <w:bottom w:val="nil"/>
            </w:tcBorders>
          </w:tcPr>
          <w:p w14:paraId="504870C6" w14:textId="77777777" w:rsidR="00CD3724" w:rsidRPr="00E2630C" w:rsidRDefault="00CD3724" w:rsidP="00DA40B4">
            <w:pPr>
              <w:pStyle w:val="NoSpacing"/>
            </w:pPr>
            <w:r w:rsidRPr="00E2630C">
              <w:t>Repercussion of</w:t>
            </w:r>
          </w:p>
        </w:tc>
        <w:tc>
          <w:tcPr>
            <w:tcW w:w="1728" w:type="dxa"/>
            <w:tcBorders>
              <w:top w:val="nil"/>
              <w:bottom w:val="nil"/>
            </w:tcBorders>
          </w:tcPr>
          <w:p w14:paraId="061B43C9" w14:textId="77777777" w:rsidR="00CD3724" w:rsidRPr="00E2630C" w:rsidRDefault="00CD3724" w:rsidP="00DA40B4">
            <w:pPr>
              <w:pStyle w:val="NoSpacing"/>
            </w:pPr>
            <w:r w:rsidRPr="00E2630C">
              <w:t>High</w:t>
            </w:r>
          </w:p>
        </w:tc>
        <w:tc>
          <w:tcPr>
            <w:tcW w:w="1728" w:type="dxa"/>
            <w:tcBorders>
              <w:top w:val="nil"/>
              <w:bottom w:val="nil"/>
            </w:tcBorders>
          </w:tcPr>
          <w:p w14:paraId="5F04200E" w14:textId="77777777" w:rsidR="00CD3724" w:rsidRPr="00E2630C" w:rsidRDefault="00CD3724" w:rsidP="00DA40B4">
            <w:pPr>
              <w:pStyle w:val="NoSpacing"/>
            </w:pPr>
          </w:p>
        </w:tc>
        <w:tc>
          <w:tcPr>
            <w:tcW w:w="1728" w:type="dxa"/>
            <w:tcBorders>
              <w:top w:val="nil"/>
              <w:bottom w:val="nil"/>
            </w:tcBorders>
          </w:tcPr>
          <w:p w14:paraId="3C4E8F1B" w14:textId="77777777" w:rsidR="00CD3724" w:rsidRPr="00E2630C" w:rsidRDefault="00CD3724" w:rsidP="00DA40B4">
            <w:pPr>
              <w:pStyle w:val="NoSpacing"/>
            </w:pPr>
            <w:r w:rsidRPr="00E2630C">
              <w:t>Low</w:t>
            </w:r>
          </w:p>
        </w:tc>
        <w:tc>
          <w:tcPr>
            <w:tcW w:w="1728" w:type="dxa"/>
            <w:tcBorders>
              <w:top w:val="nil"/>
              <w:bottom w:val="nil"/>
            </w:tcBorders>
          </w:tcPr>
          <w:p w14:paraId="2CD4C65E" w14:textId="77777777" w:rsidR="00CD3724" w:rsidRPr="00E2630C" w:rsidRDefault="00CD3724" w:rsidP="00DA40B4">
            <w:pPr>
              <w:pStyle w:val="NoSpacing"/>
            </w:pPr>
          </w:p>
        </w:tc>
        <w:tc>
          <w:tcPr>
            <w:tcW w:w="1728" w:type="dxa"/>
            <w:tcBorders>
              <w:top w:val="nil"/>
              <w:bottom w:val="nil"/>
            </w:tcBorders>
          </w:tcPr>
          <w:p w14:paraId="79CAC987" w14:textId="77777777" w:rsidR="00CD3724" w:rsidRPr="00E2630C" w:rsidRDefault="00CD3724" w:rsidP="00DA40B4">
            <w:pPr>
              <w:pStyle w:val="NoSpacing"/>
            </w:pPr>
          </w:p>
        </w:tc>
        <w:tc>
          <w:tcPr>
            <w:tcW w:w="1122" w:type="dxa"/>
            <w:tcBorders>
              <w:top w:val="nil"/>
              <w:bottom w:val="nil"/>
            </w:tcBorders>
          </w:tcPr>
          <w:p w14:paraId="73A247E3" w14:textId="77777777" w:rsidR="00CD3724" w:rsidRPr="00E2630C" w:rsidRDefault="00CD3724" w:rsidP="00DA40B4">
            <w:pPr>
              <w:pStyle w:val="NoSpacing"/>
            </w:pPr>
          </w:p>
        </w:tc>
        <w:tc>
          <w:tcPr>
            <w:tcW w:w="1681" w:type="dxa"/>
            <w:tcBorders>
              <w:top w:val="nil"/>
              <w:bottom w:val="nil"/>
            </w:tcBorders>
          </w:tcPr>
          <w:p w14:paraId="33ACB571" w14:textId="77777777" w:rsidR="00CD3724" w:rsidRPr="00E2630C" w:rsidRDefault="00CD3724" w:rsidP="00DA40B4">
            <w:pPr>
              <w:pStyle w:val="NoSpacing"/>
            </w:pPr>
          </w:p>
        </w:tc>
      </w:tr>
      <w:tr w:rsidR="002D25B6" w:rsidRPr="00E2630C" w14:paraId="3B5824E4" w14:textId="77777777" w:rsidTr="003315F5">
        <w:trPr>
          <w:trHeight w:val="477"/>
        </w:trPr>
        <w:tc>
          <w:tcPr>
            <w:tcW w:w="2397" w:type="dxa"/>
            <w:tcBorders>
              <w:top w:val="nil"/>
              <w:bottom w:val="single" w:sz="4" w:space="0" w:color="auto"/>
            </w:tcBorders>
          </w:tcPr>
          <w:p w14:paraId="0127F347" w14:textId="77777777" w:rsidR="00CD3724" w:rsidRPr="00E2630C" w:rsidRDefault="00CD3724" w:rsidP="00DA40B4">
            <w:pPr>
              <w:pStyle w:val="NoSpacing"/>
            </w:pPr>
            <w:r w:rsidRPr="00E2630C">
              <w:t>The conflicts on</w:t>
            </w:r>
          </w:p>
        </w:tc>
        <w:tc>
          <w:tcPr>
            <w:tcW w:w="1728" w:type="dxa"/>
            <w:tcBorders>
              <w:top w:val="nil"/>
              <w:bottom w:val="single" w:sz="4" w:space="0" w:color="auto"/>
            </w:tcBorders>
          </w:tcPr>
          <w:p w14:paraId="74ACA4DC" w14:textId="77777777" w:rsidR="00CD3724" w:rsidRPr="00E2630C" w:rsidRDefault="00CD3724" w:rsidP="00DA40B4">
            <w:pPr>
              <w:pStyle w:val="NoSpacing"/>
            </w:pPr>
            <w:r w:rsidRPr="00E2630C">
              <w:t>%</w:t>
            </w:r>
          </w:p>
        </w:tc>
        <w:tc>
          <w:tcPr>
            <w:tcW w:w="1728" w:type="dxa"/>
            <w:tcBorders>
              <w:top w:val="nil"/>
              <w:bottom w:val="single" w:sz="4" w:space="0" w:color="auto"/>
            </w:tcBorders>
          </w:tcPr>
          <w:p w14:paraId="1E3D835C" w14:textId="77777777" w:rsidR="00CD3724" w:rsidRPr="00E2630C" w:rsidRDefault="00CD3724" w:rsidP="00DA40B4">
            <w:pPr>
              <w:pStyle w:val="NoSpacing"/>
            </w:pPr>
            <w:r w:rsidRPr="00E2630C">
              <w:t>%</w:t>
            </w:r>
          </w:p>
        </w:tc>
        <w:tc>
          <w:tcPr>
            <w:tcW w:w="1728" w:type="dxa"/>
            <w:tcBorders>
              <w:top w:val="nil"/>
              <w:bottom w:val="single" w:sz="4" w:space="0" w:color="auto"/>
            </w:tcBorders>
          </w:tcPr>
          <w:p w14:paraId="38E533F8" w14:textId="77777777" w:rsidR="00CD3724" w:rsidRPr="00E2630C" w:rsidRDefault="00CD3724" w:rsidP="00DA40B4">
            <w:pPr>
              <w:pStyle w:val="NoSpacing"/>
            </w:pPr>
            <w:r w:rsidRPr="00E2630C">
              <w:t>%</w:t>
            </w:r>
          </w:p>
        </w:tc>
        <w:tc>
          <w:tcPr>
            <w:tcW w:w="1728" w:type="dxa"/>
            <w:tcBorders>
              <w:top w:val="nil"/>
              <w:bottom w:val="single" w:sz="4" w:space="0" w:color="auto"/>
            </w:tcBorders>
          </w:tcPr>
          <w:p w14:paraId="4C0778E0" w14:textId="77777777" w:rsidR="00CD3724" w:rsidRPr="00E2630C" w:rsidRDefault="00CD3724" w:rsidP="00DA40B4">
            <w:pPr>
              <w:pStyle w:val="NoSpacing"/>
            </w:pPr>
            <w:r w:rsidRPr="00E2630C">
              <w:t>%</w:t>
            </w:r>
          </w:p>
        </w:tc>
        <w:tc>
          <w:tcPr>
            <w:tcW w:w="1728" w:type="dxa"/>
            <w:tcBorders>
              <w:top w:val="nil"/>
              <w:bottom w:val="single" w:sz="4" w:space="0" w:color="auto"/>
            </w:tcBorders>
          </w:tcPr>
          <w:p w14:paraId="55B503AA" w14:textId="77777777" w:rsidR="00CD3724" w:rsidRPr="00E2630C" w:rsidRDefault="00CD3724" w:rsidP="00DA40B4">
            <w:pPr>
              <w:pStyle w:val="NoSpacing"/>
            </w:pPr>
            <w:r w:rsidRPr="00E2630C">
              <w:t>%</w:t>
            </w:r>
          </w:p>
        </w:tc>
        <w:tc>
          <w:tcPr>
            <w:tcW w:w="1122" w:type="dxa"/>
            <w:tcBorders>
              <w:top w:val="nil"/>
              <w:bottom w:val="single" w:sz="4" w:space="0" w:color="auto"/>
            </w:tcBorders>
          </w:tcPr>
          <w:p w14:paraId="1C5A65E1" w14:textId="77777777" w:rsidR="00CD3724" w:rsidRPr="00E2630C" w:rsidRDefault="00CD3724" w:rsidP="00DA40B4">
            <w:pPr>
              <w:pStyle w:val="NoSpacing"/>
            </w:pPr>
          </w:p>
        </w:tc>
        <w:tc>
          <w:tcPr>
            <w:tcW w:w="1681" w:type="dxa"/>
            <w:tcBorders>
              <w:top w:val="nil"/>
              <w:bottom w:val="single" w:sz="4" w:space="0" w:color="auto"/>
            </w:tcBorders>
          </w:tcPr>
          <w:p w14:paraId="53032967" w14:textId="77777777" w:rsidR="00CD3724" w:rsidRPr="00E2630C" w:rsidRDefault="00CD3724" w:rsidP="00DA40B4">
            <w:pPr>
              <w:pStyle w:val="NoSpacing"/>
            </w:pPr>
          </w:p>
        </w:tc>
      </w:tr>
      <w:tr w:rsidR="002D25B6" w:rsidRPr="00E2630C" w14:paraId="30AE5DC1" w14:textId="77777777" w:rsidTr="003315F5">
        <w:trPr>
          <w:trHeight w:val="640"/>
        </w:trPr>
        <w:tc>
          <w:tcPr>
            <w:tcW w:w="2397" w:type="dxa"/>
            <w:tcBorders>
              <w:top w:val="single" w:sz="4" w:space="0" w:color="auto"/>
            </w:tcBorders>
          </w:tcPr>
          <w:p w14:paraId="3F8C1BD1" w14:textId="77777777" w:rsidR="00CD3724" w:rsidRPr="00E2630C" w:rsidRDefault="00CD3724" w:rsidP="00DA40B4">
            <w:pPr>
              <w:pStyle w:val="NoSpacing"/>
            </w:pPr>
            <w:bookmarkStart w:id="116" w:name="_Hlk157714775"/>
            <w:r w:rsidRPr="00E2630C">
              <w:t>Epidemics</w:t>
            </w:r>
          </w:p>
        </w:tc>
        <w:tc>
          <w:tcPr>
            <w:tcW w:w="1728" w:type="dxa"/>
            <w:tcBorders>
              <w:top w:val="single" w:sz="4" w:space="0" w:color="auto"/>
            </w:tcBorders>
          </w:tcPr>
          <w:p w14:paraId="7D13E45C" w14:textId="77777777" w:rsidR="00CD3724" w:rsidRPr="00E2630C" w:rsidRDefault="00CD3724" w:rsidP="00DA40B4">
            <w:pPr>
              <w:pStyle w:val="NoSpacing"/>
            </w:pPr>
            <w:r w:rsidRPr="00E2630C">
              <w:t xml:space="preserve">64(19.2%)  </w:t>
            </w:r>
          </w:p>
        </w:tc>
        <w:tc>
          <w:tcPr>
            <w:tcW w:w="1728" w:type="dxa"/>
            <w:tcBorders>
              <w:top w:val="single" w:sz="4" w:space="0" w:color="auto"/>
            </w:tcBorders>
          </w:tcPr>
          <w:p w14:paraId="7F2C898A" w14:textId="77777777" w:rsidR="00CD3724" w:rsidRPr="00E2630C" w:rsidRDefault="00CD3724" w:rsidP="00DA40B4">
            <w:pPr>
              <w:pStyle w:val="NoSpacing"/>
            </w:pPr>
            <w:r w:rsidRPr="00E2630C">
              <w:t>65(19.5%)</w:t>
            </w:r>
          </w:p>
        </w:tc>
        <w:tc>
          <w:tcPr>
            <w:tcW w:w="1728" w:type="dxa"/>
            <w:tcBorders>
              <w:top w:val="single" w:sz="4" w:space="0" w:color="auto"/>
            </w:tcBorders>
          </w:tcPr>
          <w:p w14:paraId="6AA57787" w14:textId="77777777" w:rsidR="00CD3724" w:rsidRPr="00E2630C" w:rsidRDefault="00CD3724" w:rsidP="00DA40B4">
            <w:pPr>
              <w:pStyle w:val="NoSpacing"/>
            </w:pPr>
            <w:r w:rsidRPr="00E2630C">
              <w:t>86(25.8%)</w:t>
            </w:r>
          </w:p>
        </w:tc>
        <w:tc>
          <w:tcPr>
            <w:tcW w:w="1728" w:type="dxa"/>
            <w:tcBorders>
              <w:top w:val="single" w:sz="4" w:space="0" w:color="auto"/>
            </w:tcBorders>
          </w:tcPr>
          <w:p w14:paraId="68E774BF" w14:textId="77777777" w:rsidR="00CD3724" w:rsidRPr="00E2630C" w:rsidRDefault="00CD3724" w:rsidP="00DA40B4">
            <w:pPr>
              <w:pStyle w:val="NoSpacing"/>
            </w:pPr>
            <w:r w:rsidRPr="00E2630C">
              <w:t>76(22.8%)</w:t>
            </w:r>
          </w:p>
        </w:tc>
        <w:tc>
          <w:tcPr>
            <w:tcW w:w="1728" w:type="dxa"/>
            <w:tcBorders>
              <w:top w:val="single" w:sz="4" w:space="0" w:color="auto"/>
            </w:tcBorders>
          </w:tcPr>
          <w:p w14:paraId="1276A326" w14:textId="77777777" w:rsidR="00CD3724" w:rsidRPr="00E2630C" w:rsidRDefault="00CD3724" w:rsidP="00DA40B4">
            <w:pPr>
              <w:pStyle w:val="NoSpacing"/>
            </w:pPr>
            <w:r w:rsidRPr="00E2630C">
              <w:t>42(12.6%)</w:t>
            </w:r>
          </w:p>
        </w:tc>
        <w:tc>
          <w:tcPr>
            <w:tcW w:w="1122" w:type="dxa"/>
            <w:tcBorders>
              <w:top w:val="single" w:sz="4" w:space="0" w:color="auto"/>
            </w:tcBorders>
          </w:tcPr>
          <w:p w14:paraId="6C5DA186" w14:textId="77777777" w:rsidR="00CD3724" w:rsidRPr="00E2630C" w:rsidRDefault="00CD3724" w:rsidP="00DA40B4">
            <w:pPr>
              <w:pStyle w:val="NoSpacing"/>
            </w:pPr>
            <w:r w:rsidRPr="00E2630C">
              <w:t>3.10</w:t>
            </w:r>
          </w:p>
        </w:tc>
        <w:tc>
          <w:tcPr>
            <w:tcW w:w="1681" w:type="dxa"/>
            <w:tcBorders>
              <w:top w:val="single" w:sz="4" w:space="0" w:color="auto"/>
            </w:tcBorders>
          </w:tcPr>
          <w:p w14:paraId="5F0A7EC6" w14:textId="77777777" w:rsidR="00CD3724" w:rsidRPr="00E2630C" w:rsidRDefault="00CD3724" w:rsidP="00DA40B4">
            <w:pPr>
              <w:pStyle w:val="NoSpacing"/>
            </w:pPr>
            <w:r w:rsidRPr="00E2630C">
              <w:t>1.30</w:t>
            </w:r>
          </w:p>
        </w:tc>
      </w:tr>
      <w:tr w:rsidR="002D25B6" w:rsidRPr="00E2630C" w14:paraId="007CFE0B" w14:textId="77777777" w:rsidTr="003315F5">
        <w:trPr>
          <w:trHeight w:val="640"/>
        </w:trPr>
        <w:tc>
          <w:tcPr>
            <w:tcW w:w="2397" w:type="dxa"/>
          </w:tcPr>
          <w:p w14:paraId="2C4F7734" w14:textId="77777777" w:rsidR="00CD3724" w:rsidRPr="00E2630C" w:rsidRDefault="00CD3724" w:rsidP="00DA40B4">
            <w:pPr>
              <w:pStyle w:val="NoSpacing"/>
            </w:pPr>
            <w:r w:rsidRPr="00E2630C">
              <w:t>Malnutrition</w:t>
            </w:r>
          </w:p>
        </w:tc>
        <w:tc>
          <w:tcPr>
            <w:tcW w:w="1728" w:type="dxa"/>
          </w:tcPr>
          <w:p w14:paraId="7F9CC14E" w14:textId="77777777" w:rsidR="00CD3724" w:rsidRPr="00E2630C" w:rsidRDefault="00CD3724" w:rsidP="00DA40B4">
            <w:pPr>
              <w:pStyle w:val="NoSpacing"/>
            </w:pPr>
            <w:r w:rsidRPr="00E2630C">
              <w:t xml:space="preserve">74(22.2%) </w:t>
            </w:r>
          </w:p>
        </w:tc>
        <w:tc>
          <w:tcPr>
            <w:tcW w:w="1728" w:type="dxa"/>
          </w:tcPr>
          <w:p w14:paraId="3BB0CF1D" w14:textId="77777777" w:rsidR="00CD3724" w:rsidRPr="00E2630C" w:rsidRDefault="00CD3724" w:rsidP="00DA40B4">
            <w:pPr>
              <w:pStyle w:val="NoSpacing"/>
            </w:pPr>
            <w:r w:rsidRPr="00E2630C">
              <w:t>73(21.9%)</w:t>
            </w:r>
          </w:p>
        </w:tc>
        <w:tc>
          <w:tcPr>
            <w:tcW w:w="1728" w:type="dxa"/>
          </w:tcPr>
          <w:p w14:paraId="09065618" w14:textId="77777777" w:rsidR="00CD3724" w:rsidRPr="00E2630C" w:rsidRDefault="00CD3724" w:rsidP="00DA40B4">
            <w:pPr>
              <w:pStyle w:val="NoSpacing"/>
            </w:pPr>
            <w:r w:rsidRPr="00E2630C">
              <w:t>74(22.2%)</w:t>
            </w:r>
          </w:p>
        </w:tc>
        <w:tc>
          <w:tcPr>
            <w:tcW w:w="1728" w:type="dxa"/>
          </w:tcPr>
          <w:p w14:paraId="53217FEE" w14:textId="77777777" w:rsidR="00CD3724" w:rsidRPr="00E2630C" w:rsidRDefault="00CD3724" w:rsidP="00DA40B4">
            <w:pPr>
              <w:pStyle w:val="NoSpacing"/>
            </w:pPr>
            <w:r w:rsidRPr="00E2630C">
              <w:t>58(17.4%)</w:t>
            </w:r>
          </w:p>
        </w:tc>
        <w:tc>
          <w:tcPr>
            <w:tcW w:w="1728" w:type="dxa"/>
          </w:tcPr>
          <w:p w14:paraId="4735A38E" w14:textId="77777777" w:rsidR="00CD3724" w:rsidRPr="00E2630C" w:rsidRDefault="00CD3724" w:rsidP="00DA40B4">
            <w:pPr>
              <w:pStyle w:val="NoSpacing"/>
            </w:pPr>
            <w:r w:rsidRPr="00E2630C">
              <w:t>54(16.2%)</w:t>
            </w:r>
          </w:p>
        </w:tc>
        <w:tc>
          <w:tcPr>
            <w:tcW w:w="1122" w:type="dxa"/>
          </w:tcPr>
          <w:p w14:paraId="6FD04D1C" w14:textId="77777777" w:rsidR="00CD3724" w:rsidRPr="00E2630C" w:rsidRDefault="00CD3724" w:rsidP="00DA40B4">
            <w:pPr>
              <w:pStyle w:val="NoSpacing"/>
            </w:pPr>
            <w:r w:rsidRPr="00E2630C">
              <w:t>3.17</w:t>
            </w:r>
          </w:p>
        </w:tc>
        <w:tc>
          <w:tcPr>
            <w:tcW w:w="1681" w:type="dxa"/>
          </w:tcPr>
          <w:p w14:paraId="252B12CD" w14:textId="77777777" w:rsidR="00CD3724" w:rsidRPr="00E2630C" w:rsidRDefault="00CD3724" w:rsidP="00DA40B4">
            <w:pPr>
              <w:pStyle w:val="NoSpacing"/>
            </w:pPr>
            <w:r w:rsidRPr="00E2630C">
              <w:t>1.38</w:t>
            </w:r>
          </w:p>
        </w:tc>
      </w:tr>
      <w:tr w:rsidR="002D25B6" w:rsidRPr="00E2630C" w14:paraId="6FFCCF4D" w14:textId="77777777" w:rsidTr="003315F5">
        <w:trPr>
          <w:trHeight w:val="659"/>
        </w:trPr>
        <w:tc>
          <w:tcPr>
            <w:tcW w:w="2397" w:type="dxa"/>
          </w:tcPr>
          <w:p w14:paraId="562AAEFB" w14:textId="77777777" w:rsidR="00CD3724" w:rsidRPr="00E2630C" w:rsidRDefault="00CD3724" w:rsidP="00DA40B4">
            <w:pPr>
              <w:pStyle w:val="NoSpacing"/>
            </w:pPr>
            <w:r w:rsidRPr="00E2630C">
              <w:t>Poor sanitation</w:t>
            </w:r>
          </w:p>
        </w:tc>
        <w:tc>
          <w:tcPr>
            <w:tcW w:w="1728" w:type="dxa"/>
          </w:tcPr>
          <w:p w14:paraId="3E87BBDC" w14:textId="77777777" w:rsidR="00CD3724" w:rsidRPr="00E2630C" w:rsidRDefault="00CD3724" w:rsidP="00DA40B4">
            <w:pPr>
              <w:pStyle w:val="NoSpacing"/>
            </w:pPr>
            <w:r w:rsidRPr="00E2630C">
              <w:t xml:space="preserve">56(16.8%) </w:t>
            </w:r>
          </w:p>
        </w:tc>
        <w:tc>
          <w:tcPr>
            <w:tcW w:w="1728" w:type="dxa"/>
          </w:tcPr>
          <w:p w14:paraId="783EC2B5" w14:textId="77777777" w:rsidR="00CD3724" w:rsidRPr="00E2630C" w:rsidRDefault="00CD3724" w:rsidP="00DA40B4">
            <w:pPr>
              <w:pStyle w:val="NoSpacing"/>
            </w:pPr>
            <w:r w:rsidRPr="00E2630C">
              <w:t>76(22.8%)</w:t>
            </w:r>
          </w:p>
        </w:tc>
        <w:tc>
          <w:tcPr>
            <w:tcW w:w="1728" w:type="dxa"/>
          </w:tcPr>
          <w:p w14:paraId="1AC08727" w14:textId="77777777" w:rsidR="00CD3724" w:rsidRPr="00E2630C" w:rsidRDefault="00CD3724" w:rsidP="00DA40B4">
            <w:pPr>
              <w:pStyle w:val="NoSpacing"/>
            </w:pPr>
            <w:r w:rsidRPr="00E2630C">
              <w:t>89(26.7%)</w:t>
            </w:r>
          </w:p>
        </w:tc>
        <w:tc>
          <w:tcPr>
            <w:tcW w:w="1728" w:type="dxa"/>
          </w:tcPr>
          <w:p w14:paraId="670D9E22" w14:textId="77777777" w:rsidR="00CD3724" w:rsidRPr="00E2630C" w:rsidRDefault="00CD3724" w:rsidP="00DA40B4">
            <w:pPr>
              <w:pStyle w:val="NoSpacing"/>
            </w:pPr>
            <w:r w:rsidRPr="00E2630C">
              <w:t>80(24.0%)</w:t>
            </w:r>
          </w:p>
        </w:tc>
        <w:tc>
          <w:tcPr>
            <w:tcW w:w="1728" w:type="dxa"/>
          </w:tcPr>
          <w:p w14:paraId="10787CAF" w14:textId="77777777" w:rsidR="00CD3724" w:rsidRPr="00E2630C" w:rsidRDefault="00CD3724" w:rsidP="00DA40B4">
            <w:pPr>
              <w:pStyle w:val="NoSpacing"/>
            </w:pPr>
            <w:r w:rsidRPr="00E2630C">
              <w:t>32(9.6%)</w:t>
            </w:r>
          </w:p>
        </w:tc>
        <w:tc>
          <w:tcPr>
            <w:tcW w:w="1122" w:type="dxa"/>
          </w:tcPr>
          <w:p w14:paraId="7954027D" w14:textId="77777777" w:rsidR="00CD3724" w:rsidRPr="00E2630C" w:rsidRDefault="00CD3724" w:rsidP="00DA40B4">
            <w:pPr>
              <w:pStyle w:val="NoSpacing"/>
            </w:pPr>
            <w:r w:rsidRPr="00E2630C">
              <w:t>3.13</w:t>
            </w:r>
          </w:p>
        </w:tc>
        <w:tc>
          <w:tcPr>
            <w:tcW w:w="1681" w:type="dxa"/>
          </w:tcPr>
          <w:p w14:paraId="26F0691A" w14:textId="77777777" w:rsidR="00CD3724" w:rsidRPr="00E2630C" w:rsidRDefault="00CD3724" w:rsidP="00DA40B4">
            <w:pPr>
              <w:pStyle w:val="NoSpacing"/>
            </w:pPr>
            <w:r w:rsidRPr="00E2630C">
              <w:t>1.23</w:t>
            </w:r>
          </w:p>
        </w:tc>
      </w:tr>
      <w:tr w:rsidR="002D25B6" w:rsidRPr="00E2630C" w14:paraId="28BFD90E" w14:textId="77777777" w:rsidTr="003315F5">
        <w:trPr>
          <w:trHeight w:val="846"/>
        </w:trPr>
        <w:tc>
          <w:tcPr>
            <w:tcW w:w="2397" w:type="dxa"/>
            <w:tcBorders>
              <w:bottom w:val="single" w:sz="4" w:space="0" w:color="auto"/>
            </w:tcBorders>
          </w:tcPr>
          <w:p w14:paraId="50A9BA67" w14:textId="77777777" w:rsidR="00CD3724" w:rsidRPr="00E2630C" w:rsidRDefault="00CD3724" w:rsidP="00DA40B4">
            <w:pPr>
              <w:pStyle w:val="NoSpacing"/>
            </w:pPr>
            <w:r w:rsidRPr="00E2630C">
              <w:t>Lack of access to basic health care</w:t>
            </w:r>
          </w:p>
        </w:tc>
        <w:tc>
          <w:tcPr>
            <w:tcW w:w="1728" w:type="dxa"/>
            <w:tcBorders>
              <w:bottom w:val="single" w:sz="4" w:space="0" w:color="auto"/>
            </w:tcBorders>
          </w:tcPr>
          <w:p w14:paraId="1A60DDF5" w14:textId="77777777" w:rsidR="00CD3724" w:rsidRPr="00E2630C" w:rsidRDefault="00CD3724" w:rsidP="00DA40B4">
            <w:pPr>
              <w:pStyle w:val="NoSpacing"/>
            </w:pPr>
            <w:r w:rsidRPr="00E2630C">
              <w:t xml:space="preserve">64(19.2%) </w:t>
            </w:r>
          </w:p>
        </w:tc>
        <w:tc>
          <w:tcPr>
            <w:tcW w:w="1728" w:type="dxa"/>
            <w:tcBorders>
              <w:bottom w:val="single" w:sz="4" w:space="0" w:color="auto"/>
            </w:tcBorders>
          </w:tcPr>
          <w:p w14:paraId="112FBFFF" w14:textId="77777777" w:rsidR="00CD3724" w:rsidRPr="00E2630C" w:rsidRDefault="00CD3724" w:rsidP="00DA40B4">
            <w:pPr>
              <w:pStyle w:val="NoSpacing"/>
            </w:pPr>
            <w:r w:rsidRPr="00E2630C">
              <w:t>73(21.9%)</w:t>
            </w:r>
          </w:p>
        </w:tc>
        <w:tc>
          <w:tcPr>
            <w:tcW w:w="1728" w:type="dxa"/>
            <w:tcBorders>
              <w:bottom w:val="single" w:sz="4" w:space="0" w:color="auto"/>
            </w:tcBorders>
          </w:tcPr>
          <w:p w14:paraId="6FE551C1" w14:textId="77777777" w:rsidR="00CD3724" w:rsidRPr="00E2630C" w:rsidRDefault="00CD3724" w:rsidP="00DA40B4">
            <w:pPr>
              <w:pStyle w:val="NoSpacing"/>
            </w:pPr>
            <w:r w:rsidRPr="00E2630C">
              <w:t>76(22.8%)</w:t>
            </w:r>
          </w:p>
        </w:tc>
        <w:tc>
          <w:tcPr>
            <w:tcW w:w="1728" w:type="dxa"/>
            <w:tcBorders>
              <w:bottom w:val="single" w:sz="4" w:space="0" w:color="auto"/>
            </w:tcBorders>
          </w:tcPr>
          <w:p w14:paraId="4B7E5B30" w14:textId="77777777" w:rsidR="00CD3724" w:rsidRPr="00E2630C" w:rsidRDefault="00CD3724" w:rsidP="00DA40B4">
            <w:pPr>
              <w:pStyle w:val="NoSpacing"/>
            </w:pPr>
            <w:r w:rsidRPr="00E2630C">
              <w:t>66(19.8%)</w:t>
            </w:r>
          </w:p>
        </w:tc>
        <w:tc>
          <w:tcPr>
            <w:tcW w:w="1728" w:type="dxa"/>
            <w:tcBorders>
              <w:bottom w:val="single" w:sz="4" w:space="0" w:color="auto"/>
            </w:tcBorders>
          </w:tcPr>
          <w:p w14:paraId="497D26DD" w14:textId="77777777" w:rsidR="00CD3724" w:rsidRPr="00E2630C" w:rsidRDefault="00CD3724" w:rsidP="00DA40B4">
            <w:pPr>
              <w:pStyle w:val="NoSpacing"/>
            </w:pPr>
            <w:r w:rsidRPr="00E2630C">
              <w:t>54(16.2%)</w:t>
            </w:r>
          </w:p>
        </w:tc>
        <w:tc>
          <w:tcPr>
            <w:tcW w:w="1122" w:type="dxa"/>
            <w:tcBorders>
              <w:bottom w:val="single" w:sz="4" w:space="0" w:color="auto"/>
            </w:tcBorders>
          </w:tcPr>
          <w:p w14:paraId="6148D1BD" w14:textId="77777777" w:rsidR="00CD3724" w:rsidRPr="00E2630C" w:rsidRDefault="00CD3724" w:rsidP="00DA40B4">
            <w:pPr>
              <w:pStyle w:val="NoSpacing"/>
            </w:pPr>
            <w:r w:rsidRPr="00E2630C">
              <w:t>3.08</w:t>
            </w:r>
          </w:p>
        </w:tc>
        <w:tc>
          <w:tcPr>
            <w:tcW w:w="1681" w:type="dxa"/>
            <w:tcBorders>
              <w:bottom w:val="single" w:sz="4" w:space="0" w:color="auto"/>
            </w:tcBorders>
          </w:tcPr>
          <w:p w14:paraId="41A31740" w14:textId="77777777" w:rsidR="00CD3724" w:rsidRPr="00E2630C" w:rsidRDefault="00CD3724" w:rsidP="00DA40B4">
            <w:pPr>
              <w:pStyle w:val="NoSpacing"/>
            </w:pPr>
            <w:r w:rsidRPr="00E2630C">
              <w:t>1.34</w:t>
            </w:r>
          </w:p>
        </w:tc>
      </w:tr>
      <w:bookmarkEnd w:id="116"/>
      <w:tr w:rsidR="002D25B6" w:rsidRPr="00E2630C" w14:paraId="0245A5F0" w14:textId="77777777" w:rsidTr="003315F5">
        <w:trPr>
          <w:trHeight w:val="640"/>
        </w:trPr>
        <w:tc>
          <w:tcPr>
            <w:tcW w:w="2397" w:type="dxa"/>
            <w:tcBorders>
              <w:top w:val="single" w:sz="4" w:space="0" w:color="auto"/>
              <w:bottom w:val="single" w:sz="4" w:space="0" w:color="auto"/>
            </w:tcBorders>
          </w:tcPr>
          <w:p w14:paraId="62F6A9A7" w14:textId="77777777" w:rsidR="00CD3724" w:rsidRPr="00E2630C" w:rsidRDefault="00CD3724" w:rsidP="00DA40B4">
            <w:pPr>
              <w:pStyle w:val="NoSpacing"/>
            </w:pPr>
            <w:r w:rsidRPr="00E2630C">
              <w:t xml:space="preserve">Weighted </w:t>
            </w:r>
          </w:p>
        </w:tc>
        <w:tc>
          <w:tcPr>
            <w:tcW w:w="1728" w:type="dxa"/>
            <w:tcBorders>
              <w:top w:val="single" w:sz="4" w:space="0" w:color="auto"/>
              <w:bottom w:val="single" w:sz="4" w:space="0" w:color="auto"/>
            </w:tcBorders>
          </w:tcPr>
          <w:p w14:paraId="2BD75505" w14:textId="77777777" w:rsidR="00CD3724" w:rsidRPr="00E2630C" w:rsidRDefault="00CD3724" w:rsidP="00DA40B4">
            <w:pPr>
              <w:pStyle w:val="NoSpacing"/>
            </w:pPr>
            <w:r w:rsidRPr="00E2630C">
              <w:t>Average</w:t>
            </w:r>
          </w:p>
        </w:tc>
        <w:tc>
          <w:tcPr>
            <w:tcW w:w="1728" w:type="dxa"/>
            <w:tcBorders>
              <w:top w:val="single" w:sz="4" w:space="0" w:color="auto"/>
              <w:bottom w:val="single" w:sz="4" w:space="0" w:color="auto"/>
            </w:tcBorders>
          </w:tcPr>
          <w:p w14:paraId="7EE56320" w14:textId="77777777" w:rsidR="00CD3724" w:rsidRPr="00E2630C" w:rsidRDefault="00CD3724" w:rsidP="00DA40B4">
            <w:pPr>
              <w:pStyle w:val="NoSpacing"/>
            </w:pPr>
          </w:p>
        </w:tc>
        <w:tc>
          <w:tcPr>
            <w:tcW w:w="1728" w:type="dxa"/>
            <w:tcBorders>
              <w:top w:val="single" w:sz="4" w:space="0" w:color="auto"/>
              <w:bottom w:val="single" w:sz="4" w:space="0" w:color="auto"/>
            </w:tcBorders>
          </w:tcPr>
          <w:p w14:paraId="4118B950" w14:textId="77777777" w:rsidR="00CD3724" w:rsidRPr="00E2630C" w:rsidRDefault="00CD3724" w:rsidP="00DA40B4">
            <w:pPr>
              <w:pStyle w:val="NoSpacing"/>
            </w:pPr>
          </w:p>
        </w:tc>
        <w:tc>
          <w:tcPr>
            <w:tcW w:w="1728" w:type="dxa"/>
            <w:tcBorders>
              <w:top w:val="single" w:sz="4" w:space="0" w:color="auto"/>
              <w:bottom w:val="single" w:sz="4" w:space="0" w:color="auto"/>
            </w:tcBorders>
          </w:tcPr>
          <w:p w14:paraId="6C8A011C" w14:textId="77777777" w:rsidR="00CD3724" w:rsidRPr="00E2630C" w:rsidRDefault="00CD3724" w:rsidP="00DA40B4">
            <w:pPr>
              <w:pStyle w:val="NoSpacing"/>
            </w:pPr>
          </w:p>
        </w:tc>
        <w:tc>
          <w:tcPr>
            <w:tcW w:w="1728" w:type="dxa"/>
            <w:tcBorders>
              <w:top w:val="single" w:sz="4" w:space="0" w:color="auto"/>
              <w:bottom w:val="single" w:sz="4" w:space="0" w:color="auto"/>
            </w:tcBorders>
          </w:tcPr>
          <w:p w14:paraId="05598137" w14:textId="77777777" w:rsidR="00CD3724" w:rsidRPr="00E2630C" w:rsidRDefault="00CD3724" w:rsidP="00DA40B4">
            <w:pPr>
              <w:pStyle w:val="NoSpacing"/>
            </w:pPr>
          </w:p>
        </w:tc>
        <w:tc>
          <w:tcPr>
            <w:tcW w:w="1122" w:type="dxa"/>
            <w:tcBorders>
              <w:top w:val="single" w:sz="4" w:space="0" w:color="auto"/>
              <w:bottom w:val="single" w:sz="4" w:space="0" w:color="auto"/>
            </w:tcBorders>
          </w:tcPr>
          <w:p w14:paraId="55BEE023" w14:textId="77777777" w:rsidR="00CD3724" w:rsidRPr="00E2630C" w:rsidRDefault="00CD3724" w:rsidP="00DA40B4">
            <w:pPr>
              <w:pStyle w:val="NoSpacing"/>
            </w:pPr>
            <w:r w:rsidRPr="00E2630C">
              <w:t>3.12</w:t>
            </w:r>
          </w:p>
        </w:tc>
        <w:tc>
          <w:tcPr>
            <w:tcW w:w="1681" w:type="dxa"/>
            <w:tcBorders>
              <w:top w:val="single" w:sz="4" w:space="0" w:color="auto"/>
              <w:bottom w:val="single" w:sz="4" w:space="0" w:color="auto"/>
            </w:tcBorders>
          </w:tcPr>
          <w:p w14:paraId="16A991A8" w14:textId="77777777" w:rsidR="00CD3724" w:rsidRPr="00E2630C" w:rsidRDefault="00CD3724" w:rsidP="00DA40B4">
            <w:pPr>
              <w:pStyle w:val="NoSpacing"/>
            </w:pPr>
            <w:r w:rsidRPr="00E2630C">
              <w:t>1.31</w:t>
            </w:r>
          </w:p>
        </w:tc>
      </w:tr>
    </w:tbl>
    <w:p w14:paraId="44FB9BBD" w14:textId="77777777" w:rsidR="00CD3724" w:rsidRPr="00E2630C" w:rsidRDefault="00CD3724" w:rsidP="00CD3724">
      <w:pPr>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 xml:space="preserve">Source: Fieldwork, 2023 Scale = 1 Never, 2 Low, 3 Very Low, 4 High, 5 Very high </w:t>
      </w:r>
    </w:p>
    <w:p w14:paraId="03927A4F" w14:textId="77777777" w:rsidR="00CD3724" w:rsidRPr="00E2630C" w:rsidRDefault="00CD3724" w:rsidP="00CD3724">
      <w:pPr>
        <w:spacing w:line="480" w:lineRule="auto"/>
        <w:jc w:val="both"/>
        <w:rPr>
          <w:rFonts w:ascii="Times New Roman" w:hAnsi="Times New Roman" w:cs="Times New Roman"/>
          <w:color w:val="000000" w:themeColor="text1"/>
          <w:sz w:val="24"/>
          <w:szCs w:val="24"/>
        </w:rPr>
        <w:sectPr w:rsidR="00CD3724" w:rsidRPr="00E2630C" w:rsidSect="00DA40B4">
          <w:type w:val="continuous"/>
          <w:pgSz w:w="16838" w:h="11906" w:orient="landscape" w:code="9"/>
          <w:pgMar w:top="1440" w:right="1440" w:bottom="2160" w:left="1440" w:header="706" w:footer="706" w:gutter="0"/>
          <w:cols w:space="708"/>
          <w:docGrid w:linePitch="360"/>
        </w:sectPr>
      </w:pPr>
    </w:p>
    <w:p w14:paraId="0916D3F5" w14:textId="77777777" w:rsidR="00990904" w:rsidRDefault="00990904" w:rsidP="00990904">
      <w:pPr>
        <w:pStyle w:val="NoSpacing"/>
      </w:pPr>
    </w:p>
    <w:p w14:paraId="6C41E252" w14:textId="77777777" w:rsidR="00DA40B4" w:rsidRDefault="00DA40B4" w:rsidP="00CD3724">
      <w:pPr>
        <w:spacing w:line="480" w:lineRule="auto"/>
        <w:jc w:val="both"/>
        <w:rPr>
          <w:rFonts w:ascii="Times New Roman" w:hAnsi="Times New Roman" w:cs="Times New Roman"/>
          <w:color w:val="000000" w:themeColor="text1"/>
          <w:sz w:val="24"/>
          <w:szCs w:val="24"/>
        </w:rPr>
        <w:sectPr w:rsidR="00DA40B4" w:rsidSect="00DA40B4">
          <w:type w:val="continuous"/>
          <w:pgSz w:w="16838" w:h="11906" w:orient="landscape" w:code="9"/>
          <w:pgMar w:top="1440" w:right="1440" w:bottom="2160" w:left="1440" w:header="706" w:footer="706" w:gutter="0"/>
          <w:cols w:space="708"/>
          <w:docGrid w:linePitch="360"/>
        </w:sectPr>
      </w:pPr>
    </w:p>
    <w:p w14:paraId="256AC83F" w14:textId="7AB0D0A9"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The scale is designed with a range from 0.00 to 3.00, indicating disagreement among respondents on the topics of chieftaincy conflicts and health security. On the other hand, a range of 3.01 to 5.00 signifies agreement on these issues. As outlined in Table 4.5, the mean of means (M = 3.12; SD = 1.31) reveals a predominant consensus among respondents regarding the notion that chieftaincy conflicts could potentially contribute to challenges such as epidemics, malnutrition, poor sanitation, and limited access to basic health care. The moderate standard deviation of 1.31 highlights a significant dispersion of responses, underscoring the diversity of viewpoints among respondents cent</w:t>
      </w:r>
      <w:r w:rsidR="00484C63" w:rsidRPr="00E2630C">
        <w:rPr>
          <w:rFonts w:ascii="Times New Roman" w:hAnsi="Times New Roman" w:cs="Times New Roman"/>
          <w:color w:val="000000" w:themeColor="text1"/>
          <w:sz w:val="24"/>
          <w:szCs w:val="24"/>
        </w:rPr>
        <w:t>re</w:t>
      </w:r>
      <w:r w:rsidRPr="00E2630C">
        <w:rPr>
          <w:rFonts w:ascii="Times New Roman" w:hAnsi="Times New Roman" w:cs="Times New Roman"/>
          <w:color w:val="000000" w:themeColor="text1"/>
          <w:sz w:val="24"/>
          <w:szCs w:val="24"/>
        </w:rPr>
        <w:t>d around the mean of 1.31.</w:t>
      </w:r>
    </w:p>
    <w:p w14:paraId="0C90DE6C"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observation within this context aligns with research undertaken by Pinstrup-Andersen (2008) and Fürst et al. (2009) indicating that a underlie chieftaincy conflicts could result in multiple outcomes encompassing epidemics, malnutrition, inadequate sanitation, and a deficiency in access to fundamental healthcare. The repercussions of these issues extend to the cultivation of mistrust, poverty, and politicization, consequently intensifying disputes (Gyader and Libanus, 2020). The intricate nature of these conflicts is further heightened by a blend of structural and procedural elements, inclusive of elite politics and manipulation (Bukari et al., 2021).</w:t>
      </w:r>
    </w:p>
    <w:p w14:paraId="2CB19E4A"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Delving deeper into the research, the investigation explored the conceivable impact of chieftaincy conflicts on health security. The hypothesis suggested that chieftaincy conflicts could potentially contribute positively to factors such as epidemics, malnutrition, inadequate sanitation, and limited access to essential healthcare. To evaluate this hypothesis, a multiple regression analysis was utilized.</w:t>
      </w:r>
    </w:p>
    <w:p w14:paraId="35125A8B" w14:textId="4BCE1680" w:rsidR="00CD3724" w:rsidRDefault="00CD3724" w:rsidP="00CD3724">
      <w:pPr>
        <w:spacing w:line="480" w:lineRule="auto"/>
        <w:jc w:val="both"/>
        <w:rPr>
          <w:rFonts w:ascii="Times New Roman" w:hAnsi="Times New Roman" w:cs="Times New Roman"/>
          <w:color w:val="000000" w:themeColor="text1"/>
          <w:sz w:val="24"/>
          <w:szCs w:val="24"/>
        </w:rPr>
      </w:pPr>
    </w:p>
    <w:p w14:paraId="3C4204B1" w14:textId="4BBACC1F" w:rsidR="00990904" w:rsidRDefault="00990904" w:rsidP="00CD3724">
      <w:pPr>
        <w:spacing w:line="480" w:lineRule="auto"/>
        <w:jc w:val="both"/>
        <w:rPr>
          <w:rFonts w:ascii="Times New Roman" w:hAnsi="Times New Roman" w:cs="Times New Roman"/>
          <w:color w:val="000000" w:themeColor="text1"/>
          <w:sz w:val="24"/>
          <w:szCs w:val="24"/>
        </w:rPr>
      </w:pPr>
    </w:p>
    <w:p w14:paraId="1C286249" w14:textId="77777777" w:rsidR="00CD3724" w:rsidRPr="00E2630C" w:rsidRDefault="00CD3724" w:rsidP="00990904">
      <w:pPr>
        <w:pStyle w:val="Heading6"/>
      </w:pPr>
      <w:bookmarkStart w:id="117" w:name="_Toc182386324"/>
      <w:r w:rsidRPr="00E2630C">
        <w:rPr>
          <w:rFonts w:eastAsia="Calibri"/>
          <w:iCs/>
        </w:rPr>
        <w:lastRenderedPageBreak/>
        <w:t xml:space="preserve">Table 4.6: </w:t>
      </w:r>
      <w:r w:rsidRPr="00990904">
        <w:t>Results</w:t>
      </w:r>
      <w:r w:rsidRPr="00E2630C">
        <w:rPr>
          <w:rFonts w:eastAsia="Calibri"/>
          <w:iCs/>
        </w:rPr>
        <w:t xml:space="preserve"> of Multiple Regression on </w:t>
      </w:r>
      <w:r w:rsidRPr="00E2630C">
        <w:t>Chieftaincy Conflicts and Health Security in Bimbilla.</w:t>
      </w:r>
      <w:bookmarkEnd w:id="117"/>
    </w:p>
    <w:p w14:paraId="544F518D"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b/>
          <w:bCs/>
          <w:color w:val="000000" w:themeColor="text1"/>
          <w:sz w:val="24"/>
          <w:szCs w:val="24"/>
        </w:rPr>
        <w:t xml:space="preserve">Model summary </w:t>
      </w:r>
    </w:p>
    <w:tbl>
      <w:tblPr>
        <w:tblStyle w:val="TableGrid1"/>
        <w:tblW w:w="791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1"/>
        <w:gridCol w:w="744"/>
        <w:gridCol w:w="1170"/>
        <w:gridCol w:w="2250"/>
        <w:gridCol w:w="2875"/>
      </w:tblGrid>
      <w:tr w:rsidR="002D25B6" w:rsidRPr="00E2630C" w14:paraId="6E032AE4" w14:textId="77777777" w:rsidTr="003315F5">
        <w:tc>
          <w:tcPr>
            <w:tcW w:w="871" w:type="dxa"/>
            <w:tcBorders>
              <w:bottom w:val="single" w:sz="4" w:space="0" w:color="auto"/>
            </w:tcBorders>
          </w:tcPr>
          <w:p w14:paraId="01F86F8F"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744" w:type="dxa"/>
            <w:tcBorders>
              <w:bottom w:val="single" w:sz="4" w:space="0" w:color="auto"/>
            </w:tcBorders>
          </w:tcPr>
          <w:p w14:paraId="32DC728E"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R</w:t>
            </w:r>
          </w:p>
        </w:tc>
        <w:tc>
          <w:tcPr>
            <w:tcW w:w="1170" w:type="dxa"/>
            <w:tcBorders>
              <w:bottom w:val="single" w:sz="4" w:space="0" w:color="auto"/>
            </w:tcBorders>
          </w:tcPr>
          <w:p w14:paraId="4E236E81"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R Square</w:t>
            </w:r>
          </w:p>
        </w:tc>
        <w:tc>
          <w:tcPr>
            <w:tcW w:w="2250" w:type="dxa"/>
            <w:tcBorders>
              <w:bottom w:val="single" w:sz="4" w:space="0" w:color="auto"/>
            </w:tcBorders>
          </w:tcPr>
          <w:p w14:paraId="40532F31"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Adjusted R square</w:t>
            </w:r>
          </w:p>
        </w:tc>
        <w:tc>
          <w:tcPr>
            <w:tcW w:w="2875" w:type="dxa"/>
            <w:tcBorders>
              <w:bottom w:val="single" w:sz="4" w:space="0" w:color="auto"/>
            </w:tcBorders>
          </w:tcPr>
          <w:p w14:paraId="52464CF5"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Std. Error of Estimate</w:t>
            </w:r>
          </w:p>
        </w:tc>
      </w:tr>
      <w:tr w:rsidR="002D25B6" w:rsidRPr="00E2630C" w14:paraId="6AAE6552" w14:textId="77777777" w:rsidTr="003315F5">
        <w:tc>
          <w:tcPr>
            <w:tcW w:w="871" w:type="dxa"/>
            <w:tcBorders>
              <w:top w:val="single" w:sz="4" w:space="0" w:color="auto"/>
              <w:bottom w:val="single" w:sz="4" w:space="0" w:color="auto"/>
            </w:tcBorders>
            <w:shd w:val="clear" w:color="auto" w:fill="FFFFFF"/>
            <w:vAlign w:val="center"/>
          </w:tcPr>
          <w:p w14:paraId="0A916F82"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w:t>
            </w:r>
          </w:p>
        </w:tc>
        <w:tc>
          <w:tcPr>
            <w:tcW w:w="744" w:type="dxa"/>
            <w:tcBorders>
              <w:top w:val="single" w:sz="4" w:space="0" w:color="auto"/>
              <w:bottom w:val="single" w:sz="4" w:space="0" w:color="auto"/>
            </w:tcBorders>
            <w:shd w:val="clear" w:color="auto" w:fill="FFFFFF"/>
            <w:vAlign w:val="center"/>
          </w:tcPr>
          <w:p w14:paraId="086F7950" w14:textId="77777777" w:rsidR="00CD3724" w:rsidRPr="00E2630C" w:rsidRDefault="00CD3724" w:rsidP="003315F5">
            <w:pP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.255</w:t>
            </w:r>
          </w:p>
        </w:tc>
        <w:tc>
          <w:tcPr>
            <w:tcW w:w="1170" w:type="dxa"/>
            <w:tcBorders>
              <w:top w:val="single" w:sz="4" w:space="0" w:color="auto"/>
              <w:bottom w:val="single" w:sz="4" w:space="0" w:color="auto"/>
            </w:tcBorders>
            <w:shd w:val="clear" w:color="auto" w:fill="FFFFFF"/>
            <w:vAlign w:val="center"/>
          </w:tcPr>
          <w:p w14:paraId="378DB68C"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.065</w:t>
            </w:r>
          </w:p>
        </w:tc>
        <w:tc>
          <w:tcPr>
            <w:tcW w:w="2250" w:type="dxa"/>
            <w:tcBorders>
              <w:top w:val="single" w:sz="4" w:space="0" w:color="auto"/>
              <w:bottom w:val="single" w:sz="4" w:space="0" w:color="auto"/>
            </w:tcBorders>
            <w:shd w:val="clear" w:color="auto" w:fill="FFFFFF"/>
            <w:vAlign w:val="center"/>
          </w:tcPr>
          <w:p w14:paraId="52A0F372"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.054</w:t>
            </w:r>
          </w:p>
        </w:tc>
        <w:tc>
          <w:tcPr>
            <w:tcW w:w="2875" w:type="dxa"/>
            <w:tcBorders>
              <w:top w:val="single" w:sz="4" w:space="0" w:color="auto"/>
              <w:bottom w:val="single" w:sz="4" w:space="0" w:color="auto"/>
            </w:tcBorders>
            <w:shd w:val="clear" w:color="auto" w:fill="FFFFFF"/>
            <w:vAlign w:val="center"/>
          </w:tcPr>
          <w:p w14:paraId="03A84D69"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1.27766</w:t>
            </w:r>
          </w:p>
        </w:tc>
      </w:tr>
    </w:tbl>
    <w:p w14:paraId="3F71F320" w14:textId="77777777" w:rsidR="00CD3724" w:rsidRPr="00E2630C" w:rsidRDefault="00CD3724" w:rsidP="00990904">
      <w:pPr>
        <w:pStyle w:val="NoSpacing"/>
      </w:pPr>
    </w:p>
    <w:p w14:paraId="1188E187" w14:textId="77777777" w:rsidR="00CD3724" w:rsidRPr="00E2630C" w:rsidRDefault="00CD3724" w:rsidP="00CD3724">
      <w:pPr>
        <w:autoSpaceDE w:val="0"/>
        <w:autoSpaceDN w:val="0"/>
        <w:adjustRightInd w:val="0"/>
        <w:spacing w:after="0" w:line="400" w:lineRule="atLeast"/>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ANOVA</w:t>
      </w:r>
    </w:p>
    <w:tbl>
      <w:tblPr>
        <w:tblStyle w:val="TableGrid1"/>
        <w:tblW w:w="791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3"/>
        <w:gridCol w:w="2114"/>
        <w:gridCol w:w="1065"/>
        <w:gridCol w:w="1687"/>
        <w:gridCol w:w="1045"/>
        <w:gridCol w:w="716"/>
      </w:tblGrid>
      <w:tr w:rsidR="002D25B6" w:rsidRPr="00E2630C" w14:paraId="06B3AD66" w14:textId="77777777" w:rsidTr="003315F5">
        <w:tc>
          <w:tcPr>
            <w:tcW w:w="1283" w:type="dxa"/>
            <w:tcBorders>
              <w:top w:val="single" w:sz="4" w:space="0" w:color="auto"/>
              <w:bottom w:val="single" w:sz="4" w:space="0" w:color="auto"/>
            </w:tcBorders>
            <w:shd w:val="clear" w:color="auto" w:fill="FFFFFF"/>
          </w:tcPr>
          <w:p w14:paraId="4B40B5C9"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2147" w:type="dxa"/>
            <w:tcBorders>
              <w:top w:val="single" w:sz="4" w:space="0" w:color="auto"/>
              <w:bottom w:val="single" w:sz="4" w:space="0" w:color="auto"/>
            </w:tcBorders>
            <w:shd w:val="clear" w:color="auto" w:fill="FFFFFF"/>
          </w:tcPr>
          <w:p w14:paraId="0C8AAD46"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Sum of Squares</w:t>
            </w:r>
          </w:p>
        </w:tc>
        <w:tc>
          <w:tcPr>
            <w:tcW w:w="1080" w:type="dxa"/>
            <w:tcBorders>
              <w:top w:val="single" w:sz="4" w:space="0" w:color="auto"/>
              <w:bottom w:val="single" w:sz="4" w:space="0" w:color="auto"/>
            </w:tcBorders>
            <w:shd w:val="clear" w:color="auto" w:fill="FFFFFF"/>
          </w:tcPr>
          <w:p w14:paraId="3F261452"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Df</w:t>
            </w:r>
          </w:p>
        </w:tc>
        <w:tc>
          <w:tcPr>
            <w:tcW w:w="1710" w:type="dxa"/>
            <w:tcBorders>
              <w:top w:val="single" w:sz="4" w:space="0" w:color="auto"/>
              <w:bottom w:val="single" w:sz="4" w:space="0" w:color="auto"/>
            </w:tcBorders>
            <w:shd w:val="clear" w:color="auto" w:fill="FFFFFF"/>
          </w:tcPr>
          <w:p w14:paraId="32E668FA"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Mean Square</w:t>
            </w:r>
          </w:p>
        </w:tc>
        <w:tc>
          <w:tcPr>
            <w:tcW w:w="1054" w:type="dxa"/>
            <w:tcBorders>
              <w:top w:val="single" w:sz="4" w:space="0" w:color="auto"/>
              <w:bottom w:val="single" w:sz="4" w:space="0" w:color="auto"/>
            </w:tcBorders>
            <w:shd w:val="clear" w:color="auto" w:fill="FFFFFF"/>
          </w:tcPr>
          <w:p w14:paraId="4C561AD5"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F</w:t>
            </w:r>
          </w:p>
        </w:tc>
        <w:tc>
          <w:tcPr>
            <w:tcW w:w="636" w:type="dxa"/>
            <w:tcBorders>
              <w:top w:val="single" w:sz="4" w:space="0" w:color="auto"/>
              <w:bottom w:val="single" w:sz="4" w:space="0" w:color="auto"/>
            </w:tcBorders>
            <w:shd w:val="clear" w:color="auto" w:fill="FFFFFF"/>
          </w:tcPr>
          <w:p w14:paraId="1E503951"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Sig.</w:t>
            </w:r>
          </w:p>
        </w:tc>
      </w:tr>
      <w:tr w:rsidR="002D25B6" w:rsidRPr="00E2630C" w14:paraId="51B5EC7C" w14:textId="77777777" w:rsidTr="003315F5">
        <w:tc>
          <w:tcPr>
            <w:tcW w:w="1283" w:type="dxa"/>
            <w:tcBorders>
              <w:top w:val="single" w:sz="4" w:space="0" w:color="auto"/>
            </w:tcBorders>
            <w:vAlign w:val="center"/>
          </w:tcPr>
          <w:p w14:paraId="360FD4C8"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Regression</w:t>
            </w:r>
          </w:p>
        </w:tc>
        <w:tc>
          <w:tcPr>
            <w:tcW w:w="2147" w:type="dxa"/>
            <w:tcBorders>
              <w:top w:val="single" w:sz="4" w:space="0" w:color="auto"/>
            </w:tcBorders>
            <w:shd w:val="clear" w:color="auto" w:fill="FFFFFF"/>
            <w:vAlign w:val="center"/>
          </w:tcPr>
          <w:p w14:paraId="1862D560"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37.380</w:t>
            </w:r>
          </w:p>
        </w:tc>
        <w:tc>
          <w:tcPr>
            <w:tcW w:w="1080" w:type="dxa"/>
            <w:tcBorders>
              <w:top w:val="single" w:sz="4" w:space="0" w:color="auto"/>
            </w:tcBorders>
            <w:shd w:val="clear" w:color="auto" w:fill="FFFFFF"/>
            <w:vAlign w:val="center"/>
          </w:tcPr>
          <w:p w14:paraId="22A079C0"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4</w:t>
            </w:r>
          </w:p>
        </w:tc>
        <w:tc>
          <w:tcPr>
            <w:tcW w:w="1710" w:type="dxa"/>
            <w:tcBorders>
              <w:top w:val="single" w:sz="4" w:space="0" w:color="auto"/>
            </w:tcBorders>
            <w:shd w:val="clear" w:color="auto" w:fill="FFFFFF"/>
            <w:vAlign w:val="center"/>
          </w:tcPr>
          <w:p w14:paraId="016B853C"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9.345</w:t>
            </w:r>
          </w:p>
        </w:tc>
        <w:tc>
          <w:tcPr>
            <w:tcW w:w="1054" w:type="dxa"/>
            <w:tcBorders>
              <w:top w:val="single" w:sz="4" w:space="0" w:color="auto"/>
            </w:tcBorders>
            <w:shd w:val="clear" w:color="auto" w:fill="FFFFFF"/>
            <w:vAlign w:val="center"/>
          </w:tcPr>
          <w:p w14:paraId="14E2F10B"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5.725</w:t>
            </w:r>
          </w:p>
        </w:tc>
        <w:tc>
          <w:tcPr>
            <w:tcW w:w="636" w:type="dxa"/>
            <w:tcBorders>
              <w:top w:val="single" w:sz="4" w:space="0" w:color="auto"/>
            </w:tcBorders>
            <w:shd w:val="clear" w:color="auto" w:fill="FFFFFF"/>
            <w:vAlign w:val="center"/>
          </w:tcPr>
          <w:p w14:paraId="6145E6D9"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.000</w:t>
            </w:r>
            <w:r w:rsidRPr="00E2630C">
              <w:rPr>
                <w:rFonts w:ascii="Times New Roman" w:hAnsi="Times New Roman" w:cs="Times New Roman"/>
                <w:color w:val="000000" w:themeColor="text1"/>
                <w:kern w:val="0"/>
                <w:sz w:val="24"/>
                <w:szCs w:val="24"/>
                <w:vertAlign w:val="superscript"/>
              </w:rPr>
              <w:t>b</w:t>
            </w:r>
          </w:p>
        </w:tc>
      </w:tr>
      <w:tr w:rsidR="002D25B6" w:rsidRPr="00E2630C" w14:paraId="55C8DB5C" w14:textId="77777777" w:rsidTr="003315F5">
        <w:tc>
          <w:tcPr>
            <w:tcW w:w="1283" w:type="dxa"/>
            <w:tcBorders>
              <w:bottom w:val="single" w:sz="4" w:space="0" w:color="auto"/>
            </w:tcBorders>
            <w:vAlign w:val="center"/>
          </w:tcPr>
          <w:p w14:paraId="4B3E2484"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Residual</w:t>
            </w:r>
          </w:p>
        </w:tc>
        <w:tc>
          <w:tcPr>
            <w:tcW w:w="2147" w:type="dxa"/>
            <w:tcBorders>
              <w:bottom w:val="single" w:sz="4" w:space="0" w:color="auto"/>
            </w:tcBorders>
            <w:shd w:val="clear" w:color="auto" w:fill="FFFFFF"/>
            <w:vAlign w:val="center"/>
          </w:tcPr>
          <w:p w14:paraId="2A0BC322"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535.431</w:t>
            </w:r>
          </w:p>
        </w:tc>
        <w:tc>
          <w:tcPr>
            <w:tcW w:w="1080" w:type="dxa"/>
            <w:tcBorders>
              <w:bottom w:val="single" w:sz="4" w:space="0" w:color="auto"/>
            </w:tcBorders>
            <w:shd w:val="clear" w:color="auto" w:fill="FFFFFF"/>
            <w:vAlign w:val="center"/>
          </w:tcPr>
          <w:p w14:paraId="2049A766"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328</w:t>
            </w:r>
          </w:p>
        </w:tc>
        <w:tc>
          <w:tcPr>
            <w:tcW w:w="1710" w:type="dxa"/>
            <w:tcBorders>
              <w:bottom w:val="single" w:sz="4" w:space="0" w:color="auto"/>
            </w:tcBorders>
            <w:shd w:val="clear" w:color="auto" w:fill="FFFFFF"/>
            <w:vAlign w:val="center"/>
          </w:tcPr>
          <w:p w14:paraId="44A7C8CC"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1.632</w:t>
            </w:r>
          </w:p>
        </w:tc>
        <w:tc>
          <w:tcPr>
            <w:tcW w:w="1054" w:type="dxa"/>
            <w:tcBorders>
              <w:bottom w:val="single" w:sz="4" w:space="0" w:color="auto"/>
            </w:tcBorders>
            <w:shd w:val="clear" w:color="auto" w:fill="FFFFFF"/>
          </w:tcPr>
          <w:p w14:paraId="73CF24A8"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p>
        </w:tc>
        <w:tc>
          <w:tcPr>
            <w:tcW w:w="636" w:type="dxa"/>
            <w:tcBorders>
              <w:bottom w:val="single" w:sz="4" w:space="0" w:color="auto"/>
            </w:tcBorders>
            <w:shd w:val="clear" w:color="auto" w:fill="FFFFFF"/>
          </w:tcPr>
          <w:p w14:paraId="6CBE261B"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p>
        </w:tc>
      </w:tr>
      <w:tr w:rsidR="002D25B6" w:rsidRPr="00E2630C" w14:paraId="0EF57F64" w14:textId="77777777" w:rsidTr="003315F5">
        <w:tc>
          <w:tcPr>
            <w:tcW w:w="1283" w:type="dxa"/>
            <w:tcBorders>
              <w:top w:val="single" w:sz="4" w:space="0" w:color="auto"/>
              <w:bottom w:val="single" w:sz="4" w:space="0" w:color="auto"/>
            </w:tcBorders>
            <w:vAlign w:val="center"/>
          </w:tcPr>
          <w:p w14:paraId="15943483"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Total</w:t>
            </w:r>
          </w:p>
        </w:tc>
        <w:tc>
          <w:tcPr>
            <w:tcW w:w="2147" w:type="dxa"/>
            <w:tcBorders>
              <w:top w:val="single" w:sz="4" w:space="0" w:color="auto"/>
              <w:bottom w:val="single" w:sz="4" w:space="0" w:color="auto"/>
            </w:tcBorders>
            <w:shd w:val="clear" w:color="auto" w:fill="FFFFFF"/>
            <w:vAlign w:val="center"/>
          </w:tcPr>
          <w:p w14:paraId="71AF4221"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r w:rsidRPr="00E2630C">
              <w:rPr>
                <w:rFonts w:ascii="Times New Roman" w:hAnsi="Times New Roman" w:cs="Times New Roman"/>
                <w:color w:val="000000" w:themeColor="text1"/>
                <w:kern w:val="0"/>
                <w:sz w:val="24"/>
                <w:szCs w:val="24"/>
              </w:rPr>
              <w:t>572.811</w:t>
            </w:r>
          </w:p>
        </w:tc>
        <w:tc>
          <w:tcPr>
            <w:tcW w:w="1080" w:type="dxa"/>
            <w:tcBorders>
              <w:top w:val="single" w:sz="4" w:space="0" w:color="auto"/>
              <w:bottom w:val="single" w:sz="4" w:space="0" w:color="auto"/>
            </w:tcBorders>
            <w:shd w:val="clear" w:color="auto" w:fill="FFFFFF"/>
            <w:vAlign w:val="center"/>
          </w:tcPr>
          <w:p w14:paraId="6B88E332"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r w:rsidRPr="00E2630C">
              <w:rPr>
                <w:rFonts w:ascii="Times New Roman" w:hAnsi="Times New Roman" w:cs="Times New Roman"/>
                <w:color w:val="000000" w:themeColor="text1"/>
                <w:kern w:val="0"/>
                <w:sz w:val="24"/>
                <w:szCs w:val="24"/>
              </w:rPr>
              <w:t>332</w:t>
            </w:r>
          </w:p>
        </w:tc>
        <w:tc>
          <w:tcPr>
            <w:tcW w:w="1710" w:type="dxa"/>
            <w:tcBorders>
              <w:top w:val="single" w:sz="4" w:space="0" w:color="auto"/>
              <w:bottom w:val="single" w:sz="4" w:space="0" w:color="auto"/>
            </w:tcBorders>
            <w:shd w:val="clear" w:color="auto" w:fill="FFFFFF"/>
          </w:tcPr>
          <w:p w14:paraId="7D80F510"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p>
        </w:tc>
        <w:tc>
          <w:tcPr>
            <w:tcW w:w="1054" w:type="dxa"/>
            <w:tcBorders>
              <w:top w:val="single" w:sz="4" w:space="0" w:color="auto"/>
              <w:bottom w:val="single" w:sz="4" w:space="0" w:color="auto"/>
            </w:tcBorders>
            <w:shd w:val="clear" w:color="auto" w:fill="FFFFFF"/>
          </w:tcPr>
          <w:p w14:paraId="57466969"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p>
        </w:tc>
        <w:tc>
          <w:tcPr>
            <w:tcW w:w="636" w:type="dxa"/>
            <w:tcBorders>
              <w:top w:val="single" w:sz="4" w:space="0" w:color="auto"/>
              <w:bottom w:val="single" w:sz="4" w:space="0" w:color="auto"/>
            </w:tcBorders>
            <w:shd w:val="clear" w:color="auto" w:fill="FFFFFF"/>
          </w:tcPr>
          <w:p w14:paraId="4346D210"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p>
        </w:tc>
      </w:tr>
    </w:tbl>
    <w:p w14:paraId="7B24CF0E" w14:textId="77777777" w:rsidR="00CD3724" w:rsidRPr="00E2630C" w:rsidRDefault="00CD3724" w:rsidP="00CD3724">
      <w:pPr>
        <w:autoSpaceDE w:val="0"/>
        <w:autoSpaceDN w:val="0"/>
        <w:adjustRightInd w:val="0"/>
        <w:spacing w:after="0"/>
        <w:rPr>
          <w:rFonts w:ascii="Times New Roman" w:eastAsia="Calibri" w:hAnsi="Times New Roman" w:cs="Times New Roman"/>
          <w:b/>
          <w:bCs/>
          <w:color w:val="000000" w:themeColor="text1"/>
          <w:sz w:val="24"/>
          <w:szCs w:val="24"/>
        </w:rPr>
      </w:pPr>
    </w:p>
    <w:p w14:paraId="4E2840F9" w14:textId="77777777" w:rsidR="00CD3724" w:rsidRPr="00E2630C" w:rsidRDefault="00CD3724" w:rsidP="00CD3724">
      <w:pPr>
        <w:autoSpaceDE w:val="0"/>
        <w:autoSpaceDN w:val="0"/>
        <w:adjustRightInd w:val="0"/>
        <w:spacing w:after="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Coefficients</w:t>
      </w:r>
    </w:p>
    <w:tbl>
      <w:tblPr>
        <w:tblStyle w:val="TableGrid1"/>
        <w:tblW w:w="800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4"/>
        <w:gridCol w:w="1341"/>
        <w:gridCol w:w="1170"/>
        <w:gridCol w:w="900"/>
        <w:gridCol w:w="990"/>
        <w:gridCol w:w="1350"/>
      </w:tblGrid>
      <w:tr w:rsidR="002D25B6" w:rsidRPr="00E2630C" w14:paraId="78CBF4D3" w14:textId="77777777" w:rsidTr="003315F5">
        <w:tc>
          <w:tcPr>
            <w:tcW w:w="2254" w:type="dxa"/>
            <w:tcBorders>
              <w:top w:val="single" w:sz="4" w:space="0" w:color="auto"/>
              <w:bottom w:val="single" w:sz="4" w:space="0" w:color="auto"/>
            </w:tcBorders>
            <w:vAlign w:val="center"/>
          </w:tcPr>
          <w:p w14:paraId="79517814" w14:textId="77777777" w:rsidR="00CD3724" w:rsidRPr="00E2630C" w:rsidRDefault="00CD3724" w:rsidP="003315F5">
            <w:pPr>
              <w:autoSpaceDE w:val="0"/>
              <w:autoSpaceDN w:val="0"/>
              <w:adjustRightInd w:val="0"/>
              <w:spacing w:line="360" w:lineRule="auto"/>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1341" w:type="dxa"/>
            <w:tcBorders>
              <w:top w:val="single" w:sz="4" w:space="0" w:color="auto"/>
              <w:bottom w:val="single" w:sz="4" w:space="0" w:color="auto"/>
            </w:tcBorders>
            <w:vAlign w:val="center"/>
          </w:tcPr>
          <w:p w14:paraId="45789F7C"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Β</w:t>
            </w:r>
          </w:p>
        </w:tc>
        <w:tc>
          <w:tcPr>
            <w:tcW w:w="1170" w:type="dxa"/>
            <w:tcBorders>
              <w:top w:val="single" w:sz="4" w:space="0" w:color="auto"/>
              <w:bottom w:val="single" w:sz="4" w:space="0" w:color="auto"/>
            </w:tcBorders>
            <w:vAlign w:val="center"/>
          </w:tcPr>
          <w:p w14:paraId="3F8B3A94"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SE</w:t>
            </w:r>
          </w:p>
        </w:tc>
        <w:tc>
          <w:tcPr>
            <w:tcW w:w="900" w:type="dxa"/>
            <w:tcBorders>
              <w:top w:val="single" w:sz="4" w:space="0" w:color="auto"/>
              <w:bottom w:val="single" w:sz="4" w:space="0" w:color="auto"/>
            </w:tcBorders>
          </w:tcPr>
          <w:p w14:paraId="5B531422"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β</w:t>
            </w:r>
          </w:p>
        </w:tc>
        <w:tc>
          <w:tcPr>
            <w:tcW w:w="990" w:type="dxa"/>
            <w:tcBorders>
              <w:top w:val="single" w:sz="4" w:space="0" w:color="auto"/>
              <w:bottom w:val="single" w:sz="4" w:space="0" w:color="auto"/>
            </w:tcBorders>
            <w:vAlign w:val="center"/>
          </w:tcPr>
          <w:p w14:paraId="1D384A6C"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t</w:t>
            </w:r>
          </w:p>
        </w:tc>
        <w:tc>
          <w:tcPr>
            <w:tcW w:w="1350" w:type="dxa"/>
            <w:tcBorders>
              <w:top w:val="single" w:sz="4" w:space="0" w:color="auto"/>
              <w:bottom w:val="single" w:sz="4" w:space="0" w:color="auto"/>
            </w:tcBorders>
            <w:vAlign w:val="center"/>
          </w:tcPr>
          <w:p w14:paraId="138BE48F"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P</w:t>
            </w:r>
          </w:p>
        </w:tc>
      </w:tr>
      <w:tr w:rsidR="002D25B6" w:rsidRPr="00E2630C" w14:paraId="173710C7" w14:textId="77777777" w:rsidTr="003315F5">
        <w:tc>
          <w:tcPr>
            <w:tcW w:w="2254" w:type="dxa"/>
            <w:tcBorders>
              <w:top w:val="single" w:sz="4" w:space="0" w:color="auto"/>
            </w:tcBorders>
            <w:vAlign w:val="center"/>
          </w:tcPr>
          <w:p w14:paraId="437C294E" w14:textId="77777777" w:rsidR="00CD3724" w:rsidRPr="00E2630C" w:rsidRDefault="00CD3724" w:rsidP="003315F5">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 (Constant)</w:t>
            </w:r>
          </w:p>
        </w:tc>
        <w:tc>
          <w:tcPr>
            <w:tcW w:w="1341" w:type="dxa"/>
            <w:tcBorders>
              <w:top w:val="single" w:sz="4" w:space="0" w:color="auto"/>
            </w:tcBorders>
            <w:shd w:val="clear" w:color="auto" w:fill="FFFFFF"/>
            <w:vAlign w:val="center"/>
          </w:tcPr>
          <w:p w14:paraId="0D49697C"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2.952</w:t>
            </w:r>
          </w:p>
        </w:tc>
        <w:tc>
          <w:tcPr>
            <w:tcW w:w="1170" w:type="dxa"/>
            <w:tcBorders>
              <w:top w:val="single" w:sz="4" w:space="0" w:color="auto"/>
            </w:tcBorders>
            <w:shd w:val="clear" w:color="auto" w:fill="FFFFFF"/>
            <w:vAlign w:val="center"/>
          </w:tcPr>
          <w:p w14:paraId="54606CD9"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.198</w:t>
            </w:r>
          </w:p>
        </w:tc>
        <w:tc>
          <w:tcPr>
            <w:tcW w:w="900" w:type="dxa"/>
            <w:tcBorders>
              <w:top w:val="single" w:sz="4" w:space="0" w:color="auto"/>
            </w:tcBorders>
            <w:shd w:val="clear" w:color="auto" w:fill="FFFFFF"/>
          </w:tcPr>
          <w:p w14:paraId="123CA085"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p>
        </w:tc>
        <w:tc>
          <w:tcPr>
            <w:tcW w:w="990" w:type="dxa"/>
            <w:tcBorders>
              <w:top w:val="single" w:sz="4" w:space="0" w:color="auto"/>
            </w:tcBorders>
            <w:shd w:val="clear" w:color="auto" w:fill="FFFFFF"/>
            <w:vAlign w:val="center"/>
          </w:tcPr>
          <w:p w14:paraId="3AE6C012"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14.921</w:t>
            </w:r>
          </w:p>
        </w:tc>
        <w:tc>
          <w:tcPr>
            <w:tcW w:w="1350" w:type="dxa"/>
            <w:tcBorders>
              <w:top w:val="single" w:sz="4" w:space="0" w:color="auto"/>
            </w:tcBorders>
            <w:shd w:val="clear" w:color="auto" w:fill="FFFFFF"/>
            <w:vAlign w:val="center"/>
          </w:tcPr>
          <w:p w14:paraId="41633D65"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.000</w:t>
            </w:r>
          </w:p>
        </w:tc>
      </w:tr>
      <w:tr w:rsidR="002D25B6" w:rsidRPr="00E2630C" w14:paraId="1A151DDD" w14:textId="77777777" w:rsidTr="003315F5">
        <w:tc>
          <w:tcPr>
            <w:tcW w:w="2254" w:type="dxa"/>
          </w:tcPr>
          <w:p w14:paraId="368B67E7" w14:textId="77777777" w:rsidR="00CD3724" w:rsidRPr="00E2630C" w:rsidRDefault="00CD3724" w:rsidP="003315F5">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sz w:val="24"/>
                <w:szCs w:val="24"/>
              </w:rPr>
              <w:t>Epidemics</w:t>
            </w:r>
          </w:p>
        </w:tc>
        <w:tc>
          <w:tcPr>
            <w:tcW w:w="1341" w:type="dxa"/>
            <w:shd w:val="clear" w:color="auto" w:fill="FFFFFF"/>
            <w:vAlign w:val="center"/>
          </w:tcPr>
          <w:p w14:paraId="1D1DD8F2"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.111</w:t>
            </w:r>
          </w:p>
        </w:tc>
        <w:tc>
          <w:tcPr>
            <w:tcW w:w="1170" w:type="dxa"/>
            <w:shd w:val="clear" w:color="auto" w:fill="FFFFFF"/>
            <w:vAlign w:val="center"/>
          </w:tcPr>
          <w:p w14:paraId="1D186F18"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.034</w:t>
            </w:r>
          </w:p>
        </w:tc>
        <w:tc>
          <w:tcPr>
            <w:tcW w:w="900" w:type="dxa"/>
            <w:shd w:val="clear" w:color="auto" w:fill="FFFFFF"/>
            <w:vAlign w:val="center"/>
          </w:tcPr>
          <w:p w14:paraId="4D6AA184"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.177</w:t>
            </w:r>
          </w:p>
        </w:tc>
        <w:tc>
          <w:tcPr>
            <w:tcW w:w="990" w:type="dxa"/>
            <w:shd w:val="clear" w:color="auto" w:fill="FFFFFF"/>
            <w:vAlign w:val="center"/>
          </w:tcPr>
          <w:p w14:paraId="0EC32ED5"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3.296</w:t>
            </w:r>
          </w:p>
        </w:tc>
        <w:tc>
          <w:tcPr>
            <w:tcW w:w="1350" w:type="dxa"/>
            <w:shd w:val="clear" w:color="auto" w:fill="FFFFFF"/>
            <w:vAlign w:val="center"/>
          </w:tcPr>
          <w:p w14:paraId="70E847BD"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.001</w:t>
            </w:r>
          </w:p>
        </w:tc>
      </w:tr>
      <w:tr w:rsidR="002D25B6" w:rsidRPr="00E2630C" w14:paraId="0546FEDA" w14:textId="77777777" w:rsidTr="003315F5">
        <w:tc>
          <w:tcPr>
            <w:tcW w:w="2254" w:type="dxa"/>
          </w:tcPr>
          <w:p w14:paraId="37277908" w14:textId="77777777" w:rsidR="00CD3724" w:rsidRPr="00E2630C" w:rsidRDefault="00CD3724" w:rsidP="003315F5">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sz w:val="24"/>
                <w:szCs w:val="24"/>
              </w:rPr>
              <w:t>Malnutrition</w:t>
            </w:r>
          </w:p>
        </w:tc>
        <w:tc>
          <w:tcPr>
            <w:tcW w:w="1341" w:type="dxa"/>
            <w:shd w:val="clear" w:color="auto" w:fill="FFFFFF"/>
            <w:vAlign w:val="center"/>
          </w:tcPr>
          <w:p w14:paraId="005B0845"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.135</w:t>
            </w:r>
          </w:p>
        </w:tc>
        <w:tc>
          <w:tcPr>
            <w:tcW w:w="1170" w:type="dxa"/>
            <w:shd w:val="clear" w:color="auto" w:fill="FFFFFF"/>
            <w:vAlign w:val="center"/>
          </w:tcPr>
          <w:p w14:paraId="3F58E2CF"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.041</w:t>
            </w:r>
          </w:p>
        </w:tc>
        <w:tc>
          <w:tcPr>
            <w:tcW w:w="900" w:type="dxa"/>
            <w:shd w:val="clear" w:color="auto" w:fill="FFFFFF"/>
            <w:vAlign w:val="center"/>
          </w:tcPr>
          <w:p w14:paraId="5001EB54"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.177</w:t>
            </w:r>
          </w:p>
        </w:tc>
        <w:tc>
          <w:tcPr>
            <w:tcW w:w="990" w:type="dxa"/>
            <w:shd w:val="clear" w:color="auto" w:fill="FFFFFF"/>
            <w:vAlign w:val="center"/>
          </w:tcPr>
          <w:p w14:paraId="74ADCC5B"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3.285</w:t>
            </w:r>
          </w:p>
        </w:tc>
        <w:tc>
          <w:tcPr>
            <w:tcW w:w="1350" w:type="dxa"/>
            <w:shd w:val="clear" w:color="auto" w:fill="FFFFFF"/>
            <w:vAlign w:val="center"/>
          </w:tcPr>
          <w:p w14:paraId="4A85ACE7"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.001</w:t>
            </w:r>
          </w:p>
        </w:tc>
      </w:tr>
      <w:tr w:rsidR="002D25B6" w:rsidRPr="00E2630C" w14:paraId="060B02F1" w14:textId="77777777" w:rsidTr="003315F5">
        <w:tc>
          <w:tcPr>
            <w:tcW w:w="2254" w:type="dxa"/>
          </w:tcPr>
          <w:p w14:paraId="0FAB9803" w14:textId="77777777" w:rsidR="00CD3724" w:rsidRPr="00E2630C" w:rsidRDefault="00CD3724" w:rsidP="003315F5">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sz w:val="24"/>
                <w:szCs w:val="24"/>
              </w:rPr>
              <w:t>Poor sanitation</w:t>
            </w:r>
          </w:p>
        </w:tc>
        <w:tc>
          <w:tcPr>
            <w:tcW w:w="1341" w:type="dxa"/>
            <w:shd w:val="clear" w:color="auto" w:fill="FFFFFF"/>
            <w:vAlign w:val="center"/>
          </w:tcPr>
          <w:p w14:paraId="44F36203"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.010</w:t>
            </w:r>
          </w:p>
        </w:tc>
        <w:tc>
          <w:tcPr>
            <w:tcW w:w="1170" w:type="dxa"/>
            <w:shd w:val="clear" w:color="auto" w:fill="FFFFFF"/>
            <w:vAlign w:val="center"/>
          </w:tcPr>
          <w:p w14:paraId="4803EC66"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.021</w:t>
            </w:r>
          </w:p>
        </w:tc>
        <w:tc>
          <w:tcPr>
            <w:tcW w:w="900" w:type="dxa"/>
            <w:shd w:val="clear" w:color="auto" w:fill="FFFFFF"/>
            <w:vAlign w:val="center"/>
          </w:tcPr>
          <w:p w14:paraId="5990E0B1"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.025</w:t>
            </w:r>
          </w:p>
        </w:tc>
        <w:tc>
          <w:tcPr>
            <w:tcW w:w="990" w:type="dxa"/>
            <w:shd w:val="clear" w:color="auto" w:fill="FFFFFF"/>
            <w:vAlign w:val="center"/>
          </w:tcPr>
          <w:p w14:paraId="2608C5C3"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.464</w:t>
            </w:r>
          </w:p>
        </w:tc>
        <w:tc>
          <w:tcPr>
            <w:tcW w:w="1350" w:type="dxa"/>
            <w:shd w:val="clear" w:color="auto" w:fill="FFFFFF"/>
            <w:vAlign w:val="center"/>
          </w:tcPr>
          <w:p w14:paraId="39978D0D"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.643</w:t>
            </w:r>
          </w:p>
        </w:tc>
      </w:tr>
      <w:tr w:rsidR="002D25B6" w:rsidRPr="00E2630C" w14:paraId="3E38F06E" w14:textId="77777777" w:rsidTr="003315F5">
        <w:tc>
          <w:tcPr>
            <w:tcW w:w="2254" w:type="dxa"/>
          </w:tcPr>
          <w:p w14:paraId="6F7C9B82" w14:textId="77777777" w:rsidR="00CD3724" w:rsidRPr="00E2630C" w:rsidRDefault="00CD3724" w:rsidP="003315F5">
            <w:pPr>
              <w:autoSpaceDE w:val="0"/>
              <w:autoSpaceDN w:val="0"/>
              <w:adjustRightInd w:val="0"/>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Lack of access to basic health care</w:t>
            </w:r>
          </w:p>
        </w:tc>
        <w:tc>
          <w:tcPr>
            <w:tcW w:w="1341" w:type="dxa"/>
            <w:shd w:val="clear" w:color="auto" w:fill="FFFFFF"/>
            <w:vAlign w:val="center"/>
          </w:tcPr>
          <w:p w14:paraId="1A66C0C4" w14:textId="77777777" w:rsidR="00CD3724" w:rsidRPr="00E2630C" w:rsidRDefault="00CD3724" w:rsidP="003315F5">
            <w:pPr>
              <w:autoSpaceDE w:val="0"/>
              <w:autoSpaceDN w:val="0"/>
              <w:adjustRightInd w:val="0"/>
              <w:spacing w:line="360" w:lineRule="auto"/>
              <w:jc w:val="center"/>
              <w:rPr>
                <w:rFonts w:ascii="Times New Roman" w:hAnsi="Times New Roman" w:cs="Times New Roman"/>
                <w:color w:val="000000" w:themeColor="text1"/>
                <w:kern w:val="0"/>
                <w:sz w:val="24"/>
                <w:szCs w:val="24"/>
              </w:rPr>
            </w:pPr>
            <w:r w:rsidRPr="00E2630C">
              <w:rPr>
                <w:rFonts w:ascii="Times New Roman" w:hAnsi="Times New Roman" w:cs="Times New Roman"/>
                <w:color w:val="000000" w:themeColor="text1"/>
                <w:kern w:val="0"/>
                <w:sz w:val="24"/>
                <w:szCs w:val="24"/>
              </w:rPr>
              <w:t>-.010</w:t>
            </w:r>
          </w:p>
        </w:tc>
        <w:tc>
          <w:tcPr>
            <w:tcW w:w="1170" w:type="dxa"/>
            <w:shd w:val="clear" w:color="auto" w:fill="FFFFFF"/>
            <w:vAlign w:val="center"/>
          </w:tcPr>
          <w:p w14:paraId="72FDE076" w14:textId="77777777" w:rsidR="00CD3724" w:rsidRPr="00E2630C" w:rsidRDefault="00CD3724" w:rsidP="003315F5">
            <w:pPr>
              <w:autoSpaceDE w:val="0"/>
              <w:autoSpaceDN w:val="0"/>
              <w:adjustRightInd w:val="0"/>
              <w:spacing w:line="360" w:lineRule="auto"/>
              <w:jc w:val="center"/>
              <w:rPr>
                <w:rFonts w:ascii="Times New Roman" w:hAnsi="Times New Roman" w:cs="Times New Roman"/>
                <w:color w:val="000000" w:themeColor="text1"/>
                <w:kern w:val="0"/>
                <w:sz w:val="24"/>
                <w:szCs w:val="24"/>
              </w:rPr>
            </w:pPr>
            <w:r w:rsidRPr="00E2630C">
              <w:rPr>
                <w:rFonts w:ascii="Times New Roman" w:hAnsi="Times New Roman" w:cs="Times New Roman"/>
                <w:color w:val="000000" w:themeColor="text1"/>
                <w:kern w:val="0"/>
                <w:sz w:val="24"/>
                <w:szCs w:val="24"/>
              </w:rPr>
              <w:t>.021</w:t>
            </w:r>
          </w:p>
        </w:tc>
        <w:tc>
          <w:tcPr>
            <w:tcW w:w="900" w:type="dxa"/>
            <w:shd w:val="clear" w:color="auto" w:fill="FFFFFF"/>
            <w:vAlign w:val="center"/>
          </w:tcPr>
          <w:p w14:paraId="10991717" w14:textId="77777777" w:rsidR="00CD3724" w:rsidRPr="00E2630C" w:rsidRDefault="00CD3724" w:rsidP="003315F5">
            <w:pPr>
              <w:autoSpaceDE w:val="0"/>
              <w:autoSpaceDN w:val="0"/>
              <w:adjustRightInd w:val="0"/>
              <w:spacing w:line="360" w:lineRule="auto"/>
              <w:jc w:val="center"/>
              <w:rPr>
                <w:rFonts w:ascii="Times New Roman" w:hAnsi="Times New Roman" w:cs="Times New Roman"/>
                <w:color w:val="000000" w:themeColor="text1"/>
                <w:kern w:val="0"/>
                <w:sz w:val="24"/>
                <w:szCs w:val="24"/>
              </w:rPr>
            </w:pPr>
            <w:r w:rsidRPr="00E2630C">
              <w:rPr>
                <w:rFonts w:ascii="Times New Roman" w:hAnsi="Times New Roman" w:cs="Times New Roman"/>
                <w:color w:val="000000" w:themeColor="text1"/>
                <w:kern w:val="0"/>
                <w:sz w:val="24"/>
                <w:szCs w:val="24"/>
              </w:rPr>
              <w:t>-.025</w:t>
            </w:r>
          </w:p>
        </w:tc>
        <w:tc>
          <w:tcPr>
            <w:tcW w:w="990" w:type="dxa"/>
            <w:shd w:val="clear" w:color="auto" w:fill="FFFFFF"/>
            <w:vAlign w:val="center"/>
          </w:tcPr>
          <w:p w14:paraId="5C178986" w14:textId="77777777" w:rsidR="00CD3724" w:rsidRPr="00E2630C" w:rsidRDefault="00CD3724" w:rsidP="003315F5">
            <w:pPr>
              <w:autoSpaceDE w:val="0"/>
              <w:autoSpaceDN w:val="0"/>
              <w:adjustRightInd w:val="0"/>
              <w:spacing w:line="360" w:lineRule="auto"/>
              <w:jc w:val="center"/>
              <w:rPr>
                <w:rFonts w:ascii="Times New Roman" w:hAnsi="Times New Roman" w:cs="Times New Roman"/>
                <w:color w:val="000000" w:themeColor="text1"/>
                <w:kern w:val="0"/>
                <w:sz w:val="24"/>
                <w:szCs w:val="24"/>
              </w:rPr>
            </w:pPr>
            <w:r w:rsidRPr="00E2630C">
              <w:rPr>
                <w:rFonts w:ascii="Times New Roman" w:hAnsi="Times New Roman" w:cs="Times New Roman"/>
                <w:color w:val="000000" w:themeColor="text1"/>
                <w:kern w:val="0"/>
                <w:sz w:val="24"/>
                <w:szCs w:val="24"/>
              </w:rPr>
              <w:t>-.475</w:t>
            </w:r>
          </w:p>
        </w:tc>
        <w:tc>
          <w:tcPr>
            <w:tcW w:w="1350" w:type="dxa"/>
            <w:shd w:val="clear" w:color="auto" w:fill="FFFFFF"/>
            <w:vAlign w:val="center"/>
          </w:tcPr>
          <w:p w14:paraId="0E03AE0D" w14:textId="77777777" w:rsidR="00CD3724" w:rsidRPr="00E2630C" w:rsidRDefault="00CD3724" w:rsidP="003315F5">
            <w:pPr>
              <w:autoSpaceDE w:val="0"/>
              <w:autoSpaceDN w:val="0"/>
              <w:adjustRightInd w:val="0"/>
              <w:spacing w:line="360" w:lineRule="auto"/>
              <w:jc w:val="center"/>
              <w:rPr>
                <w:rFonts w:ascii="Times New Roman" w:hAnsi="Times New Roman" w:cs="Times New Roman"/>
                <w:color w:val="000000" w:themeColor="text1"/>
                <w:kern w:val="0"/>
                <w:sz w:val="24"/>
                <w:szCs w:val="24"/>
              </w:rPr>
            </w:pPr>
            <w:r w:rsidRPr="00E2630C">
              <w:rPr>
                <w:rFonts w:ascii="Times New Roman" w:hAnsi="Times New Roman" w:cs="Times New Roman"/>
                <w:color w:val="000000" w:themeColor="text1"/>
                <w:kern w:val="0"/>
                <w:sz w:val="24"/>
                <w:szCs w:val="24"/>
              </w:rPr>
              <w:t>.635</w:t>
            </w:r>
          </w:p>
        </w:tc>
      </w:tr>
    </w:tbl>
    <w:p w14:paraId="296C7F48" w14:textId="77777777" w:rsidR="00CD3724" w:rsidRPr="00E2630C" w:rsidRDefault="00CD3724" w:rsidP="00CD3724">
      <w:pPr>
        <w:spacing w:line="480" w:lineRule="auto"/>
        <w:jc w:val="both"/>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Source: fieldwork 2023.</w:t>
      </w:r>
    </w:p>
    <w:p w14:paraId="425BC665" w14:textId="01BB45EB" w:rsidR="00CD3724" w:rsidRPr="00E2630C" w:rsidRDefault="00CD3724" w:rsidP="00CD3724">
      <w:pPr>
        <w:spacing w:line="480" w:lineRule="auto"/>
        <w:jc w:val="both"/>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 xml:space="preserve">The study's results indicate that, when examining the four (4) variables, they collectively explain 5.4% of the variability in chieftaincy conflicts (f (9.345) = 5.725, p &lt;0.001). A closer analysis of the effects of conflict on each dependent variable reveals that chieftaincy conflicts significantly impact epidemics (β = 0.177, t = 3.296, p = 0.001) and malnutrition (β = 0.177, t = 3.285, p = 0.001). In contrast, chieftaincy conflicts do not exert a significant influence on poor sanitation (β = 0.025, t = 0.464, p </w:t>
      </w:r>
      <w:r w:rsidRPr="00E2630C">
        <w:rPr>
          <w:rFonts w:ascii="Times New Roman" w:eastAsia="Calibri" w:hAnsi="Times New Roman" w:cs="Times New Roman"/>
          <w:color w:val="000000" w:themeColor="text1"/>
          <w:sz w:val="24"/>
          <w:szCs w:val="24"/>
        </w:rPr>
        <w:lastRenderedPageBreak/>
        <w:t xml:space="preserve">= 0.643) and lack of access to basic health care (β = -0.025, t = -0.475, p = 0.635). The findings emphasize a remarkable positive relationship (p = 0.001), highlighting that epidemics and malnutrition hold more sway over chieftaincy conflicts than other health security factors. The observation in this context aligns with Alhassan (2017) research, proposing a substantial impact of chieftaincy conflicts on both epidemics and malnutrition. According to Alhassan (2017) compromised health and nutritional well-being are linked to the onset of armed conflicts, potentially exacerbating chieftaincy conflicts. Additionally, Agyeman (2021) emphasized in the Bawku Traditional Area that chieftaincy conflicts have resulted in severe hunger, suggesting a potential correlation between malnutrition and conflict. Nevertheless, Bukari et al.  (2016) and Gyader et al. (2021) pointed out some positive outcomes of chieftaincy conflicts, such as enhanced decision-making processes and inter-ethnic unity. These diverse findings underscore the intricate relationship between epidemics, malnutrition, and chieftaincy conflicts, encompassing both adverse and beneficial influences. Furthermore, the results of this study align </w:t>
      </w:r>
      <w:r w:rsidR="00006F6D" w:rsidRPr="00E2630C">
        <w:rPr>
          <w:rFonts w:ascii="Times New Roman" w:eastAsia="Calibri" w:hAnsi="Times New Roman" w:cs="Times New Roman"/>
          <w:color w:val="000000" w:themeColor="text1"/>
          <w:sz w:val="24"/>
          <w:szCs w:val="24"/>
        </w:rPr>
        <w:t>with Polat</w:t>
      </w:r>
      <w:r w:rsidRPr="00E2630C">
        <w:rPr>
          <w:rFonts w:ascii="Times New Roman" w:eastAsia="Calibri" w:hAnsi="Times New Roman" w:cs="Times New Roman"/>
          <w:color w:val="000000" w:themeColor="text1"/>
          <w:sz w:val="24"/>
          <w:szCs w:val="24"/>
        </w:rPr>
        <w:t xml:space="preserve"> et al. (2017) research, highlighting that inadequate sanitation and limited access to fundamental healthcare can also escalate chieftaincy conflicts, particularly in fragile states. While these conflicts, though often detrimental, may yield positive effects on socio-political development by enhancing decision-making processes and fostering inter-ethnic unity (Bukari et al., 2016). The adverse impacts, such as the loss of life and property however, remain significant. It is imperative to enhance health services, especially for tribal populations, to effectively address these issues (Pinto, 2011). The economic repercussions of deficient water and sanitation, including heightened household expenses due to Water, Sanitation, and Hygiene (WATSAN)-related diseases, underscore the pressing need for improved access to these essential services (Jabeen et al., 2020).</w:t>
      </w:r>
    </w:p>
    <w:p w14:paraId="55D6F758" w14:textId="65EFE5D3"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It was revealed by the respondents that the fear of workers especially health workers to stay back to work because they risk of being killed at any time and also, the poisoning of water bodies are the components that are mostly and directly affect the health security of the people during the chieftaincy conflict in the municipality. A nurse admitted most of them do not stay at post during violent conflict situations and the few ones who are at post do not discharge their duties well due to the tension and lack of concentration thinking about the possible attacks. Participant </w:t>
      </w:r>
      <w:r w:rsidR="009023A4" w:rsidRPr="00E2630C">
        <w:rPr>
          <w:rFonts w:ascii="Times New Roman" w:hAnsi="Times New Roman" w:cs="Times New Roman"/>
          <w:color w:val="000000" w:themeColor="text1"/>
          <w:sz w:val="24"/>
          <w:szCs w:val="24"/>
        </w:rPr>
        <w:t xml:space="preserve">(a butcher) </w:t>
      </w:r>
      <w:r w:rsidRPr="00E2630C">
        <w:rPr>
          <w:rFonts w:ascii="Times New Roman" w:hAnsi="Times New Roman" w:cs="Times New Roman"/>
          <w:color w:val="000000" w:themeColor="text1"/>
          <w:sz w:val="24"/>
          <w:szCs w:val="24"/>
        </w:rPr>
        <w:t xml:space="preserve">in moody manner expressed: </w:t>
      </w:r>
    </w:p>
    <w:p w14:paraId="32DBBEF7" w14:textId="77777777" w:rsidR="00CD3724" w:rsidRPr="00E2630C" w:rsidRDefault="00CD3724" w:rsidP="00CD3724">
      <w:pPr>
        <w:spacing w:after="0" w:line="360" w:lineRule="auto"/>
        <w:jc w:val="both"/>
        <w:rPr>
          <w:rFonts w:ascii="Times New Roman" w:hAnsi="Times New Roman" w:cs="Times New Roman"/>
          <w:i/>
          <w:color w:val="000000" w:themeColor="text1"/>
          <w:sz w:val="24"/>
          <w:szCs w:val="24"/>
        </w:rPr>
      </w:pPr>
      <w:r w:rsidRPr="00E2630C">
        <w:rPr>
          <w:rFonts w:ascii="Times New Roman" w:hAnsi="Times New Roman" w:cs="Times New Roman"/>
          <w:i/>
          <w:color w:val="000000" w:themeColor="text1"/>
          <w:sz w:val="24"/>
          <w:szCs w:val="24"/>
        </w:rPr>
        <w:t>During the conflict, you cannot visit the hospital when you are sick or injured because the parties to the conflict mount various road blocks. Even if you manage to get there, the combatants will invade the hospital and search for supposed enemies and kill them. Before the conflict, my brother had an accident on his way back from Tamale and he was admitted here. The people from the other gate went to the hospital and picked him up. Till date, we have no knowledge about his whereabouts (A Respondents Remarks, 2023).</w:t>
      </w:r>
    </w:p>
    <w:p w14:paraId="3339D4F6" w14:textId="77777777" w:rsidR="00CD3724" w:rsidRPr="00E2630C" w:rsidRDefault="00CD3724" w:rsidP="00006F6D">
      <w:pPr>
        <w:pStyle w:val="NoSpacing"/>
      </w:pPr>
    </w:p>
    <w:p w14:paraId="4CABA2EE" w14:textId="5625339C" w:rsidR="00CD3724" w:rsidRPr="00E2630C" w:rsidRDefault="00CD3724" w:rsidP="00CD3724">
      <w:pPr>
        <w:spacing w:line="480" w:lineRule="auto"/>
        <w:jc w:val="both"/>
        <w:rPr>
          <w:rFonts w:ascii="Times New Roman" w:hAnsi="Times New Roman" w:cs="Times New Roman"/>
          <w:i/>
          <w:color w:val="000000" w:themeColor="text1"/>
          <w:sz w:val="24"/>
          <w:szCs w:val="24"/>
        </w:rPr>
      </w:pPr>
      <w:r w:rsidRPr="00E2630C">
        <w:rPr>
          <w:rFonts w:ascii="Times New Roman" w:hAnsi="Times New Roman" w:cs="Times New Roman"/>
          <w:i/>
          <w:color w:val="000000" w:themeColor="text1"/>
          <w:sz w:val="24"/>
          <w:szCs w:val="24"/>
        </w:rPr>
        <w:t xml:space="preserve">At the time of the conflict in the area, people had no option to choose their preferred food. They only eat what comes their way, and some of them even died out of hunger. In our house, we were only </w:t>
      </w:r>
      <w:r w:rsidRPr="00E2630C">
        <w:rPr>
          <w:rFonts w:ascii="Times New Roman" w:hAnsi="Times New Roman" w:cs="Times New Roman"/>
          <w:i/>
          <w:color w:val="000000" w:themeColor="text1"/>
          <w:sz w:val="24"/>
          <w:szCs w:val="24"/>
        </w:rPr>
        <w:tab/>
        <w:t>fed on reserved mangoes. To be able to protect your life, you have to stay indoors for days without sufficient food. (Respondent Remark, 2022)</w:t>
      </w:r>
    </w:p>
    <w:p w14:paraId="6F965BD3" w14:textId="7F4A675C" w:rsidR="00CD3724" w:rsidRPr="00E2630C" w:rsidRDefault="00CD3724" w:rsidP="00CD3724">
      <w:pPr>
        <w:spacing w:line="480" w:lineRule="auto"/>
        <w:jc w:val="both"/>
        <w:rPr>
          <w:rFonts w:ascii="Times New Roman" w:hAnsi="Times New Roman" w:cs="Times New Roman"/>
          <w:i/>
          <w:color w:val="000000" w:themeColor="text1"/>
          <w:sz w:val="24"/>
          <w:szCs w:val="24"/>
        </w:rPr>
      </w:pPr>
      <w:r w:rsidRPr="00E2630C">
        <w:rPr>
          <w:rFonts w:ascii="Times New Roman" w:hAnsi="Times New Roman" w:cs="Times New Roman"/>
          <w:i/>
          <w:color w:val="000000" w:themeColor="text1"/>
          <w:sz w:val="24"/>
          <w:szCs w:val="24"/>
        </w:rPr>
        <w:t xml:space="preserve">A friend's daughter was seriously sick. After delaying for hours, we finally had the escort of police to the municipal hospital for treatment but she finally died. It was revealed to us later that she was lacking most of the nutrients and the delay also contributed to her death. I am preparing to leave this community with my family because we don’t know when this whole thing will start again. Whenever you see people having meeting upon meetings, you just have to forecast an impending conflict and </w:t>
      </w:r>
      <w:r w:rsidR="004966BB" w:rsidRPr="00E2630C">
        <w:rPr>
          <w:rFonts w:ascii="Times New Roman" w:hAnsi="Times New Roman" w:cs="Times New Roman"/>
          <w:i/>
          <w:color w:val="000000" w:themeColor="text1"/>
          <w:sz w:val="24"/>
          <w:szCs w:val="24"/>
        </w:rPr>
        <w:t>I’</w:t>
      </w:r>
      <w:r w:rsidRPr="00E2630C">
        <w:rPr>
          <w:rFonts w:ascii="Times New Roman" w:hAnsi="Times New Roman" w:cs="Times New Roman"/>
          <w:i/>
          <w:color w:val="000000" w:themeColor="text1"/>
          <w:sz w:val="24"/>
          <w:szCs w:val="24"/>
        </w:rPr>
        <w:t>m seeing that now’’. (Respondent Remark, 2022)</w:t>
      </w:r>
    </w:p>
    <w:p w14:paraId="764DA5E9" w14:textId="6022C805" w:rsidR="00CD3724" w:rsidRPr="00E2630C" w:rsidRDefault="00CD3724" w:rsidP="00CD3724">
      <w:pPr>
        <w:tabs>
          <w:tab w:val="left" w:pos="6098"/>
        </w:tabs>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iCs/>
          <w:color w:val="000000" w:themeColor="text1"/>
          <w:sz w:val="24"/>
          <w:szCs w:val="24"/>
        </w:rPr>
        <w:lastRenderedPageBreak/>
        <w:t>These narratives accentuate the effects of the conflict on the heath of the people.  Buttressing</w:t>
      </w:r>
      <w:r w:rsidRPr="00E2630C">
        <w:rPr>
          <w:rFonts w:ascii="Times New Roman" w:hAnsi="Times New Roman" w:cs="Times New Roman"/>
          <w:color w:val="000000" w:themeColor="text1"/>
          <w:sz w:val="24"/>
          <w:szCs w:val="24"/>
        </w:rPr>
        <w:t xml:space="preserve"> the above, a representative from the health directorate also made it clear to the researcher that, the conflicts in the northern region in general have affected most of the health systems and facilities. He indicated that during the conflict, everything in the municipality came to a standstill and sometimes when they requested medical equipment from the regional level, they were either declined or received less that the requested numbers. This according to the participant tends to affect the operations of the health cent</w:t>
      </w:r>
      <w:r w:rsidR="004966BB" w:rsidRPr="00E2630C">
        <w:rPr>
          <w:rFonts w:ascii="Times New Roman" w:hAnsi="Times New Roman" w:cs="Times New Roman"/>
          <w:color w:val="000000" w:themeColor="text1"/>
          <w:sz w:val="24"/>
          <w:szCs w:val="24"/>
        </w:rPr>
        <w:t>re</w:t>
      </w:r>
      <w:r w:rsidRPr="00E2630C">
        <w:rPr>
          <w:rFonts w:ascii="Times New Roman" w:hAnsi="Times New Roman" w:cs="Times New Roman"/>
          <w:color w:val="000000" w:themeColor="text1"/>
          <w:sz w:val="24"/>
          <w:szCs w:val="24"/>
        </w:rPr>
        <w:t>s in the municipality. He expressed that if not because of the conflict in the municipality, some referral cases could be treated here in the municipality but are rather transferred to Tamale due to the lack of this equipment in the municipal hospital. He indicated that a machine was requested to be sent to the hospital for some special surgeries and they were denied because of the conflict in the area.</w:t>
      </w:r>
    </w:p>
    <w:p w14:paraId="1BE2CA04"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research findings confirm UNDP’s (2012) report on conflict mapping in northern Ghana. The report revealed that conflicts divert scarce resources from development to security, leading to a deterioration of health facilities and services in the region. The study further highlighted that during conflicts, heavy loss of life, injury to affected and innocent bystanders, and destruction of property occur, leading to a decrease in the availability of medical personnel and resources. AGI's (2014) research in Mali and Nigeria revealed that conflict-induced insecurity disrupted development projects, leading to reduced access to healthcare and public health interventions.</w:t>
      </w:r>
    </w:p>
    <w:p w14:paraId="666CC45B" w14:textId="32F70F8D" w:rsidR="00CD3724" w:rsidRPr="00E2630C" w:rsidRDefault="00CD3724" w:rsidP="00CD3724">
      <w:pPr>
        <w:tabs>
          <w:tab w:val="left" w:pos="6098"/>
        </w:tabs>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Aside of the diversification of the resources and the disruption of development as revealed by the existing literature</w:t>
      </w:r>
      <w:r w:rsidR="009023A4" w:rsidRPr="00E2630C">
        <w:rPr>
          <w:rFonts w:ascii="Times New Roman" w:hAnsi="Times New Roman" w:cs="Times New Roman"/>
          <w:color w:val="000000" w:themeColor="text1"/>
          <w:sz w:val="24"/>
          <w:szCs w:val="24"/>
        </w:rPr>
        <w:t xml:space="preserve"> (AGI, 2014;UNDP, 2012)</w:t>
      </w:r>
      <w:r w:rsidRPr="00E2630C">
        <w:rPr>
          <w:rFonts w:ascii="Times New Roman" w:hAnsi="Times New Roman" w:cs="Times New Roman"/>
          <w:color w:val="000000" w:themeColor="text1"/>
          <w:sz w:val="24"/>
          <w:szCs w:val="24"/>
        </w:rPr>
        <w:t xml:space="preserve">, results from the current study revealed that the effects of the chieftaincy conflict on health is complicated by the pollution of water bodies and refusal of health personnel to accept postings to the municipality and the transfer of some health officials to other safe regions. The police </w:t>
      </w:r>
      <w:r w:rsidRPr="00E2630C">
        <w:rPr>
          <w:rFonts w:ascii="Times New Roman" w:hAnsi="Times New Roman" w:cs="Times New Roman"/>
          <w:color w:val="000000" w:themeColor="text1"/>
          <w:sz w:val="24"/>
          <w:szCs w:val="24"/>
        </w:rPr>
        <w:lastRenderedPageBreak/>
        <w:t>and the personnel from the health directorate confirmed reported cases of water poisoning.</w:t>
      </w:r>
    </w:p>
    <w:p w14:paraId="75B5CD25" w14:textId="21BB7530" w:rsidR="00CD3724" w:rsidRPr="00E2630C" w:rsidRDefault="009023A4" w:rsidP="00CD3724">
      <w:pPr>
        <w:tabs>
          <w:tab w:val="left" w:pos="6098"/>
        </w:tabs>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Addah and Zezebi (2008) </w:t>
      </w:r>
      <w:r w:rsidR="00CD3724" w:rsidRPr="00E2630C">
        <w:rPr>
          <w:rFonts w:ascii="Times New Roman" w:hAnsi="Times New Roman" w:cs="Times New Roman"/>
          <w:color w:val="000000" w:themeColor="text1"/>
          <w:sz w:val="24"/>
          <w:szCs w:val="24"/>
        </w:rPr>
        <w:t xml:space="preserve">study earlier revealed a similar finding which showed that </w:t>
      </w:r>
      <w:r w:rsidR="00006F6D" w:rsidRPr="00E2630C">
        <w:rPr>
          <w:rFonts w:ascii="Times New Roman" w:hAnsi="Times New Roman" w:cs="Times New Roman"/>
          <w:color w:val="000000" w:themeColor="text1"/>
          <w:sz w:val="24"/>
          <w:szCs w:val="24"/>
        </w:rPr>
        <w:t>before the war between the Konkombas and the</w:t>
      </w:r>
      <w:r w:rsidR="00CD3724" w:rsidRPr="00E2630C">
        <w:rPr>
          <w:rFonts w:ascii="Times New Roman" w:hAnsi="Times New Roman" w:cs="Times New Roman"/>
          <w:color w:val="000000" w:themeColor="text1"/>
          <w:sz w:val="24"/>
          <w:szCs w:val="24"/>
        </w:rPr>
        <w:t xml:space="preserve">  Nanumbas  in  1994 in Ghana,  every household  owned  livestock.  However, during the conflict, the livestock feed and water resources were poisoned or d</w:t>
      </w:r>
      <w:r w:rsidRPr="00E2630C">
        <w:rPr>
          <w:rFonts w:ascii="Times New Roman" w:hAnsi="Times New Roman" w:cs="Times New Roman"/>
          <w:color w:val="000000" w:themeColor="text1"/>
          <w:sz w:val="24"/>
          <w:szCs w:val="24"/>
        </w:rPr>
        <w:t>estroyed. T</w:t>
      </w:r>
      <w:r w:rsidR="00CD3724" w:rsidRPr="00E2630C">
        <w:rPr>
          <w:rFonts w:ascii="Times New Roman" w:hAnsi="Times New Roman" w:cs="Times New Roman"/>
          <w:color w:val="000000" w:themeColor="text1"/>
          <w:sz w:val="24"/>
          <w:szCs w:val="24"/>
        </w:rPr>
        <w:t xml:space="preserve">heir study further found that, livestock were either stolen or indiscriminately killed or starved to death.  The data further indicated that after the conflict had subsided, 23% of households could not own any cattle, 16% could not own any sheep, 12% could not own any goats, and 21% could not own any poultry. These revelations suggest that violent conflicts have untold effects on the human security dimension of persons. </w:t>
      </w:r>
    </w:p>
    <w:p w14:paraId="5A8BE878" w14:textId="77777777" w:rsidR="00CD3724" w:rsidRPr="00E2630C" w:rsidRDefault="00CD3724" w:rsidP="00006F6D">
      <w:pPr>
        <w:pStyle w:val="NoSpacing"/>
      </w:pPr>
    </w:p>
    <w:p w14:paraId="44623051" w14:textId="77777777" w:rsidR="00CD3724" w:rsidRPr="00E2630C" w:rsidRDefault="00CD3724" w:rsidP="00006F6D">
      <w:pPr>
        <w:pStyle w:val="Heading2"/>
      </w:pPr>
      <w:bookmarkStart w:id="118" w:name="_Toc182386281"/>
      <w:r w:rsidRPr="00E2630C">
        <w:t>4.4 Objective Four: Chieftaincy Conflict and Environmental Security in Bimbilla</w:t>
      </w:r>
      <w:bookmarkEnd w:id="118"/>
    </w:p>
    <w:p w14:paraId="05E45C69" w14:textId="5E84915F" w:rsidR="00CD3724" w:rsidRPr="00E2630C" w:rsidRDefault="00CD3724" w:rsidP="00CD3724">
      <w:pPr>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According to Reiterer (2015), the environment is conceptualised as the source where people derive minerals, energy, food, fib</w:t>
      </w:r>
      <w:r w:rsidR="004966BB" w:rsidRPr="00E2630C">
        <w:rPr>
          <w:rFonts w:ascii="Times New Roman" w:hAnsi="Times New Roman" w:cs="Times New Roman"/>
          <w:color w:val="000000" w:themeColor="text1"/>
          <w:sz w:val="24"/>
          <w:szCs w:val="24"/>
        </w:rPr>
        <w:t>re</w:t>
      </w:r>
      <w:r w:rsidRPr="00E2630C">
        <w:rPr>
          <w:rFonts w:ascii="Times New Roman" w:hAnsi="Times New Roman" w:cs="Times New Roman"/>
          <w:color w:val="000000" w:themeColor="text1"/>
          <w:sz w:val="24"/>
          <w:szCs w:val="24"/>
        </w:rPr>
        <w:t xml:space="preserve">s, and other natural resources of use in economic activity. The environment, the world around us, is </w:t>
      </w:r>
      <w:r w:rsidR="00B27F74" w:rsidRPr="00E2630C">
        <w:rPr>
          <w:rFonts w:ascii="Times New Roman" w:hAnsi="Times New Roman" w:cs="Times New Roman"/>
          <w:color w:val="000000" w:themeColor="text1"/>
          <w:sz w:val="24"/>
          <w:szCs w:val="24"/>
        </w:rPr>
        <w:t xml:space="preserve">envisaged as </w:t>
      </w:r>
      <w:r w:rsidRPr="00E2630C">
        <w:rPr>
          <w:rFonts w:ascii="Times New Roman" w:hAnsi="Times New Roman" w:cs="Times New Roman"/>
          <w:color w:val="000000" w:themeColor="text1"/>
          <w:sz w:val="24"/>
          <w:szCs w:val="24"/>
        </w:rPr>
        <w:t xml:space="preserve">a critical component of human existence (Marfo et al., 2019). </w:t>
      </w:r>
      <w:r w:rsidR="00B27F74" w:rsidRPr="00E2630C">
        <w:rPr>
          <w:rFonts w:ascii="Times New Roman" w:hAnsi="Times New Roman" w:cs="Times New Roman"/>
          <w:color w:val="000000" w:themeColor="text1"/>
          <w:sz w:val="24"/>
          <w:szCs w:val="24"/>
        </w:rPr>
        <w:t>O</w:t>
      </w:r>
      <w:r w:rsidRPr="00E2630C">
        <w:rPr>
          <w:rFonts w:ascii="Times New Roman" w:hAnsi="Times New Roman" w:cs="Times New Roman"/>
          <w:color w:val="000000" w:themeColor="text1"/>
          <w:sz w:val="24"/>
          <w:szCs w:val="24"/>
        </w:rPr>
        <w:t>bjective four of the study examines the relationship between chieftaincy conflicts and environmental security. This was necessary because as found by AGI (2014), conflicts often result in environmental degradation due to factors such as deforestation, land degradation, and pollution amidst weakening security governance. The results from the data have been presented in Tables 4.7 and 4.8 respectively.</w:t>
      </w:r>
    </w:p>
    <w:p w14:paraId="24B9D87A" w14:textId="77777777" w:rsidR="00CD3724" w:rsidRPr="00E2630C" w:rsidRDefault="00CD3724" w:rsidP="00CD3724">
      <w:pPr>
        <w:spacing w:after="0" w:line="480" w:lineRule="auto"/>
        <w:jc w:val="both"/>
        <w:rPr>
          <w:rFonts w:ascii="Times New Roman" w:hAnsi="Times New Roman" w:cs="Times New Roman"/>
          <w:color w:val="000000" w:themeColor="text1"/>
          <w:sz w:val="24"/>
          <w:szCs w:val="24"/>
        </w:rPr>
      </w:pPr>
    </w:p>
    <w:p w14:paraId="15AB8753" w14:textId="77777777" w:rsidR="00CD3724" w:rsidRDefault="00CD3724" w:rsidP="00CD3724">
      <w:pPr>
        <w:spacing w:after="0" w:line="480" w:lineRule="auto"/>
        <w:jc w:val="both"/>
        <w:rPr>
          <w:rFonts w:ascii="Times New Roman" w:hAnsi="Times New Roman" w:cs="Times New Roman"/>
          <w:color w:val="000000" w:themeColor="text1"/>
          <w:sz w:val="24"/>
          <w:szCs w:val="24"/>
        </w:rPr>
      </w:pPr>
    </w:p>
    <w:p w14:paraId="0F141D71" w14:textId="77777777" w:rsidR="00DA40B4" w:rsidRDefault="00DA40B4" w:rsidP="00CD3724">
      <w:pPr>
        <w:spacing w:after="0" w:line="480" w:lineRule="auto"/>
        <w:jc w:val="both"/>
        <w:rPr>
          <w:rFonts w:ascii="Times New Roman" w:hAnsi="Times New Roman" w:cs="Times New Roman"/>
          <w:color w:val="000000" w:themeColor="text1"/>
          <w:sz w:val="24"/>
          <w:szCs w:val="24"/>
        </w:rPr>
        <w:sectPr w:rsidR="00DA40B4" w:rsidSect="00DA40B4">
          <w:type w:val="continuous"/>
          <w:pgSz w:w="11906" w:h="16838" w:code="9"/>
          <w:pgMar w:top="1440" w:right="1440" w:bottom="1440" w:left="2160" w:header="706" w:footer="706" w:gutter="0"/>
          <w:cols w:space="708"/>
          <w:docGrid w:linePitch="360"/>
        </w:sectPr>
      </w:pPr>
    </w:p>
    <w:p w14:paraId="08B279DE" w14:textId="7EB8B567" w:rsidR="00006F6D" w:rsidRPr="00E2630C" w:rsidRDefault="00006F6D" w:rsidP="00CD3724">
      <w:pPr>
        <w:spacing w:after="0" w:line="480" w:lineRule="auto"/>
        <w:jc w:val="both"/>
        <w:rPr>
          <w:rFonts w:ascii="Times New Roman" w:hAnsi="Times New Roman" w:cs="Times New Roman"/>
          <w:color w:val="000000" w:themeColor="text1"/>
          <w:sz w:val="24"/>
          <w:szCs w:val="24"/>
        </w:rPr>
        <w:sectPr w:rsidR="00006F6D" w:rsidRPr="00E2630C" w:rsidSect="00DA40B4">
          <w:type w:val="continuous"/>
          <w:pgSz w:w="16838" w:h="11906" w:orient="landscape" w:code="9"/>
          <w:pgMar w:top="1440" w:right="1440" w:bottom="2160" w:left="1440" w:header="706" w:footer="706" w:gutter="0"/>
          <w:cols w:space="708"/>
          <w:docGrid w:linePitch="360"/>
        </w:sectPr>
      </w:pPr>
    </w:p>
    <w:p w14:paraId="41FA004E" w14:textId="36C11F4E" w:rsidR="00CD3724" w:rsidRPr="00E2630C" w:rsidRDefault="00CD3724" w:rsidP="00006F6D">
      <w:pPr>
        <w:pStyle w:val="Heading6"/>
      </w:pPr>
      <w:bookmarkStart w:id="119" w:name="_Toc182386325"/>
      <w:r w:rsidRPr="00E2630C">
        <w:t xml:space="preserve">Table 4.7: </w:t>
      </w:r>
      <w:r w:rsidR="003C3A39" w:rsidRPr="00006F6D">
        <w:t>Perceptions</w:t>
      </w:r>
      <w:r w:rsidR="003C3A39" w:rsidRPr="00E2630C">
        <w:t xml:space="preserve"> of The Impact of Chieftaincy Conflicts on Environmental Security</w:t>
      </w:r>
      <w:bookmarkEnd w:id="119"/>
    </w:p>
    <w:p w14:paraId="2EEA9531" w14:textId="77777777" w:rsidR="00CD3724" w:rsidRPr="00E2630C" w:rsidRDefault="00CD3724" w:rsidP="00CD3724">
      <w:pPr>
        <w:rPr>
          <w:rFonts w:ascii="Times New Roman" w:hAnsi="Times New Roman" w:cs="Times New Roman"/>
          <w:color w:val="000000" w:themeColor="text1"/>
          <w:sz w:val="24"/>
          <w:szCs w:val="24"/>
        </w:rPr>
      </w:pPr>
    </w:p>
    <w:tbl>
      <w:tblPr>
        <w:tblStyle w:val="TableGrid"/>
        <w:tblW w:w="1359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18"/>
        <w:gridCol w:w="1835"/>
        <w:gridCol w:w="1697"/>
        <w:gridCol w:w="1697"/>
        <w:gridCol w:w="1697"/>
        <w:gridCol w:w="1697"/>
        <w:gridCol w:w="1102"/>
        <w:gridCol w:w="1652"/>
      </w:tblGrid>
      <w:tr w:rsidR="002D25B6" w:rsidRPr="00E2630C" w14:paraId="0693EEB0" w14:textId="77777777" w:rsidTr="003315F5">
        <w:trPr>
          <w:trHeight w:val="980"/>
        </w:trPr>
        <w:tc>
          <w:tcPr>
            <w:tcW w:w="2218" w:type="dxa"/>
            <w:tcBorders>
              <w:bottom w:val="nil"/>
            </w:tcBorders>
          </w:tcPr>
          <w:p w14:paraId="786A3F01" w14:textId="77777777" w:rsidR="00CD3724" w:rsidRPr="00E2630C" w:rsidRDefault="00CD3724" w:rsidP="003315F5">
            <w:pPr>
              <w:rPr>
                <w:rFonts w:ascii="Times New Roman" w:hAnsi="Times New Roman" w:cs="Times New Roman"/>
                <w:b/>
                <w:bCs/>
                <w:color w:val="000000" w:themeColor="text1"/>
                <w:sz w:val="24"/>
                <w:szCs w:val="24"/>
              </w:rPr>
            </w:pPr>
            <w:bookmarkStart w:id="120" w:name="_Hlk152530291"/>
            <w:r w:rsidRPr="00E2630C">
              <w:rPr>
                <w:rFonts w:ascii="Times New Roman" w:hAnsi="Times New Roman" w:cs="Times New Roman"/>
                <w:b/>
                <w:bCs/>
                <w:color w:val="000000" w:themeColor="text1"/>
                <w:sz w:val="24"/>
                <w:szCs w:val="24"/>
              </w:rPr>
              <w:t>The extent to</w:t>
            </w:r>
          </w:p>
        </w:tc>
        <w:tc>
          <w:tcPr>
            <w:tcW w:w="1835" w:type="dxa"/>
            <w:tcBorders>
              <w:bottom w:val="nil"/>
            </w:tcBorders>
          </w:tcPr>
          <w:p w14:paraId="1F001123"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Very</w:t>
            </w:r>
          </w:p>
        </w:tc>
        <w:tc>
          <w:tcPr>
            <w:tcW w:w="1697" w:type="dxa"/>
            <w:tcBorders>
              <w:bottom w:val="nil"/>
            </w:tcBorders>
          </w:tcPr>
          <w:p w14:paraId="609E2449"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High</w:t>
            </w:r>
          </w:p>
        </w:tc>
        <w:tc>
          <w:tcPr>
            <w:tcW w:w="1697" w:type="dxa"/>
            <w:tcBorders>
              <w:bottom w:val="nil"/>
            </w:tcBorders>
          </w:tcPr>
          <w:p w14:paraId="2DE2E3AE"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Very</w:t>
            </w:r>
          </w:p>
        </w:tc>
        <w:tc>
          <w:tcPr>
            <w:tcW w:w="1697" w:type="dxa"/>
            <w:tcBorders>
              <w:bottom w:val="nil"/>
            </w:tcBorders>
          </w:tcPr>
          <w:p w14:paraId="744557E9"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Low</w:t>
            </w:r>
          </w:p>
        </w:tc>
        <w:tc>
          <w:tcPr>
            <w:tcW w:w="1697" w:type="dxa"/>
            <w:tcBorders>
              <w:bottom w:val="nil"/>
            </w:tcBorders>
          </w:tcPr>
          <w:p w14:paraId="234A6D59"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Never</w:t>
            </w:r>
          </w:p>
        </w:tc>
        <w:tc>
          <w:tcPr>
            <w:tcW w:w="1102" w:type="dxa"/>
            <w:tcBorders>
              <w:bottom w:val="nil"/>
            </w:tcBorders>
          </w:tcPr>
          <w:p w14:paraId="7951B1CA"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Mean</w:t>
            </w:r>
          </w:p>
        </w:tc>
        <w:tc>
          <w:tcPr>
            <w:tcW w:w="1652" w:type="dxa"/>
            <w:tcBorders>
              <w:bottom w:val="nil"/>
            </w:tcBorders>
          </w:tcPr>
          <w:p w14:paraId="4E1E9701"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Standard Deviation</w:t>
            </w:r>
          </w:p>
        </w:tc>
      </w:tr>
      <w:tr w:rsidR="002D25B6" w:rsidRPr="00E2630C" w14:paraId="7B03A8D3" w14:textId="77777777" w:rsidTr="003315F5">
        <w:trPr>
          <w:trHeight w:val="450"/>
        </w:trPr>
        <w:tc>
          <w:tcPr>
            <w:tcW w:w="2218" w:type="dxa"/>
            <w:tcBorders>
              <w:top w:val="nil"/>
              <w:bottom w:val="nil"/>
            </w:tcBorders>
          </w:tcPr>
          <w:p w14:paraId="743889EF" w14:textId="77777777" w:rsidR="00CD3724" w:rsidRPr="00E2630C" w:rsidRDefault="00CD3724" w:rsidP="003315F5">
            <w:pP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which the</w:t>
            </w:r>
          </w:p>
        </w:tc>
        <w:tc>
          <w:tcPr>
            <w:tcW w:w="1835" w:type="dxa"/>
            <w:tcBorders>
              <w:top w:val="nil"/>
              <w:bottom w:val="nil"/>
            </w:tcBorders>
          </w:tcPr>
          <w:p w14:paraId="38109846"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High</w:t>
            </w:r>
          </w:p>
        </w:tc>
        <w:tc>
          <w:tcPr>
            <w:tcW w:w="1697" w:type="dxa"/>
            <w:tcBorders>
              <w:top w:val="nil"/>
              <w:bottom w:val="nil"/>
            </w:tcBorders>
          </w:tcPr>
          <w:p w14:paraId="6FAE9868" w14:textId="77777777" w:rsidR="00CD3724" w:rsidRPr="00E2630C" w:rsidRDefault="00CD3724" w:rsidP="003315F5">
            <w:pPr>
              <w:jc w:val="center"/>
              <w:rPr>
                <w:rFonts w:ascii="Times New Roman" w:hAnsi="Times New Roman" w:cs="Times New Roman"/>
                <w:b/>
                <w:bCs/>
                <w:color w:val="000000" w:themeColor="text1"/>
                <w:sz w:val="24"/>
                <w:szCs w:val="24"/>
              </w:rPr>
            </w:pPr>
          </w:p>
        </w:tc>
        <w:tc>
          <w:tcPr>
            <w:tcW w:w="1697" w:type="dxa"/>
            <w:tcBorders>
              <w:top w:val="nil"/>
              <w:bottom w:val="nil"/>
            </w:tcBorders>
          </w:tcPr>
          <w:p w14:paraId="1819CBF7"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Low</w:t>
            </w:r>
          </w:p>
        </w:tc>
        <w:tc>
          <w:tcPr>
            <w:tcW w:w="1697" w:type="dxa"/>
            <w:tcBorders>
              <w:top w:val="nil"/>
              <w:bottom w:val="nil"/>
            </w:tcBorders>
          </w:tcPr>
          <w:p w14:paraId="30B271B6" w14:textId="77777777" w:rsidR="00CD3724" w:rsidRPr="00E2630C" w:rsidRDefault="00CD3724" w:rsidP="003315F5">
            <w:pPr>
              <w:jc w:val="center"/>
              <w:rPr>
                <w:rFonts w:ascii="Times New Roman" w:hAnsi="Times New Roman" w:cs="Times New Roman"/>
                <w:b/>
                <w:bCs/>
                <w:color w:val="000000" w:themeColor="text1"/>
                <w:sz w:val="24"/>
                <w:szCs w:val="24"/>
              </w:rPr>
            </w:pPr>
          </w:p>
        </w:tc>
        <w:tc>
          <w:tcPr>
            <w:tcW w:w="1697" w:type="dxa"/>
            <w:tcBorders>
              <w:top w:val="nil"/>
              <w:bottom w:val="nil"/>
            </w:tcBorders>
          </w:tcPr>
          <w:p w14:paraId="48C128AF" w14:textId="77777777" w:rsidR="00CD3724" w:rsidRPr="00E2630C" w:rsidRDefault="00CD3724" w:rsidP="003315F5">
            <w:pPr>
              <w:jc w:val="center"/>
              <w:rPr>
                <w:rFonts w:ascii="Times New Roman" w:hAnsi="Times New Roman" w:cs="Times New Roman"/>
                <w:b/>
                <w:bCs/>
                <w:color w:val="000000" w:themeColor="text1"/>
                <w:sz w:val="24"/>
                <w:szCs w:val="24"/>
              </w:rPr>
            </w:pPr>
          </w:p>
        </w:tc>
        <w:tc>
          <w:tcPr>
            <w:tcW w:w="1102" w:type="dxa"/>
            <w:tcBorders>
              <w:top w:val="nil"/>
              <w:bottom w:val="nil"/>
            </w:tcBorders>
          </w:tcPr>
          <w:p w14:paraId="3542AC0C" w14:textId="77777777" w:rsidR="00CD3724" w:rsidRPr="00E2630C" w:rsidRDefault="00CD3724" w:rsidP="003315F5">
            <w:pPr>
              <w:jc w:val="center"/>
              <w:rPr>
                <w:rFonts w:ascii="Times New Roman" w:hAnsi="Times New Roman" w:cs="Times New Roman"/>
                <w:b/>
                <w:bCs/>
                <w:color w:val="000000" w:themeColor="text1"/>
                <w:sz w:val="24"/>
                <w:szCs w:val="24"/>
              </w:rPr>
            </w:pPr>
          </w:p>
        </w:tc>
        <w:tc>
          <w:tcPr>
            <w:tcW w:w="1652" w:type="dxa"/>
            <w:tcBorders>
              <w:top w:val="nil"/>
              <w:bottom w:val="nil"/>
            </w:tcBorders>
          </w:tcPr>
          <w:p w14:paraId="59CF2678" w14:textId="77777777" w:rsidR="00CD3724" w:rsidRPr="00E2630C" w:rsidRDefault="00CD3724" w:rsidP="003315F5">
            <w:pPr>
              <w:jc w:val="center"/>
              <w:rPr>
                <w:rFonts w:ascii="Times New Roman" w:hAnsi="Times New Roman" w:cs="Times New Roman"/>
                <w:b/>
                <w:bCs/>
                <w:color w:val="000000" w:themeColor="text1"/>
                <w:sz w:val="24"/>
                <w:szCs w:val="24"/>
              </w:rPr>
            </w:pPr>
          </w:p>
        </w:tc>
      </w:tr>
      <w:tr w:rsidR="002D25B6" w:rsidRPr="00E2630C" w14:paraId="6A85BD51" w14:textId="77777777" w:rsidTr="003315F5">
        <w:trPr>
          <w:trHeight w:val="477"/>
        </w:trPr>
        <w:tc>
          <w:tcPr>
            <w:tcW w:w="2218" w:type="dxa"/>
            <w:tcBorders>
              <w:top w:val="nil"/>
              <w:bottom w:val="single" w:sz="4" w:space="0" w:color="auto"/>
            </w:tcBorders>
          </w:tcPr>
          <w:p w14:paraId="5670A1AF" w14:textId="77777777" w:rsidR="00CD3724" w:rsidRPr="00E2630C" w:rsidRDefault="00CD3724" w:rsidP="003315F5">
            <w:pP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conflicts led to</w:t>
            </w:r>
          </w:p>
        </w:tc>
        <w:tc>
          <w:tcPr>
            <w:tcW w:w="1835" w:type="dxa"/>
            <w:tcBorders>
              <w:top w:val="nil"/>
              <w:bottom w:val="single" w:sz="4" w:space="0" w:color="auto"/>
            </w:tcBorders>
          </w:tcPr>
          <w:p w14:paraId="39F79A4E"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t>
            </w:r>
          </w:p>
        </w:tc>
        <w:tc>
          <w:tcPr>
            <w:tcW w:w="1697" w:type="dxa"/>
            <w:tcBorders>
              <w:top w:val="nil"/>
              <w:bottom w:val="single" w:sz="4" w:space="0" w:color="auto"/>
            </w:tcBorders>
          </w:tcPr>
          <w:p w14:paraId="6AE7731B"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t>
            </w:r>
          </w:p>
        </w:tc>
        <w:tc>
          <w:tcPr>
            <w:tcW w:w="1697" w:type="dxa"/>
            <w:tcBorders>
              <w:top w:val="nil"/>
              <w:bottom w:val="single" w:sz="4" w:space="0" w:color="auto"/>
            </w:tcBorders>
          </w:tcPr>
          <w:p w14:paraId="4C37CBAB"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t>
            </w:r>
          </w:p>
        </w:tc>
        <w:tc>
          <w:tcPr>
            <w:tcW w:w="1697" w:type="dxa"/>
            <w:tcBorders>
              <w:top w:val="nil"/>
              <w:bottom w:val="single" w:sz="4" w:space="0" w:color="auto"/>
            </w:tcBorders>
          </w:tcPr>
          <w:p w14:paraId="138D3883"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t>
            </w:r>
          </w:p>
        </w:tc>
        <w:tc>
          <w:tcPr>
            <w:tcW w:w="1697" w:type="dxa"/>
            <w:tcBorders>
              <w:top w:val="nil"/>
              <w:bottom w:val="single" w:sz="4" w:space="0" w:color="auto"/>
            </w:tcBorders>
          </w:tcPr>
          <w:p w14:paraId="2BBDC7D1"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t>
            </w:r>
          </w:p>
        </w:tc>
        <w:tc>
          <w:tcPr>
            <w:tcW w:w="1102" w:type="dxa"/>
            <w:tcBorders>
              <w:top w:val="nil"/>
              <w:bottom w:val="single" w:sz="4" w:space="0" w:color="auto"/>
            </w:tcBorders>
          </w:tcPr>
          <w:p w14:paraId="2AA768AE" w14:textId="77777777" w:rsidR="00CD3724" w:rsidRPr="00E2630C" w:rsidRDefault="00CD3724" w:rsidP="003315F5">
            <w:pPr>
              <w:jc w:val="center"/>
              <w:rPr>
                <w:rFonts w:ascii="Times New Roman" w:hAnsi="Times New Roman" w:cs="Times New Roman"/>
                <w:b/>
                <w:bCs/>
                <w:color w:val="000000" w:themeColor="text1"/>
                <w:sz w:val="24"/>
                <w:szCs w:val="24"/>
              </w:rPr>
            </w:pPr>
          </w:p>
        </w:tc>
        <w:tc>
          <w:tcPr>
            <w:tcW w:w="1652" w:type="dxa"/>
            <w:tcBorders>
              <w:top w:val="nil"/>
              <w:bottom w:val="single" w:sz="4" w:space="0" w:color="auto"/>
            </w:tcBorders>
          </w:tcPr>
          <w:p w14:paraId="7367A72F" w14:textId="77777777" w:rsidR="00CD3724" w:rsidRPr="00E2630C" w:rsidRDefault="00CD3724" w:rsidP="003315F5">
            <w:pPr>
              <w:jc w:val="center"/>
              <w:rPr>
                <w:rFonts w:ascii="Times New Roman" w:hAnsi="Times New Roman" w:cs="Times New Roman"/>
                <w:b/>
                <w:bCs/>
                <w:color w:val="000000" w:themeColor="text1"/>
                <w:sz w:val="24"/>
                <w:szCs w:val="24"/>
              </w:rPr>
            </w:pPr>
          </w:p>
        </w:tc>
      </w:tr>
      <w:tr w:rsidR="002D25B6" w:rsidRPr="00E2630C" w14:paraId="320457B4" w14:textId="77777777" w:rsidTr="003315F5">
        <w:trPr>
          <w:trHeight w:val="989"/>
        </w:trPr>
        <w:tc>
          <w:tcPr>
            <w:tcW w:w="2218" w:type="dxa"/>
            <w:tcBorders>
              <w:top w:val="single" w:sz="4" w:space="0" w:color="auto"/>
            </w:tcBorders>
          </w:tcPr>
          <w:p w14:paraId="27BCC763" w14:textId="77777777" w:rsidR="00CD3724" w:rsidRPr="00E2630C" w:rsidRDefault="00CD3724" w:rsidP="003315F5">
            <w:pPr>
              <w:spacing w:line="360" w:lineRule="auto"/>
              <w:rPr>
                <w:rFonts w:ascii="Times New Roman" w:hAnsi="Times New Roman" w:cs="Times New Roman"/>
                <w:b/>
                <w:bCs/>
                <w:color w:val="000000" w:themeColor="text1"/>
                <w:sz w:val="24"/>
                <w:szCs w:val="24"/>
              </w:rPr>
            </w:pPr>
            <w:r w:rsidRPr="00E2630C">
              <w:rPr>
                <w:rFonts w:ascii="Times New Roman" w:hAnsi="Times New Roman" w:cs="Times New Roman"/>
                <w:color w:val="000000" w:themeColor="text1"/>
                <w:sz w:val="24"/>
                <w:szCs w:val="24"/>
              </w:rPr>
              <w:t>Burning of farms</w:t>
            </w:r>
          </w:p>
        </w:tc>
        <w:tc>
          <w:tcPr>
            <w:tcW w:w="1835" w:type="dxa"/>
            <w:tcBorders>
              <w:top w:val="single" w:sz="4" w:space="0" w:color="auto"/>
            </w:tcBorders>
          </w:tcPr>
          <w:p w14:paraId="1039D737"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73(21.9%)  </w:t>
            </w:r>
          </w:p>
        </w:tc>
        <w:tc>
          <w:tcPr>
            <w:tcW w:w="1697" w:type="dxa"/>
            <w:tcBorders>
              <w:top w:val="single" w:sz="4" w:space="0" w:color="auto"/>
            </w:tcBorders>
          </w:tcPr>
          <w:p w14:paraId="16021FF1"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62(18.6%)</w:t>
            </w:r>
          </w:p>
        </w:tc>
        <w:tc>
          <w:tcPr>
            <w:tcW w:w="1697" w:type="dxa"/>
            <w:tcBorders>
              <w:top w:val="single" w:sz="4" w:space="0" w:color="auto"/>
            </w:tcBorders>
          </w:tcPr>
          <w:p w14:paraId="6A90148C"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76(22.8%)</w:t>
            </w:r>
          </w:p>
        </w:tc>
        <w:tc>
          <w:tcPr>
            <w:tcW w:w="1697" w:type="dxa"/>
            <w:tcBorders>
              <w:top w:val="single" w:sz="4" w:space="0" w:color="auto"/>
            </w:tcBorders>
          </w:tcPr>
          <w:p w14:paraId="34714150"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75(22.5%)</w:t>
            </w:r>
          </w:p>
        </w:tc>
        <w:tc>
          <w:tcPr>
            <w:tcW w:w="1697" w:type="dxa"/>
            <w:tcBorders>
              <w:top w:val="single" w:sz="4" w:space="0" w:color="auto"/>
            </w:tcBorders>
          </w:tcPr>
          <w:p w14:paraId="77E3569A"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47(14.1%)</w:t>
            </w:r>
          </w:p>
        </w:tc>
        <w:tc>
          <w:tcPr>
            <w:tcW w:w="1102" w:type="dxa"/>
            <w:tcBorders>
              <w:top w:val="single" w:sz="4" w:space="0" w:color="auto"/>
            </w:tcBorders>
          </w:tcPr>
          <w:p w14:paraId="677E4927"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3.12</w:t>
            </w:r>
          </w:p>
        </w:tc>
        <w:tc>
          <w:tcPr>
            <w:tcW w:w="1652" w:type="dxa"/>
            <w:tcBorders>
              <w:top w:val="single" w:sz="4" w:space="0" w:color="auto"/>
            </w:tcBorders>
          </w:tcPr>
          <w:p w14:paraId="72C95D11"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1.36</w:t>
            </w:r>
          </w:p>
        </w:tc>
      </w:tr>
      <w:tr w:rsidR="002D25B6" w:rsidRPr="00E2630C" w14:paraId="7BA5FBE1" w14:textId="77777777" w:rsidTr="003315F5">
        <w:trPr>
          <w:trHeight w:val="1071"/>
        </w:trPr>
        <w:tc>
          <w:tcPr>
            <w:tcW w:w="2218" w:type="dxa"/>
            <w:tcBorders>
              <w:bottom w:val="single" w:sz="4" w:space="0" w:color="auto"/>
            </w:tcBorders>
          </w:tcPr>
          <w:p w14:paraId="6BA5580C" w14:textId="77777777" w:rsidR="00CD3724" w:rsidRPr="00E2630C" w:rsidRDefault="00CD3724" w:rsidP="003315F5">
            <w:pPr>
              <w:spacing w:line="360" w:lineRule="auto"/>
              <w:rPr>
                <w:rFonts w:ascii="Times New Roman" w:hAnsi="Times New Roman" w:cs="Times New Roman"/>
                <w:color w:val="000000" w:themeColor="text1"/>
                <w:sz w:val="24"/>
                <w:szCs w:val="24"/>
              </w:rPr>
            </w:pPr>
            <w:bookmarkStart w:id="121" w:name="_Hlk152667987"/>
            <w:r w:rsidRPr="00E2630C">
              <w:rPr>
                <w:rFonts w:ascii="Times New Roman" w:hAnsi="Times New Roman" w:cs="Times New Roman"/>
                <w:color w:val="000000" w:themeColor="text1"/>
                <w:sz w:val="24"/>
                <w:szCs w:val="24"/>
              </w:rPr>
              <w:t>Pollution of water bodies</w:t>
            </w:r>
          </w:p>
        </w:tc>
        <w:tc>
          <w:tcPr>
            <w:tcW w:w="1835" w:type="dxa"/>
            <w:tcBorders>
              <w:bottom w:val="single" w:sz="4" w:space="0" w:color="auto"/>
            </w:tcBorders>
          </w:tcPr>
          <w:p w14:paraId="412FC563"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61(18.3%) </w:t>
            </w:r>
          </w:p>
        </w:tc>
        <w:tc>
          <w:tcPr>
            <w:tcW w:w="1697" w:type="dxa"/>
            <w:tcBorders>
              <w:bottom w:val="single" w:sz="4" w:space="0" w:color="auto"/>
            </w:tcBorders>
          </w:tcPr>
          <w:p w14:paraId="60B438B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85(25.5%)</w:t>
            </w:r>
          </w:p>
        </w:tc>
        <w:tc>
          <w:tcPr>
            <w:tcW w:w="1697" w:type="dxa"/>
            <w:tcBorders>
              <w:bottom w:val="single" w:sz="4" w:space="0" w:color="auto"/>
            </w:tcBorders>
          </w:tcPr>
          <w:p w14:paraId="7CF07E79"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74(22.2%)</w:t>
            </w:r>
          </w:p>
        </w:tc>
        <w:tc>
          <w:tcPr>
            <w:tcW w:w="1697" w:type="dxa"/>
            <w:tcBorders>
              <w:bottom w:val="single" w:sz="4" w:space="0" w:color="auto"/>
            </w:tcBorders>
          </w:tcPr>
          <w:p w14:paraId="3130D86D"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61(18.3%)</w:t>
            </w:r>
          </w:p>
        </w:tc>
        <w:tc>
          <w:tcPr>
            <w:tcW w:w="1697" w:type="dxa"/>
            <w:tcBorders>
              <w:bottom w:val="single" w:sz="4" w:space="0" w:color="auto"/>
            </w:tcBorders>
          </w:tcPr>
          <w:p w14:paraId="39EB99CD"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52(15.6%)</w:t>
            </w:r>
          </w:p>
        </w:tc>
        <w:tc>
          <w:tcPr>
            <w:tcW w:w="1102" w:type="dxa"/>
            <w:tcBorders>
              <w:bottom w:val="single" w:sz="4" w:space="0" w:color="auto"/>
            </w:tcBorders>
          </w:tcPr>
          <w:p w14:paraId="1E781CE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3.13</w:t>
            </w:r>
          </w:p>
        </w:tc>
        <w:tc>
          <w:tcPr>
            <w:tcW w:w="1652" w:type="dxa"/>
            <w:tcBorders>
              <w:bottom w:val="single" w:sz="4" w:space="0" w:color="auto"/>
            </w:tcBorders>
          </w:tcPr>
          <w:p w14:paraId="00F96BB7"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1.34</w:t>
            </w:r>
          </w:p>
        </w:tc>
      </w:tr>
      <w:bookmarkEnd w:id="121"/>
      <w:tr w:rsidR="002D25B6" w:rsidRPr="00E2630C" w14:paraId="0B1E3DE6" w14:textId="77777777" w:rsidTr="003315F5">
        <w:trPr>
          <w:trHeight w:val="645"/>
        </w:trPr>
        <w:tc>
          <w:tcPr>
            <w:tcW w:w="2218" w:type="dxa"/>
            <w:tcBorders>
              <w:top w:val="single" w:sz="4" w:space="0" w:color="auto"/>
              <w:bottom w:val="single" w:sz="4" w:space="0" w:color="auto"/>
            </w:tcBorders>
          </w:tcPr>
          <w:p w14:paraId="29BCF3FB" w14:textId="77777777" w:rsidR="00CD3724" w:rsidRPr="00E2630C" w:rsidRDefault="00CD3724" w:rsidP="003315F5">
            <w:pPr>
              <w:spacing w:line="360" w:lineRule="auto"/>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 xml:space="preserve">Weighted </w:t>
            </w:r>
          </w:p>
        </w:tc>
        <w:tc>
          <w:tcPr>
            <w:tcW w:w="1835" w:type="dxa"/>
            <w:tcBorders>
              <w:top w:val="single" w:sz="4" w:space="0" w:color="auto"/>
              <w:bottom w:val="single" w:sz="4" w:space="0" w:color="auto"/>
            </w:tcBorders>
          </w:tcPr>
          <w:p w14:paraId="50E8B255" w14:textId="77777777" w:rsidR="00CD3724" w:rsidRPr="00E2630C" w:rsidRDefault="00CD3724" w:rsidP="003315F5">
            <w:pPr>
              <w:spacing w:line="360" w:lineRule="auto"/>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Average</w:t>
            </w:r>
          </w:p>
        </w:tc>
        <w:tc>
          <w:tcPr>
            <w:tcW w:w="1697" w:type="dxa"/>
            <w:tcBorders>
              <w:top w:val="single" w:sz="4" w:space="0" w:color="auto"/>
              <w:bottom w:val="single" w:sz="4" w:space="0" w:color="auto"/>
            </w:tcBorders>
          </w:tcPr>
          <w:p w14:paraId="0A0E5208"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p>
        </w:tc>
        <w:tc>
          <w:tcPr>
            <w:tcW w:w="1697" w:type="dxa"/>
            <w:tcBorders>
              <w:top w:val="single" w:sz="4" w:space="0" w:color="auto"/>
              <w:bottom w:val="single" w:sz="4" w:space="0" w:color="auto"/>
            </w:tcBorders>
          </w:tcPr>
          <w:p w14:paraId="626DA6A4"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p>
        </w:tc>
        <w:tc>
          <w:tcPr>
            <w:tcW w:w="1697" w:type="dxa"/>
            <w:tcBorders>
              <w:top w:val="single" w:sz="4" w:space="0" w:color="auto"/>
              <w:bottom w:val="single" w:sz="4" w:space="0" w:color="auto"/>
            </w:tcBorders>
          </w:tcPr>
          <w:p w14:paraId="239EC21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p>
        </w:tc>
        <w:tc>
          <w:tcPr>
            <w:tcW w:w="1697" w:type="dxa"/>
            <w:tcBorders>
              <w:top w:val="single" w:sz="4" w:space="0" w:color="auto"/>
              <w:bottom w:val="single" w:sz="4" w:space="0" w:color="auto"/>
            </w:tcBorders>
          </w:tcPr>
          <w:p w14:paraId="1C889E09" w14:textId="77777777" w:rsidR="00CD3724" w:rsidRPr="00E2630C" w:rsidRDefault="00CD3724" w:rsidP="003315F5">
            <w:pPr>
              <w:spacing w:line="360" w:lineRule="auto"/>
              <w:jc w:val="both"/>
              <w:rPr>
                <w:rFonts w:ascii="Times New Roman" w:hAnsi="Times New Roman" w:cs="Times New Roman"/>
                <w:b/>
                <w:bCs/>
                <w:color w:val="000000" w:themeColor="text1"/>
                <w:sz w:val="24"/>
                <w:szCs w:val="24"/>
              </w:rPr>
            </w:pPr>
          </w:p>
        </w:tc>
        <w:tc>
          <w:tcPr>
            <w:tcW w:w="1102" w:type="dxa"/>
            <w:tcBorders>
              <w:top w:val="single" w:sz="4" w:space="0" w:color="auto"/>
              <w:bottom w:val="single" w:sz="4" w:space="0" w:color="auto"/>
            </w:tcBorders>
          </w:tcPr>
          <w:p w14:paraId="40238328" w14:textId="77777777" w:rsidR="00CD3724" w:rsidRPr="00E2630C" w:rsidRDefault="00CD3724" w:rsidP="003315F5">
            <w:pPr>
              <w:spacing w:line="360" w:lineRule="auto"/>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3.12</w:t>
            </w:r>
          </w:p>
        </w:tc>
        <w:tc>
          <w:tcPr>
            <w:tcW w:w="1652" w:type="dxa"/>
            <w:tcBorders>
              <w:top w:val="single" w:sz="4" w:space="0" w:color="auto"/>
              <w:bottom w:val="single" w:sz="4" w:space="0" w:color="auto"/>
            </w:tcBorders>
          </w:tcPr>
          <w:p w14:paraId="2D6B5EBD" w14:textId="77777777" w:rsidR="00CD3724" w:rsidRPr="00E2630C" w:rsidRDefault="00CD3724" w:rsidP="003315F5">
            <w:pPr>
              <w:spacing w:line="360" w:lineRule="auto"/>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1.35</w:t>
            </w:r>
          </w:p>
        </w:tc>
      </w:tr>
    </w:tbl>
    <w:bookmarkEnd w:id="120"/>
    <w:p w14:paraId="22394DBD" w14:textId="77777777" w:rsidR="00CD3724" w:rsidRPr="00E2630C" w:rsidRDefault="00CD3724" w:rsidP="00CD3724">
      <w:pPr>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 xml:space="preserve">Source: Fieldwork, 2023 Scale = 1 Never, 2 Low, 3 Very Low, 4 High, 5 Very high </w:t>
      </w:r>
    </w:p>
    <w:p w14:paraId="0B681372" w14:textId="77777777" w:rsidR="00CD3724" w:rsidRPr="00E2630C" w:rsidRDefault="00CD3724" w:rsidP="00CD3724">
      <w:pPr>
        <w:jc w:val="both"/>
        <w:rPr>
          <w:rFonts w:ascii="Times New Roman" w:hAnsi="Times New Roman" w:cs="Times New Roman"/>
          <w:b/>
          <w:bCs/>
          <w:color w:val="000000" w:themeColor="text1"/>
          <w:sz w:val="24"/>
          <w:szCs w:val="24"/>
        </w:rPr>
      </w:pPr>
    </w:p>
    <w:p w14:paraId="32BEB057" w14:textId="77777777" w:rsidR="00CD3724" w:rsidRPr="00E2630C" w:rsidRDefault="00CD3724" w:rsidP="00CD3724">
      <w:pPr>
        <w:jc w:val="both"/>
        <w:rPr>
          <w:rFonts w:ascii="Times New Roman" w:hAnsi="Times New Roman" w:cs="Times New Roman"/>
          <w:b/>
          <w:bCs/>
          <w:color w:val="000000" w:themeColor="text1"/>
          <w:sz w:val="24"/>
          <w:szCs w:val="24"/>
        </w:rPr>
        <w:sectPr w:rsidR="00CD3724" w:rsidRPr="00E2630C" w:rsidSect="00DA40B4">
          <w:type w:val="continuous"/>
          <w:pgSz w:w="16838" w:h="11906" w:orient="landscape" w:code="9"/>
          <w:pgMar w:top="1440" w:right="1440" w:bottom="2160" w:left="1440" w:header="706" w:footer="706" w:gutter="0"/>
          <w:cols w:space="708"/>
          <w:docGrid w:linePitch="360"/>
        </w:sectPr>
      </w:pPr>
    </w:p>
    <w:p w14:paraId="587FCEB9"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 xml:space="preserve">In the range of 0.00 to 3.00, respondents’ express disagreement regarding chieftaincy conflicts and environmental security, while in the range of 3.01 to 5.0, there is agreement among respondents on these issues. As indicated in Table 4.7, a mean of means (M = 3.12; SD = 1.36) reflects a prevalent consensus among respondents supporting the idea that burning of farms and water body pollution may arise from chieftaincy conflicts.  The moderate standard deviation of 1.36 implies a significant dispersion in respondents' responses, highlighting a diverse array of perspectives converging around the mean. The discoveries align with studies carried out by </w:t>
      </w:r>
      <w:r w:rsidRPr="00E2630C">
        <w:rPr>
          <w:rFonts w:ascii="Times New Roman" w:eastAsia="Times New Roman" w:hAnsi="Times New Roman" w:cs="Times New Roman"/>
          <w:color w:val="000000" w:themeColor="text1"/>
          <w:sz w:val="24"/>
          <w:szCs w:val="24"/>
        </w:rPr>
        <w:t>Matimbwa and Mwalimu (2019)</w:t>
      </w:r>
      <w:r w:rsidRPr="00E2630C">
        <w:rPr>
          <w:rFonts w:ascii="Times New Roman" w:hAnsi="Times New Roman" w:cs="Times New Roman"/>
          <w:color w:val="000000" w:themeColor="text1"/>
          <w:sz w:val="24"/>
          <w:szCs w:val="24"/>
        </w:rPr>
        <w:t xml:space="preserve"> indicating that chieftaincy conflicts contribute to a spectrum of elements encompassing practices such as the burning of farms and contamination of water bodies. These conflicts frequently stem from resource competition, particularly for grazing land and farmland </w:t>
      </w:r>
      <w:r w:rsidRPr="00E2630C">
        <w:rPr>
          <w:rFonts w:ascii="Times New Roman" w:eastAsia="Times New Roman" w:hAnsi="Times New Roman" w:cs="Times New Roman"/>
          <w:color w:val="000000" w:themeColor="text1"/>
          <w:sz w:val="24"/>
          <w:szCs w:val="24"/>
        </w:rPr>
        <w:t>(Gakuria, 2013; Matimbwa &amp; Mwalimu, 2019)</w:t>
      </w:r>
      <w:r w:rsidRPr="00E2630C">
        <w:rPr>
          <w:rFonts w:ascii="Times New Roman" w:hAnsi="Times New Roman" w:cs="Times New Roman"/>
          <w:color w:val="000000" w:themeColor="text1"/>
          <w:sz w:val="24"/>
          <w:szCs w:val="24"/>
        </w:rPr>
        <w:t xml:space="preserve">. In Ghana, conflicts arise from substantial land acquisitions by private enterprises, often facilitated by chiefs, resulting in disputes over land and compensation </w:t>
      </w:r>
      <w:r w:rsidRPr="00E2630C">
        <w:rPr>
          <w:rFonts w:ascii="Times New Roman" w:eastAsia="Times New Roman" w:hAnsi="Times New Roman" w:cs="Times New Roman"/>
          <w:color w:val="000000" w:themeColor="text1"/>
          <w:sz w:val="24"/>
          <w:szCs w:val="24"/>
        </w:rPr>
        <w:t>(Campion &amp; Acheampong, 2014)</w:t>
      </w:r>
      <w:r w:rsidRPr="00E2630C">
        <w:rPr>
          <w:rFonts w:ascii="Times New Roman" w:hAnsi="Times New Roman" w:cs="Times New Roman"/>
          <w:color w:val="000000" w:themeColor="text1"/>
          <w:sz w:val="24"/>
          <w:szCs w:val="24"/>
        </w:rPr>
        <w:t xml:space="preserve">. Meanwhile, in Nigeria, conflicts emerge from encroachments on farmlands, crop destruction by cattle, and the pollution of river bodies, leading to tensions between farmers and herders (Adariku et al., 2023). These revelations underscore the intricate interplay of chieftaincy conflicts and environmental, economic and social factors. </w:t>
      </w:r>
    </w:p>
    <w:p w14:paraId="3A2A763C" w14:textId="66797189" w:rsidR="00CD3724" w:rsidRDefault="00CD3724" w:rsidP="00CD3724">
      <w:pPr>
        <w:spacing w:after="0" w:line="480" w:lineRule="auto"/>
        <w:jc w:val="both"/>
        <w:rPr>
          <w:rFonts w:ascii="Times New Roman" w:eastAsia="Calibri" w:hAnsi="Times New Roman" w:cs="Times New Roman"/>
          <w:color w:val="000000" w:themeColor="text1"/>
          <w:sz w:val="24"/>
          <w:szCs w:val="24"/>
        </w:rPr>
      </w:pPr>
      <w:bookmarkStart w:id="122" w:name="_Hlk152603193"/>
      <w:r w:rsidRPr="00E2630C">
        <w:rPr>
          <w:rFonts w:ascii="Times New Roman" w:eastAsia="Calibri" w:hAnsi="Times New Roman" w:cs="Times New Roman"/>
          <w:color w:val="000000" w:themeColor="text1"/>
          <w:sz w:val="24"/>
          <w:szCs w:val="24"/>
        </w:rPr>
        <w:t>In furtherance, the study investigated the potential influence of chieftaincy conflicts on environmental security. The hypothesis posited that chieftaincy conflicts would have a positive influence on the burning of farms and pollution of water bodies. To assess this hypothesis, a multiple regression analysis was employed.</w:t>
      </w:r>
      <w:bookmarkEnd w:id="122"/>
    </w:p>
    <w:p w14:paraId="5C057E7E" w14:textId="77777777" w:rsidR="00ED6BC0" w:rsidRPr="00E2630C" w:rsidRDefault="00ED6BC0" w:rsidP="00CD3724">
      <w:pPr>
        <w:spacing w:after="0" w:line="480" w:lineRule="auto"/>
        <w:jc w:val="both"/>
        <w:rPr>
          <w:rFonts w:ascii="Times New Roman" w:eastAsia="Calibri" w:hAnsi="Times New Roman" w:cs="Times New Roman"/>
          <w:color w:val="000000" w:themeColor="text1"/>
          <w:sz w:val="24"/>
          <w:szCs w:val="24"/>
        </w:rPr>
      </w:pPr>
    </w:p>
    <w:p w14:paraId="3D0BB00E" w14:textId="77777777" w:rsidR="00CD3724" w:rsidRPr="00E2630C" w:rsidRDefault="00CD3724" w:rsidP="00006F6D">
      <w:pPr>
        <w:pStyle w:val="Heading6"/>
      </w:pPr>
      <w:bookmarkStart w:id="123" w:name="_Toc182386326"/>
      <w:bookmarkStart w:id="124" w:name="_Hlk152603214"/>
      <w:r w:rsidRPr="00E2630C">
        <w:rPr>
          <w:rStyle w:val="TablesChar"/>
          <w:b/>
          <w:bCs w:val="0"/>
        </w:rPr>
        <w:lastRenderedPageBreak/>
        <w:t>Table 4.8: Results of Multiple Regression on Chieftaincy Conflicts and Environmental Security in Bimbilla</w:t>
      </w:r>
      <w:r w:rsidRPr="00E2630C">
        <w:t>.</w:t>
      </w:r>
      <w:bookmarkEnd w:id="123"/>
    </w:p>
    <w:p w14:paraId="046DCC86"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b/>
          <w:bCs/>
          <w:color w:val="000000" w:themeColor="text1"/>
          <w:sz w:val="24"/>
          <w:szCs w:val="24"/>
        </w:rPr>
        <w:t xml:space="preserve">Model summary </w:t>
      </w:r>
    </w:p>
    <w:tbl>
      <w:tblPr>
        <w:tblStyle w:val="TableGrid1"/>
        <w:tblW w:w="791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1"/>
        <w:gridCol w:w="744"/>
        <w:gridCol w:w="1170"/>
        <w:gridCol w:w="2250"/>
        <w:gridCol w:w="2875"/>
      </w:tblGrid>
      <w:tr w:rsidR="002D25B6" w:rsidRPr="00E2630C" w14:paraId="21444FA5" w14:textId="77777777" w:rsidTr="003315F5">
        <w:tc>
          <w:tcPr>
            <w:tcW w:w="871" w:type="dxa"/>
            <w:tcBorders>
              <w:top w:val="single" w:sz="4" w:space="0" w:color="auto"/>
              <w:bottom w:val="single" w:sz="4" w:space="0" w:color="auto"/>
            </w:tcBorders>
          </w:tcPr>
          <w:p w14:paraId="034BF671"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744" w:type="dxa"/>
            <w:tcBorders>
              <w:top w:val="single" w:sz="4" w:space="0" w:color="auto"/>
              <w:bottom w:val="single" w:sz="4" w:space="0" w:color="auto"/>
            </w:tcBorders>
          </w:tcPr>
          <w:p w14:paraId="143A04A7"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R</w:t>
            </w:r>
          </w:p>
        </w:tc>
        <w:tc>
          <w:tcPr>
            <w:tcW w:w="1170" w:type="dxa"/>
            <w:tcBorders>
              <w:top w:val="single" w:sz="4" w:space="0" w:color="auto"/>
              <w:bottom w:val="single" w:sz="4" w:space="0" w:color="auto"/>
            </w:tcBorders>
          </w:tcPr>
          <w:p w14:paraId="10D1259C"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R Square</w:t>
            </w:r>
          </w:p>
        </w:tc>
        <w:tc>
          <w:tcPr>
            <w:tcW w:w="2250" w:type="dxa"/>
            <w:tcBorders>
              <w:top w:val="single" w:sz="4" w:space="0" w:color="auto"/>
              <w:bottom w:val="single" w:sz="4" w:space="0" w:color="auto"/>
            </w:tcBorders>
          </w:tcPr>
          <w:p w14:paraId="429C78DC"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Adjusted R square</w:t>
            </w:r>
          </w:p>
        </w:tc>
        <w:tc>
          <w:tcPr>
            <w:tcW w:w="2875" w:type="dxa"/>
            <w:tcBorders>
              <w:top w:val="single" w:sz="4" w:space="0" w:color="auto"/>
              <w:bottom w:val="single" w:sz="4" w:space="0" w:color="auto"/>
            </w:tcBorders>
          </w:tcPr>
          <w:p w14:paraId="07D569B1"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Std. Error of Estimate</w:t>
            </w:r>
          </w:p>
        </w:tc>
      </w:tr>
      <w:tr w:rsidR="002D25B6" w:rsidRPr="00E2630C" w14:paraId="2B855A7B" w14:textId="77777777" w:rsidTr="003315F5">
        <w:tc>
          <w:tcPr>
            <w:tcW w:w="871" w:type="dxa"/>
            <w:tcBorders>
              <w:top w:val="single" w:sz="4" w:space="0" w:color="auto"/>
            </w:tcBorders>
            <w:shd w:val="clear" w:color="auto" w:fill="FFFFFF"/>
            <w:vAlign w:val="center"/>
          </w:tcPr>
          <w:p w14:paraId="54B02416"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w:t>
            </w:r>
          </w:p>
        </w:tc>
        <w:tc>
          <w:tcPr>
            <w:tcW w:w="744" w:type="dxa"/>
            <w:tcBorders>
              <w:top w:val="single" w:sz="4" w:space="0" w:color="auto"/>
            </w:tcBorders>
            <w:shd w:val="clear" w:color="auto" w:fill="FFFFFF"/>
            <w:vAlign w:val="center"/>
          </w:tcPr>
          <w:p w14:paraId="04655436" w14:textId="77777777" w:rsidR="00CD3724" w:rsidRPr="00E2630C" w:rsidRDefault="00CD3724" w:rsidP="003315F5">
            <w:pP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.212</w:t>
            </w:r>
          </w:p>
        </w:tc>
        <w:tc>
          <w:tcPr>
            <w:tcW w:w="1170" w:type="dxa"/>
            <w:tcBorders>
              <w:top w:val="single" w:sz="4" w:space="0" w:color="auto"/>
            </w:tcBorders>
            <w:shd w:val="clear" w:color="auto" w:fill="FFFFFF"/>
            <w:vAlign w:val="center"/>
          </w:tcPr>
          <w:p w14:paraId="3E5C4487"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.045</w:t>
            </w:r>
          </w:p>
        </w:tc>
        <w:tc>
          <w:tcPr>
            <w:tcW w:w="2250" w:type="dxa"/>
            <w:tcBorders>
              <w:top w:val="single" w:sz="4" w:space="0" w:color="auto"/>
            </w:tcBorders>
            <w:shd w:val="clear" w:color="auto" w:fill="FFFFFF"/>
            <w:vAlign w:val="center"/>
          </w:tcPr>
          <w:p w14:paraId="74BDCF9F"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.039</w:t>
            </w:r>
          </w:p>
        </w:tc>
        <w:tc>
          <w:tcPr>
            <w:tcW w:w="2875" w:type="dxa"/>
            <w:tcBorders>
              <w:top w:val="single" w:sz="4" w:space="0" w:color="auto"/>
            </w:tcBorders>
            <w:shd w:val="clear" w:color="auto" w:fill="FFFFFF"/>
            <w:vAlign w:val="center"/>
          </w:tcPr>
          <w:p w14:paraId="30D30C23"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1.58700</w:t>
            </w:r>
          </w:p>
        </w:tc>
      </w:tr>
    </w:tbl>
    <w:p w14:paraId="35ECEA44" w14:textId="77777777" w:rsidR="00CD3724" w:rsidRPr="00006F6D" w:rsidRDefault="00CD3724" w:rsidP="00006F6D">
      <w:pPr>
        <w:pStyle w:val="NoSpacing"/>
        <w:rPr>
          <w:sz w:val="12"/>
          <w:szCs w:val="12"/>
        </w:rPr>
      </w:pPr>
    </w:p>
    <w:p w14:paraId="5CE3F46A" w14:textId="77777777" w:rsidR="00CD3724" w:rsidRPr="00E2630C" w:rsidRDefault="00CD3724" w:rsidP="00CD3724">
      <w:pPr>
        <w:autoSpaceDE w:val="0"/>
        <w:autoSpaceDN w:val="0"/>
        <w:adjustRightInd w:val="0"/>
        <w:spacing w:after="0" w:line="400" w:lineRule="atLeast"/>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ANOVA</w:t>
      </w:r>
    </w:p>
    <w:tbl>
      <w:tblPr>
        <w:tblStyle w:val="TableGrid1"/>
        <w:tblW w:w="791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3"/>
        <w:gridCol w:w="2147"/>
        <w:gridCol w:w="1080"/>
        <w:gridCol w:w="1710"/>
        <w:gridCol w:w="1054"/>
        <w:gridCol w:w="636"/>
      </w:tblGrid>
      <w:tr w:rsidR="002D25B6" w:rsidRPr="00E2630C" w14:paraId="177011AB" w14:textId="77777777" w:rsidTr="003315F5">
        <w:tc>
          <w:tcPr>
            <w:tcW w:w="1283" w:type="dxa"/>
            <w:tcBorders>
              <w:top w:val="single" w:sz="4" w:space="0" w:color="auto"/>
              <w:bottom w:val="single" w:sz="4" w:space="0" w:color="auto"/>
            </w:tcBorders>
            <w:shd w:val="clear" w:color="auto" w:fill="FFFFFF"/>
          </w:tcPr>
          <w:p w14:paraId="30246BD0"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2147" w:type="dxa"/>
            <w:tcBorders>
              <w:top w:val="single" w:sz="4" w:space="0" w:color="auto"/>
              <w:bottom w:val="single" w:sz="4" w:space="0" w:color="auto"/>
            </w:tcBorders>
            <w:shd w:val="clear" w:color="auto" w:fill="FFFFFF"/>
          </w:tcPr>
          <w:p w14:paraId="0048D439"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Sum of Squares</w:t>
            </w:r>
          </w:p>
        </w:tc>
        <w:tc>
          <w:tcPr>
            <w:tcW w:w="1080" w:type="dxa"/>
            <w:tcBorders>
              <w:top w:val="single" w:sz="4" w:space="0" w:color="auto"/>
              <w:bottom w:val="single" w:sz="4" w:space="0" w:color="auto"/>
            </w:tcBorders>
            <w:shd w:val="clear" w:color="auto" w:fill="FFFFFF"/>
          </w:tcPr>
          <w:p w14:paraId="05023107"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Df</w:t>
            </w:r>
          </w:p>
        </w:tc>
        <w:tc>
          <w:tcPr>
            <w:tcW w:w="1710" w:type="dxa"/>
            <w:tcBorders>
              <w:top w:val="single" w:sz="4" w:space="0" w:color="auto"/>
              <w:bottom w:val="single" w:sz="4" w:space="0" w:color="auto"/>
            </w:tcBorders>
            <w:shd w:val="clear" w:color="auto" w:fill="FFFFFF"/>
          </w:tcPr>
          <w:p w14:paraId="401F945D"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Mean Square</w:t>
            </w:r>
          </w:p>
        </w:tc>
        <w:tc>
          <w:tcPr>
            <w:tcW w:w="1054" w:type="dxa"/>
            <w:tcBorders>
              <w:top w:val="single" w:sz="4" w:space="0" w:color="auto"/>
              <w:bottom w:val="single" w:sz="4" w:space="0" w:color="auto"/>
            </w:tcBorders>
            <w:shd w:val="clear" w:color="auto" w:fill="FFFFFF"/>
          </w:tcPr>
          <w:p w14:paraId="168B8C30"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F</w:t>
            </w:r>
          </w:p>
        </w:tc>
        <w:tc>
          <w:tcPr>
            <w:tcW w:w="636" w:type="dxa"/>
            <w:tcBorders>
              <w:top w:val="single" w:sz="4" w:space="0" w:color="auto"/>
              <w:bottom w:val="single" w:sz="4" w:space="0" w:color="auto"/>
            </w:tcBorders>
            <w:shd w:val="clear" w:color="auto" w:fill="FFFFFF"/>
          </w:tcPr>
          <w:p w14:paraId="028DDD51"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Sig.</w:t>
            </w:r>
          </w:p>
        </w:tc>
      </w:tr>
      <w:tr w:rsidR="002D25B6" w:rsidRPr="00E2630C" w14:paraId="72C74985" w14:textId="77777777" w:rsidTr="003315F5">
        <w:tc>
          <w:tcPr>
            <w:tcW w:w="1283" w:type="dxa"/>
            <w:tcBorders>
              <w:top w:val="single" w:sz="4" w:space="0" w:color="auto"/>
            </w:tcBorders>
            <w:vAlign w:val="center"/>
          </w:tcPr>
          <w:p w14:paraId="41628B2A"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Regression</w:t>
            </w:r>
          </w:p>
        </w:tc>
        <w:tc>
          <w:tcPr>
            <w:tcW w:w="2147" w:type="dxa"/>
            <w:tcBorders>
              <w:top w:val="single" w:sz="4" w:space="0" w:color="auto"/>
            </w:tcBorders>
            <w:shd w:val="clear" w:color="auto" w:fill="FFFFFF"/>
            <w:vAlign w:val="center"/>
          </w:tcPr>
          <w:p w14:paraId="7C81A405"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39.187</w:t>
            </w:r>
          </w:p>
        </w:tc>
        <w:tc>
          <w:tcPr>
            <w:tcW w:w="1080" w:type="dxa"/>
            <w:tcBorders>
              <w:top w:val="single" w:sz="4" w:space="0" w:color="auto"/>
            </w:tcBorders>
            <w:shd w:val="clear" w:color="auto" w:fill="FFFFFF"/>
            <w:vAlign w:val="center"/>
          </w:tcPr>
          <w:p w14:paraId="147E44E3"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w:t>
            </w:r>
          </w:p>
        </w:tc>
        <w:tc>
          <w:tcPr>
            <w:tcW w:w="1710" w:type="dxa"/>
            <w:tcBorders>
              <w:top w:val="single" w:sz="4" w:space="0" w:color="auto"/>
            </w:tcBorders>
            <w:shd w:val="clear" w:color="auto" w:fill="FFFFFF"/>
            <w:vAlign w:val="center"/>
          </w:tcPr>
          <w:p w14:paraId="4B256FB0"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19.594</w:t>
            </w:r>
          </w:p>
        </w:tc>
        <w:tc>
          <w:tcPr>
            <w:tcW w:w="1054" w:type="dxa"/>
            <w:tcBorders>
              <w:top w:val="single" w:sz="4" w:space="0" w:color="auto"/>
            </w:tcBorders>
            <w:shd w:val="clear" w:color="auto" w:fill="FFFFFF"/>
            <w:vAlign w:val="center"/>
          </w:tcPr>
          <w:p w14:paraId="763A87C1"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7.780</w:t>
            </w:r>
          </w:p>
        </w:tc>
        <w:tc>
          <w:tcPr>
            <w:tcW w:w="636" w:type="dxa"/>
            <w:tcBorders>
              <w:top w:val="single" w:sz="4" w:space="0" w:color="auto"/>
            </w:tcBorders>
            <w:shd w:val="clear" w:color="auto" w:fill="FFFFFF"/>
            <w:vAlign w:val="center"/>
          </w:tcPr>
          <w:p w14:paraId="3E76E8A1"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.000</w:t>
            </w:r>
          </w:p>
        </w:tc>
      </w:tr>
      <w:tr w:rsidR="002D25B6" w:rsidRPr="00E2630C" w14:paraId="166DE8BB" w14:textId="77777777" w:rsidTr="003315F5">
        <w:tc>
          <w:tcPr>
            <w:tcW w:w="1283" w:type="dxa"/>
            <w:tcBorders>
              <w:bottom w:val="single" w:sz="4" w:space="0" w:color="auto"/>
            </w:tcBorders>
            <w:vAlign w:val="center"/>
          </w:tcPr>
          <w:p w14:paraId="625C55C5"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Residual</w:t>
            </w:r>
          </w:p>
        </w:tc>
        <w:tc>
          <w:tcPr>
            <w:tcW w:w="2147" w:type="dxa"/>
            <w:tcBorders>
              <w:bottom w:val="single" w:sz="4" w:space="0" w:color="auto"/>
            </w:tcBorders>
            <w:shd w:val="clear" w:color="auto" w:fill="FFFFFF"/>
            <w:vAlign w:val="center"/>
          </w:tcPr>
          <w:p w14:paraId="0B535A7C"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831.125</w:t>
            </w:r>
          </w:p>
        </w:tc>
        <w:tc>
          <w:tcPr>
            <w:tcW w:w="1080" w:type="dxa"/>
            <w:tcBorders>
              <w:bottom w:val="single" w:sz="4" w:space="0" w:color="auto"/>
            </w:tcBorders>
            <w:shd w:val="clear" w:color="auto" w:fill="FFFFFF"/>
            <w:vAlign w:val="center"/>
          </w:tcPr>
          <w:p w14:paraId="17C2FA73"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330</w:t>
            </w:r>
          </w:p>
        </w:tc>
        <w:tc>
          <w:tcPr>
            <w:tcW w:w="1710" w:type="dxa"/>
            <w:tcBorders>
              <w:bottom w:val="single" w:sz="4" w:space="0" w:color="auto"/>
            </w:tcBorders>
            <w:shd w:val="clear" w:color="auto" w:fill="FFFFFF"/>
            <w:vAlign w:val="center"/>
          </w:tcPr>
          <w:p w14:paraId="2E0ED87B"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2.519</w:t>
            </w:r>
          </w:p>
        </w:tc>
        <w:tc>
          <w:tcPr>
            <w:tcW w:w="1054" w:type="dxa"/>
            <w:tcBorders>
              <w:bottom w:val="single" w:sz="4" w:space="0" w:color="auto"/>
            </w:tcBorders>
            <w:shd w:val="clear" w:color="auto" w:fill="FFFFFF"/>
          </w:tcPr>
          <w:p w14:paraId="0A93C433"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p>
        </w:tc>
        <w:tc>
          <w:tcPr>
            <w:tcW w:w="636" w:type="dxa"/>
            <w:tcBorders>
              <w:bottom w:val="single" w:sz="4" w:space="0" w:color="auto"/>
            </w:tcBorders>
            <w:shd w:val="clear" w:color="auto" w:fill="FFFFFF"/>
          </w:tcPr>
          <w:p w14:paraId="61DA8003" w14:textId="77777777" w:rsidR="00CD3724" w:rsidRPr="00E2630C" w:rsidRDefault="00CD3724" w:rsidP="003315F5">
            <w:pPr>
              <w:autoSpaceDE w:val="0"/>
              <w:autoSpaceDN w:val="0"/>
              <w:adjustRightInd w:val="0"/>
              <w:jc w:val="center"/>
              <w:rPr>
                <w:rFonts w:ascii="Times New Roman" w:eastAsia="Calibri" w:hAnsi="Times New Roman" w:cs="Times New Roman"/>
                <w:color w:val="000000" w:themeColor="text1"/>
                <w:sz w:val="24"/>
                <w:szCs w:val="24"/>
              </w:rPr>
            </w:pPr>
          </w:p>
        </w:tc>
      </w:tr>
      <w:tr w:rsidR="002D25B6" w:rsidRPr="00E2630C" w14:paraId="6FE70966" w14:textId="77777777" w:rsidTr="003315F5">
        <w:tc>
          <w:tcPr>
            <w:tcW w:w="1283" w:type="dxa"/>
            <w:tcBorders>
              <w:top w:val="single" w:sz="4" w:space="0" w:color="auto"/>
              <w:bottom w:val="single" w:sz="4" w:space="0" w:color="auto"/>
            </w:tcBorders>
            <w:vAlign w:val="center"/>
          </w:tcPr>
          <w:p w14:paraId="11860828"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Total</w:t>
            </w:r>
          </w:p>
        </w:tc>
        <w:tc>
          <w:tcPr>
            <w:tcW w:w="2147" w:type="dxa"/>
            <w:tcBorders>
              <w:top w:val="single" w:sz="4" w:space="0" w:color="auto"/>
              <w:bottom w:val="single" w:sz="4" w:space="0" w:color="auto"/>
            </w:tcBorders>
            <w:shd w:val="clear" w:color="auto" w:fill="FFFFFF"/>
            <w:vAlign w:val="center"/>
          </w:tcPr>
          <w:p w14:paraId="5DF39F2D"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r w:rsidRPr="00E2630C">
              <w:rPr>
                <w:rFonts w:ascii="Times New Roman" w:hAnsi="Times New Roman" w:cs="Times New Roman"/>
                <w:color w:val="000000" w:themeColor="text1"/>
                <w:kern w:val="0"/>
                <w:sz w:val="24"/>
                <w:szCs w:val="24"/>
              </w:rPr>
              <w:t>870.312</w:t>
            </w:r>
          </w:p>
        </w:tc>
        <w:tc>
          <w:tcPr>
            <w:tcW w:w="1080" w:type="dxa"/>
            <w:tcBorders>
              <w:top w:val="single" w:sz="4" w:space="0" w:color="auto"/>
              <w:bottom w:val="single" w:sz="4" w:space="0" w:color="auto"/>
            </w:tcBorders>
            <w:shd w:val="clear" w:color="auto" w:fill="FFFFFF"/>
            <w:vAlign w:val="center"/>
          </w:tcPr>
          <w:p w14:paraId="662E6779"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r w:rsidRPr="00E2630C">
              <w:rPr>
                <w:rFonts w:ascii="Times New Roman" w:hAnsi="Times New Roman" w:cs="Times New Roman"/>
                <w:color w:val="000000" w:themeColor="text1"/>
                <w:kern w:val="0"/>
                <w:sz w:val="24"/>
                <w:szCs w:val="24"/>
              </w:rPr>
              <w:t>332</w:t>
            </w:r>
          </w:p>
        </w:tc>
        <w:tc>
          <w:tcPr>
            <w:tcW w:w="1710" w:type="dxa"/>
            <w:tcBorders>
              <w:top w:val="single" w:sz="4" w:space="0" w:color="auto"/>
              <w:bottom w:val="single" w:sz="4" w:space="0" w:color="auto"/>
            </w:tcBorders>
            <w:shd w:val="clear" w:color="auto" w:fill="FFFFFF"/>
          </w:tcPr>
          <w:p w14:paraId="1D447CE7"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p>
        </w:tc>
        <w:tc>
          <w:tcPr>
            <w:tcW w:w="1054" w:type="dxa"/>
            <w:tcBorders>
              <w:top w:val="single" w:sz="4" w:space="0" w:color="auto"/>
              <w:bottom w:val="single" w:sz="4" w:space="0" w:color="auto"/>
            </w:tcBorders>
            <w:shd w:val="clear" w:color="auto" w:fill="FFFFFF"/>
          </w:tcPr>
          <w:p w14:paraId="67786BA1"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p>
        </w:tc>
        <w:tc>
          <w:tcPr>
            <w:tcW w:w="636" w:type="dxa"/>
            <w:tcBorders>
              <w:top w:val="single" w:sz="4" w:space="0" w:color="auto"/>
              <w:bottom w:val="single" w:sz="4" w:space="0" w:color="auto"/>
            </w:tcBorders>
            <w:shd w:val="clear" w:color="auto" w:fill="FFFFFF"/>
          </w:tcPr>
          <w:p w14:paraId="11C5E4CB" w14:textId="77777777" w:rsidR="00CD3724" w:rsidRPr="00E2630C" w:rsidRDefault="00CD3724" w:rsidP="003315F5">
            <w:pPr>
              <w:autoSpaceDE w:val="0"/>
              <w:autoSpaceDN w:val="0"/>
              <w:adjustRightInd w:val="0"/>
              <w:jc w:val="center"/>
              <w:rPr>
                <w:rFonts w:ascii="Times New Roman" w:eastAsia="Calibri" w:hAnsi="Times New Roman" w:cs="Times New Roman"/>
                <w:b/>
                <w:bCs/>
                <w:color w:val="000000" w:themeColor="text1"/>
                <w:sz w:val="24"/>
                <w:szCs w:val="24"/>
              </w:rPr>
            </w:pPr>
          </w:p>
        </w:tc>
      </w:tr>
    </w:tbl>
    <w:p w14:paraId="0D607D1A" w14:textId="77777777" w:rsidR="00CD3724" w:rsidRPr="00DD112B" w:rsidRDefault="00CD3724" w:rsidP="00CD3724">
      <w:pPr>
        <w:autoSpaceDE w:val="0"/>
        <w:autoSpaceDN w:val="0"/>
        <w:adjustRightInd w:val="0"/>
        <w:spacing w:after="0"/>
        <w:rPr>
          <w:rFonts w:ascii="Times New Roman" w:eastAsia="Calibri" w:hAnsi="Times New Roman" w:cs="Times New Roman"/>
          <w:b/>
          <w:bCs/>
          <w:color w:val="000000" w:themeColor="text1"/>
          <w:sz w:val="14"/>
          <w:szCs w:val="14"/>
        </w:rPr>
      </w:pPr>
    </w:p>
    <w:p w14:paraId="49AC096A" w14:textId="77777777" w:rsidR="00CD3724" w:rsidRPr="00E2630C" w:rsidRDefault="00CD3724" w:rsidP="00CD3724">
      <w:pPr>
        <w:autoSpaceDE w:val="0"/>
        <w:autoSpaceDN w:val="0"/>
        <w:adjustRightInd w:val="0"/>
        <w:spacing w:after="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Coefficients</w:t>
      </w:r>
    </w:p>
    <w:tbl>
      <w:tblPr>
        <w:tblStyle w:val="TableGrid1"/>
        <w:tblW w:w="800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9"/>
        <w:gridCol w:w="756"/>
        <w:gridCol w:w="1163"/>
        <w:gridCol w:w="897"/>
        <w:gridCol w:w="989"/>
        <w:gridCol w:w="1341"/>
      </w:tblGrid>
      <w:tr w:rsidR="002D25B6" w:rsidRPr="00E2630C" w14:paraId="0DC3B614" w14:textId="77777777" w:rsidTr="003315F5">
        <w:tc>
          <w:tcPr>
            <w:tcW w:w="2880" w:type="dxa"/>
            <w:tcBorders>
              <w:top w:val="single" w:sz="4" w:space="0" w:color="auto"/>
              <w:bottom w:val="single" w:sz="4" w:space="0" w:color="auto"/>
            </w:tcBorders>
            <w:vAlign w:val="center"/>
          </w:tcPr>
          <w:p w14:paraId="67F1FF79" w14:textId="77777777" w:rsidR="00CD3724" w:rsidRPr="00E2630C" w:rsidRDefault="00CD3724" w:rsidP="00DD112B">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715" w:type="dxa"/>
            <w:tcBorders>
              <w:top w:val="single" w:sz="4" w:space="0" w:color="auto"/>
              <w:bottom w:val="single" w:sz="4" w:space="0" w:color="auto"/>
            </w:tcBorders>
            <w:vAlign w:val="center"/>
          </w:tcPr>
          <w:p w14:paraId="49E2A83D" w14:textId="77777777" w:rsidR="00CD3724" w:rsidRPr="00E2630C" w:rsidRDefault="00CD3724" w:rsidP="00DD112B">
            <w:pPr>
              <w:autoSpaceDE w:val="0"/>
              <w:autoSpaceDN w:val="0"/>
              <w:adjustRightInd w:val="0"/>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β</w:t>
            </w:r>
          </w:p>
        </w:tc>
        <w:tc>
          <w:tcPr>
            <w:tcW w:w="1170" w:type="dxa"/>
            <w:tcBorders>
              <w:top w:val="single" w:sz="4" w:space="0" w:color="auto"/>
              <w:bottom w:val="single" w:sz="4" w:space="0" w:color="auto"/>
            </w:tcBorders>
            <w:vAlign w:val="center"/>
          </w:tcPr>
          <w:p w14:paraId="175CF97D" w14:textId="77777777" w:rsidR="00CD3724" w:rsidRPr="00E2630C" w:rsidRDefault="00CD3724" w:rsidP="00DD112B">
            <w:pPr>
              <w:autoSpaceDE w:val="0"/>
              <w:autoSpaceDN w:val="0"/>
              <w:adjustRightInd w:val="0"/>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SE</w:t>
            </w:r>
          </w:p>
        </w:tc>
        <w:tc>
          <w:tcPr>
            <w:tcW w:w="900" w:type="dxa"/>
            <w:tcBorders>
              <w:top w:val="single" w:sz="4" w:space="0" w:color="auto"/>
              <w:bottom w:val="single" w:sz="4" w:space="0" w:color="auto"/>
            </w:tcBorders>
          </w:tcPr>
          <w:p w14:paraId="64DBF544" w14:textId="77777777" w:rsidR="00CD3724" w:rsidRPr="00E2630C" w:rsidRDefault="00CD3724" w:rsidP="00DD112B">
            <w:pPr>
              <w:autoSpaceDE w:val="0"/>
              <w:autoSpaceDN w:val="0"/>
              <w:adjustRightInd w:val="0"/>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β</w:t>
            </w:r>
          </w:p>
        </w:tc>
        <w:tc>
          <w:tcPr>
            <w:tcW w:w="990" w:type="dxa"/>
            <w:tcBorders>
              <w:top w:val="single" w:sz="4" w:space="0" w:color="auto"/>
              <w:bottom w:val="single" w:sz="4" w:space="0" w:color="auto"/>
            </w:tcBorders>
            <w:vAlign w:val="center"/>
          </w:tcPr>
          <w:p w14:paraId="655D2F22" w14:textId="77777777" w:rsidR="00CD3724" w:rsidRPr="00E2630C" w:rsidRDefault="00CD3724" w:rsidP="00DD112B">
            <w:pPr>
              <w:autoSpaceDE w:val="0"/>
              <w:autoSpaceDN w:val="0"/>
              <w:adjustRightInd w:val="0"/>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t</w:t>
            </w:r>
          </w:p>
        </w:tc>
        <w:tc>
          <w:tcPr>
            <w:tcW w:w="1350" w:type="dxa"/>
            <w:tcBorders>
              <w:top w:val="single" w:sz="4" w:space="0" w:color="auto"/>
              <w:bottom w:val="single" w:sz="4" w:space="0" w:color="auto"/>
            </w:tcBorders>
            <w:vAlign w:val="center"/>
          </w:tcPr>
          <w:p w14:paraId="42E607BD" w14:textId="77777777" w:rsidR="00CD3724" w:rsidRPr="00E2630C" w:rsidRDefault="00CD3724" w:rsidP="00DD112B">
            <w:pPr>
              <w:autoSpaceDE w:val="0"/>
              <w:autoSpaceDN w:val="0"/>
              <w:adjustRightInd w:val="0"/>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P</w:t>
            </w:r>
          </w:p>
        </w:tc>
      </w:tr>
      <w:tr w:rsidR="002D25B6" w:rsidRPr="00E2630C" w14:paraId="11E75DAB" w14:textId="77777777" w:rsidTr="003315F5">
        <w:tc>
          <w:tcPr>
            <w:tcW w:w="2880" w:type="dxa"/>
            <w:tcBorders>
              <w:top w:val="single" w:sz="4" w:space="0" w:color="auto"/>
            </w:tcBorders>
            <w:vAlign w:val="center"/>
          </w:tcPr>
          <w:p w14:paraId="282CDDA1" w14:textId="77777777" w:rsidR="00CD3724" w:rsidRPr="00E2630C" w:rsidRDefault="00CD3724" w:rsidP="00DD112B">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 (Constant)</w:t>
            </w:r>
          </w:p>
        </w:tc>
        <w:tc>
          <w:tcPr>
            <w:tcW w:w="715" w:type="dxa"/>
            <w:tcBorders>
              <w:top w:val="single" w:sz="4" w:space="0" w:color="auto"/>
            </w:tcBorders>
            <w:shd w:val="clear" w:color="auto" w:fill="FFFFFF"/>
            <w:vAlign w:val="center"/>
          </w:tcPr>
          <w:p w14:paraId="5C3F4473"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3.666</w:t>
            </w:r>
          </w:p>
        </w:tc>
        <w:tc>
          <w:tcPr>
            <w:tcW w:w="1170" w:type="dxa"/>
            <w:tcBorders>
              <w:top w:val="single" w:sz="4" w:space="0" w:color="auto"/>
            </w:tcBorders>
            <w:shd w:val="clear" w:color="auto" w:fill="FFFFFF"/>
            <w:vAlign w:val="center"/>
          </w:tcPr>
          <w:p w14:paraId="0231DD40"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.353</w:t>
            </w:r>
          </w:p>
        </w:tc>
        <w:tc>
          <w:tcPr>
            <w:tcW w:w="900" w:type="dxa"/>
            <w:tcBorders>
              <w:top w:val="single" w:sz="4" w:space="0" w:color="auto"/>
            </w:tcBorders>
            <w:shd w:val="clear" w:color="auto" w:fill="FFFFFF"/>
          </w:tcPr>
          <w:p w14:paraId="4E01A230"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p>
        </w:tc>
        <w:tc>
          <w:tcPr>
            <w:tcW w:w="990" w:type="dxa"/>
            <w:tcBorders>
              <w:top w:val="single" w:sz="4" w:space="0" w:color="auto"/>
            </w:tcBorders>
            <w:shd w:val="clear" w:color="auto" w:fill="FFFFFF"/>
            <w:vAlign w:val="center"/>
          </w:tcPr>
          <w:p w14:paraId="2FB7DF49"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10.394</w:t>
            </w:r>
          </w:p>
        </w:tc>
        <w:tc>
          <w:tcPr>
            <w:tcW w:w="1350" w:type="dxa"/>
            <w:tcBorders>
              <w:top w:val="single" w:sz="4" w:space="0" w:color="auto"/>
            </w:tcBorders>
            <w:shd w:val="clear" w:color="auto" w:fill="FFFFFF"/>
            <w:vAlign w:val="center"/>
          </w:tcPr>
          <w:p w14:paraId="3BFDC7D0"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.000</w:t>
            </w:r>
          </w:p>
        </w:tc>
      </w:tr>
      <w:tr w:rsidR="002D25B6" w:rsidRPr="00E2630C" w14:paraId="5951CCFB" w14:textId="77777777" w:rsidTr="003315F5">
        <w:tc>
          <w:tcPr>
            <w:tcW w:w="2880" w:type="dxa"/>
            <w:vAlign w:val="center"/>
          </w:tcPr>
          <w:p w14:paraId="74011A32" w14:textId="77777777" w:rsidR="00CD3724" w:rsidRPr="00E2630C" w:rsidRDefault="00CD3724" w:rsidP="00DD112B">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sz w:val="24"/>
                <w:szCs w:val="24"/>
              </w:rPr>
              <w:t>Burning of farms</w:t>
            </w:r>
          </w:p>
        </w:tc>
        <w:tc>
          <w:tcPr>
            <w:tcW w:w="715" w:type="dxa"/>
            <w:shd w:val="clear" w:color="auto" w:fill="FFFFFF"/>
            <w:vAlign w:val="center"/>
          </w:tcPr>
          <w:p w14:paraId="6956EF64"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-.248</w:t>
            </w:r>
          </w:p>
        </w:tc>
        <w:tc>
          <w:tcPr>
            <w:tcW w:w="1170" w:type="dxa"/>
            <w:shd w:val="clear" w:color="auto" w:fill="FFFFFF"/>
            <w:vAlign w:val="center"/>
          </w:tcPr>
          <w:p w14:paraId="472AB9A7"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.063</w:t>
            </w:r>
          </w:p>
        </w:tc>
        <w:tc>
          <w:tcPr>
            <w:tcW w:w="900" w:type="dxa"/>
            <w:shd w:val="clear" w:color="auto" w:fill="FFFFFF"/>
            <w:vAlign w:val="center"/>
          </w:tcPr>
          <w:p w14:paraId="4D210BD7"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-.215</w:t>
            </w:r>
          </w:p>
        </w:tc>
        <w:tc>
          <w:tcPr>
            <w:tcW w:w="990" w:type="dxa"/>
            <w:shd w:val="clear" w:color="auto" w:fill="FFFFFF"/>
            <w:vAlign w:val="center"/>
          </w:tcPr>
          <w:p w14:paraId="07D01E96"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-3.915</w:t>
            </w:r>
          </w:p>
        </w:tc>
        <w:tc>
          <w:tcPr>
            <w:tcW w:w="1350" w:type="dxa"/>
            <w:shd w:val="clear" w:color="auto" w:fill="FFFFFF"/>
            <w:vAlign w:val="center"/>
          </w:tcPr>
          <w:p w14:paraId="56320E0C"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.000</w:t>
            </w:r>
          </w:p>
        </w:tc>
      </w:tr>
      <w:tr w:rsidR="002D25B6" w:rsidRPr="00E2630C" w14:paraId="58EFA95D" w14:textId="77777777" w:rsidTr="003315F5">
        <w:tc>
          <w:tcPr>
            <w:tcW w:w="2880" w:type="dxa"/>
          </w:tcPr>
          <w:p w14:paraId="3231A53B" w14:textId="77777777" w:rsidR="00CD3724" w:rsidRPr="00E2630C" w:rsidRDefault="00CD3724" w:rsidP="00DD112B">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sz w:val="24"/>
                <w:szCs w:val="24"/>
              </w:rPr>
              <w:t>Pollution of water bodies</w:t>
            </w:r>
          </w:p>
        </w:tc>
        <w:tc>
          <w:tcPr>
            <w:tcW w:w="715" w:type="dxa"/>
            <w:shd w:val="clear" w:color="auto" w:fill="FFFFFF"/>
            <w:vAlign w:val="center"/>
          </w:tcPr>
          <w:p w14:paraId="359C9F6D"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-.022</w:t>
            </w:r>
          </w:p>
        </w:tc>
        <w:tc>
          <w:tcPr>
            <w:tcW w:w="1170" w:type="dxa"/>
            <w:shd w:val="clear" w:color="auto" w:fill="FFFFFF"/>
            <w:vAlign w:val="center"/>
          </w:tcPr>
          <w:p w14:paraId="549CEE04"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.075</w:t>
            </w:r>
          </w:p>
        </w:tc>
        <w:tc>
          <w:tcPr>
            <w:tcW w:w="900" w:type="dxa"/>
            <w:shd w:val="clear" w:color="auto" w:fill="FFFFFF"/>
            <w:vAlign w:val="center"/>
          </w:tcPr>
          <w:p w14:paraId="2363EBFE"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-.016</w:t>
            </w:r>
          </w:p>
        </w:tc>
        <w:tc>
          <w:tcPr>
            <w:tcW w:w="990" w:type="dxa"/>
            <w:shd w:val="clear" w:color="auto" w:fill="FFFFFF"/>
            <w:vAlign w:val="center"/>
          </w:tcPr>
          <w:p w14:paraId="4B612F43"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-.298</w:t>
            </w:r>
          </w:p>
        </w:tc>
        <w:tc>
          <w:tcPr>
            <w:tcW w:w="1350" w:type="dxa"/>
            <w:shd w:val="clear" w:color="auto" w:fill="FFFFFF"/>
            <w:vAlign w:val="center"/>
          </w:tcPr>
          <w:p w14:paraId="6A5EFBD2" w14:textId="77777777" w:rsidR="00CD3724" w:rsidRPr="00E2630C" w:rsidRDefault="00CD3724" w:rsidP="00DD112B">
            <w:pPr>
              <w:autoSpaceDE w:val="0"/>
              <w:autoSpaceDN w:val="0"/>
              <w:adjustRightInd w:val="0"/>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.766</w:t>
            </w:r>
          </w:p>
        </w:tc>
      </w:tr>
    </w:tbl>
    <w:p w14:paraId="7D413B35" w14:textId="77777777" w:rsidR="00CD3724" w:rsidRPr="00E2630C" w:rsidRDefault="00CD3724" w:rsidP="00CD3724">
      <w:pPr>
        <w:spacing w:line="480" w:lineRule="auto"/>
        <w:jc w:val="both"/>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Source: fieldwork 2023.</w:t>
      </w:r>
    </w:p>
    <w:bookmarkEnd w:id="124"/>
    <w:p w14:paraId="4A896C12" w14:textId="3ED79E1B"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study's results indicate that, when considering the two dependent variables, they collectively explain 3.9% of the variability in chieftaincy conflicts (f (13.229) = 6.700, p &lt;0.001). A detailed analysis of the effects of chieftaincy conflicts on each variable reveals that the act of burning farms (β = -0.215, t = -3.915, p = 0.000) is significantly influenced by chieftaincy conflicts. In contrast, the pollution of water bodies (β = -0.016, t = -0.298, p = 0.766) was found not to have been standing out as an environmental factor that substantially impacted by chieftaincy conflicts. The findings emphasize a noteworthy positive relationship (p = 0.000), highlighting that the burning of farms surpasses that of water body pollution. The results of this investigation align with the findings explored by Bukari et al.  (2016), indicating a significant impact of </w:t>
      </w:r>
      <w:r w:rsidRPr="00E2630C">
        <w:rPr>
          <w:rFonts w:ascii="Times New Roman" w:hAnsi="Times New Roman" w:cs="Times New Roman"/>
          <w:color w:val="000000" w:themeColor="text1"/>
          <w:sz w:val="24"/>
          <w:szCs w:val="24"/>
        </w:rPr>
        <w:lastRenderedPageBreak/>
        <w:t>farm burning due to chieftaincy conflicts, especially in northern Ghana. While chieftaincy conflict can contribute to enhanced inter-ethnic unity and group identity, it also carries the risk of causing harm to life and property. Crop residue burning, a related activity, is driven by factors like the timeliness of field operations and the cost-effectiveness of residue disposal (Chen et al., 2005).  In the Funsi traditional area of Ghana, chieftaincy disputes have resulted in adverse consequences such as injuries, fatalities, and economic challenges (Gyader et al., 2020). Contrastingly, on a regional scale, prescribed burning in northern Australia has demonstrated its potential to mitigate pasture loss from wildfires, potentially increasing the annual carrying capacity of livestock on pastoral properties (Skroblin et al., 2014). Moreover, a study undertaken by Akpor et al. (2014) reveals that the contamination of water bodies, stemming from various pollutants such as pathogenic microorganisms, phosphorus, nitrogen, hydrocarbons, heavy metals, and organic matter, exacerbated by chieftaincy conflicts. This is attributed to the impact of land use conflicts on water quality, subsequently affecting the distribution of biota, including macroinvertebrate communities (Valle et al., 2014)</w:t>
      </w:r>
      <w:r w:rsidR="00DD112B">
        <w:rPr>
          <w:rFonts w:ascii="Times New Roman" w:hAnsi="Times New Roman" w:cs="Times New Roman"/>
          <w:color w:val="000000" w:themeColor="text1"/>
          <w:sz w:val="24"/>
          <w:szCs w:val="24"/>
        </w:rPr>
        <w:t>.</w:t>
      </w:r>
    </w:p>
    <w:p w14:paraId="1503C648"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The concept of environmental security is generally construed to include; preventing air and water pollution, stopping deforestation, conserving irrigated land, and preventing natural disasters like earthquakes, cyclones, floods, and droughts. In an environment where even one of these components are not protected it brings about the insecurity that will affect the community and nation at large. It was revealed by respondents that, most of the water bodies are usually poisoned by the conflicting parties most often the dugouts, and the boreholes are covered by either the Bangyili or Gbugma Yili which always causes drought. </w:t>
      </w:r>
    </w:p>
    <w:p w14:paraId="4CDA8688"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A representative from the environmental protection agency (EPA) in buttressing the above indicated that both the community and environment are not safe during the conflict. He reiterated that water bodies are often poisoned, farms are taken away from the rightful owners, farmers are not able to go to farms or stay longer at farms which affects their harvest, and consumers are not able to buy vegetables. He further hinted that other investors are running away from investing in the community because they feel the environment is not safe to invest and also the soil is not fertile enough for farming. He added that people were advised not to put some structures in certain areas, and also, to demolish structures for the purposes of safety but they refused citing that they were doing tribalism. The participants also indicated that, during conflict situation, due to lack or inadequate security governance, some people took advantage of the volatile situation to engage in stealing and other related criminal activities such as indiscriminate burning of farms and food stock, pollution of water bodies thereby rendering the municipality unsafe.</w:t>
      </w:r>
    </w:p>
    <w:p w14:paraId="7667E918"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In supporting the findings, AGI's (2014) study on conflicts in Mali and Nigeria revealed that insecurity in these regions led to increased theft of various assets, including natural resources, exacerbating environmental degradation. The research further indicated that conflict-induced insecurity can reduce human mobility, restricting access to biodiverse areas and affecting wildlife conservation efforts. Conflicts can lead to water scarcity and pollution, affecting both human populations and the environment. The destruction of infrastructure and contamination of water sources during conflicts can compromise access to clean and safe water for drinking and agriculture. AGI (2014) highlighted that the reduction in human mobility during conflicts can also affect water availability for irrigation and livestock rearing.</w:t>
      </w:r>
    </w:p>
    <w:p w14:paraId="0B6627D2" w14:textId="77777777" w:rsidR="00CD3724" w:rsidRPr="00E2630C" w:rsidRDefault="00CD3724" w:rsidP="00CD3724">
      <w:pPr>
        <w:pStyle w:val="NoSpacing"/>
        <w:rPr>
          <w:rFonts w:ascii="Times New Roman" w:hAnsi="Times New Roman" w:cs="Times New Roman"/>
          <w:color w:val="000000" w:themeColor="text1"/>
          <w:sz w:val="24"/>
          <w:szCs w:val="24"/>
        </w:rPr>
      </w:pPr>
    </w:p>
    <w:p w14:paraId="69125E8E" w14:textId="77777777" w:rsidR="00CD3724" w:rsidRPr="00E2630C" w:rsidRDefault="00CD3724" w:rsidP="00DD112B">
      <w:pPr>
        <w:pStyle w:val="Heading2"/>
      </w:pPr>
      <w:bookmarkStart w:id="125" w:name="_Toc182386282"/>
      <w:r w:rsidRPr="00E2630C">
        <w:lastRenderedPageBreak/>
        <w:t>4.5 Objective Five: Chieftaincy Conflicts and Personal Security in Bimbilla</w:t>
      </w:r>
      <w:bookmarkEnd w:id="125"/>
    </w:p>
    <w:p w14:paraId="00C2616E"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Three major variables of interest were considered on the basis of what the literature revealed namely; the association between chieftaincy conflicts and physical violence of all forms, that brain drain and that of child labour. The means and standard deviation and the results of the regression analyses were presented in Tables 4.9 and 10 respectively. </w:t>
      </w:r>
    </w:p>
    <w:p w14:paraId="5C4EC46E" w14:textId="77777777" w:rsidR="00CD3724" w:rsidRDefault="00CD3724" w:rsidP="00CD3724">
      <w:pPr>
        <w:spacing w:line="480" w:lineRule="auto"/>
        <w:jc w:val="both"/>
        <w:rPr>
          <w:rFonts w:ascii="Times New Roman" w:hAnsi="Times New Roman" w:cs="Times New Roman"/>
          <w:color w:val="000000" w:themeColor="text1"/>
          <w:sz w:val="24"/>
          <w:szCs w:val="24"/>
        </w:rPr>
      </w:pPr>
    </w:p>
    <w:p w14:paraId="2F44A962" w14:textId="77777777" w:rsidR="00DD112B" w:rsidRDefault="00DD112B" w:rsidP="00CD3724">
      <w:pPr>
        <w:spacing w:line="480" w:lineRule="auto"/>
        <w:jc w:val="both"/>
        <w:rPr>
          <w:rFonts w:ascii="Times New Roman" w:hAnsi="Times New Roman" w:cs="Times New Roman"/>
          <w:color w:val="000000" w:themeColor="text1"/>
          <w:sz w:val="24"/>
          <w:szCs w:val="24"/>
        </w:rPr>
      </w:pPr>
    </w:p>
    <w:p w14:paraId="6CF48FCF" w14:textId="77777777" w:rsidR="00DD112B" w:rsidRDefault="00DD112B" w:rsidP="00CD3724">
      <w:pPr>
        <w:spacing w:line="480" w:lineRule="auto"/>
        <w:jc w:val="both"/>
        <w:rPr>
          <w:rFonts w:ascii="Times New Roman" w:hAnsi="Times New Roman" w:cs="Times New Roman"/>
          <w:color w:val="000000" w:themeColor="text1"/>
          <w:sz w:val="24"/>
          <w:szCs w:val="24"/>
        </w:rPr>
      </w:pPr>
    </w:p>
    <w:p w14:paraId="32552A9E" w14:textId="77777777" w:rsidR="00ED6BC0" w:rsidRDefault="00ED6BC0" w:rsidP="00CD3724">
      <w:pPr>
        <w:spacing w:line="480" w:lineRule="auto"/>
        <w:jc w:val="both"/>
        <w:rPr>
          <w:rFonts w:ascii="Times New Roman" w:hAnsi="Times New Roman" w:cs="Times New Roman"/>
          <w:color w:val="000000" w:themeColor="text1"/>
          <w:sz w:val="24"/>
          <w:szCs w:val="24"/>
        </w:rPr>
        <w:sectPr w:rsidR="00ED6BC0" w:rsidSect="00DA40B4">
          <w:pgSz w:w="11906" w:h="16838" w:code="9"/>
          <w:pgMar w:top="1440" w:right="1440" w:bottom="1440" w:left="2160" w:header="706" w:footer="706" w:gutter="0"/>
          <w:cols w:space="708"/>
          <w:docGrid w:linePitch="360"/>
        </w:sectPr>
      </w:pPr>
    </w:p>
    <w:p w14:paraId="4C72648C" w14:textId="494D3774" w:rsidR="00DD112B" w:rsidRDefault="00DD112B" w:rsidP="00CD3724">
      <w:pPr>
        <w:spacing w:line="480" w:lineRule="auto"/>
        <w:jc w:val="both"/>
        <w:rPr>
          <w:rFonts w:ascii="Times New Roman" w:hAnsi="Times New Roman" w:cs="Times New Roman"/>
          <w:color w:val="000000" w:themeColor="text1"/>
          <w:sz w:val="24"/>
          <w:szCs w:val="24"/>
        </w:rPr>
      </w:pPr>
    </w:p>
    <w:p w14:paraId="0F664588" w14:textId="77777777" w:rsidR="00DD112B" w:rsidRDefault="00DD112B" w:rsidP="00CD3724">
      <w:pPr>
        <w:spacing w:line="480" w:lineRule="auto"/>
        <w:jc w:val="both"/>
        <w:rPr>
          <w:rFonts w:ascii="Times New Roman" w:hAnsi="Times New Roman" w:cs="Times New Roman"/>
          <w:color w:val="000000" w:themeColor="text1"/>
          <w:sz w:val="24"/>
          <w:szCs w:val="24"/>
        </w:rPr>
      </w:pPr>
    </w:p>
    <w:p w14:paraId="41DEA284" w14:textId="68F85CA6" w:rsidR="00CD3724" w:rsidRPr="00E2630C" w:rsidRDefault="00CD3724" w:rsidP="00DD112B">
      <w:pPr>
        <w:pStyle w:val="Heading6"/>
      </w:pPr>
      <w:bookmarkStart w:id="126" w:name="_Toc182386327"/>
      <w:r w:rsidRPr="00E2630C">
        <w:t xml:space="preserve">Table 4.9: </w:t>
      </w:r>
      <w:r w:rsidR="00624A64" w:rsidRPr="00E2630C">
        <w:t>Perceptions of The Impact of Chieftaincy Conflicts on Personal Security</w:t>
      </w:r>
      <w:bookmarkEnd w:id="126"/>
    </w:p>
    <w:p w14:paraId="150D8A8E" w14:textId="77777777" w:rsidR="00CD3724" w:rsidRPr="00E2630C" w:rsidRDefault="00CD3724" w:rsidP="00CD3724">
      <w:pPr>
        <w:pStyle w:val="Tables"/>
        <w:rPr>
          <w:color w:val="000000" w:themeColor="text1"/>
        </w:rPr>
      </w:pPr>
    </w:p>
    <w:tbl>
      <w:tblPr>
        <w:tblStyle w:val="TableGrid"/>
        <w:tblW w:w="1367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10"/>
        <w:gridCol w:w="1530"/>
        <w:gridCol w:w="1710"/>
        <w:gridCol w:w="1530"/>
        <w:gridCol w:w="1800"/>
        <w:gridCol w:w="1800"/>
        <w:gridCol w:w="1260"/>
        <w:gridCol w:w="1436"/>
      </w:tblGrid>
      <w:tr w:rsidR="002D25B6" w:rsidRPr="00E2630C" w14:paraId="62781FA6" w14:textId="77777777" w:rsidTr="00ED6BC0">
        <w:trPr>
          <w:trHeight w:val="1007"/>
        </w:trPr>
        <w:tc>
          <w:tcPr>
            <w:tcW w:w="2610" w:type="dxa"/>
            <w:tcBorders>
              <w:top w:val="single" w:sz="4" w:space="0" w:color="auto"/>
              <w:bottom w:val="nil"/>
            </w:tcBorders>
          </w:tcPr>
          <w:p w14:paraId="438932F1" w14:textId="77777777" w:rsidR="00CD3724" w:rsidRPr="00E2630C" w:rsidRDefault="00CD3724" w:rsidP="003315F5">
            <w:pP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The extent to</w:t>
            </w:r>
          </w:p>
        </w:tc>
        <w:tc>
          <w:tcPr>
            <w:tcW w:w="1530" w:type="dxa"/>
            <w:tcBorders>
              <w:top w:val="single" w:sz="4" w:space="0" w:color="auto"/>
              <w:bottom w:val="nil"/>
            </w:tcBorders>
          </w:tcPr>
          <w:p w14:paraId="01741ABA"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Very</w:t>
            </w:r>
          </w:p>
        </w:tc>
        <w:tc>
          <w:tcPr>
            <w:tcW w:w="1710" w:type="dxa"/>
            <w:tcBorders>
              <w:top w:val="single" w:sz="4" w:space="0" w:color="auto"/>
              <w:bottom w:val="nil"/>
            </w:tcBorders>
          </w:tcPr>
          <w:p w14:paraId="5E31F682"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High</w:t>
            </w:r>
          </w:p>
        </w:tc>
        <w:tc>
          <w:tcPr>
            <w:tcW w:w="1530" w:type="dxa"/>
            <w:tcBorders>
              <w:top w:val="single" w:sz="4" w:space="0" w:color="auto"/>
              <w:bottom w:val="nil"/>
            </w:tcBorders>
          </w:tcPr>
          <w:p w14:paraId="3DCAC81F"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Very</w:t>
            </w:r>
          </w:p>
        </w:tc>
        <w:tc>
          <w:tcPr>
            <w:tcW w:w="1800" w:type="dxa"/>
            <w:tcBorders>
              <w:top w:val="single" w:sz="4" w:space="0" w:color="auto"/>
              <w:bottom w:val="nil"/>
            </w:tcBorders>
          </w:tcPr>
          <w:p w14:paraId="276C2BF9"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Low</w:t>
            </w:r>
          </w:p>
        </w:tc>
        <w:tc>
          <w:tcPr>
            <w:tcW w:w="1800" w:type="dxa"/>
            <w:tcBorders>
              <w:top w:val="single" w:sz="4" w:space="0" w:color="auto"/>
              <w:bottom w:val="nil"/>
            </w:tcBorders>
          </w:tcPr>
          <w:p w14:paraId="7BDFB9B5"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Never</w:t>
            </w:r>
          </w:p>
        </w:tc>
        <w:tc>
          <w:tcPr>
            <w:tcW w:w="1260" w:type="dxa"/>
            <w:tcBorders>
              <w:top w:val="single" w:sz="4" w:space="0" w:color="auto"/>
              <w:bottom w:val="nil"/>
            </w:tcBorders>
          </w:tcPr>
          <w:p w14:paraId="50E4552E"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Mean</w:t>
            </w:r>
          </w:p>
        </w:tc>
        <w:tc>
          <w:tcPr>
            <w:tcW w:w="1436" w:type="dxa"/>
            <w:tcBorders>
              <w:top w:val="single" w:sz="4" w:space="0" w:color="auto"/>
              <w:bottom w:val="nil"/>
            </w:tcBorders>
          </w:tcPr>
          <w:p w14:paraId="62A4AC70"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Standard Deviation</w:t>
            </w:r>
          </w:p>
        </w:tc>
      </w:tr>
      <w:tr w:rsidR="002D25B6" w:rsidRPr="00E2630C" w14:paraId="7991CC36" w14:textId="77777777" w:rsidTr="00ED6BC0">
        <w:trPr>
          <w:trHeight w:val="463"/>
        </w:trPr>
        <w:tc>
          <w:tcPr>
            <w:tcW w:w="2610" w:type="dxa"/>
            <w:tcBorders>
              <w:top w:val="nil"/>
              <w:bottom w:val="nil"/>
            </w:tcBorders>
          </w:tcPr>
          <w:p w14:paraId="356310C7" w14:textId="77777777" w:rsidR="00CD3724" w:rsidRPr="00E2630C" w:rsidRDefault="00CD3724" w:rsidP="003315F5">
            <w:pP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which the</w:t>
            </w:r>
          </w:p>
        </w:tc>
        <w:tc>
          <w:tcPr>
            <w:tcW w:w="1530" w:type="dxa"/>
            <w:tcBorders>
              <w:top w:val="nil"/>
              <w:bottom w:val="nil"/>
            </w:tcBorders>
          </w:tcPr>
          <w:p w14:paraId="3487643B"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High</w:t>
            </w:r>
          </w:p>
        </w:tc>
        <w:tc>
          <w:tcPr>
            <w:tcW w:w="1710" w:type="dxa"/>
            <w:tcBorders>
              <w:top w:val="nil"/>
              <w:bottom w:val="nil"/>
            </w:tcBorders>
          </w:tcPr>
          <w:p w14:paraId="491CFF47" w14:textId="77777777" w:rsidR="00CD3724" w:rsidRPr="00E2630C" w:rsidRDefault="00CD3724" w:rsidP="003315F5">
            <w:pPr>
              <w:jc w:val="center"/>
              <w:rPr>
                <w:rFonts w:ascii="Times New Roman" w:hAnsi="Times New Roman" w:cs="Times New Roman"/>
                <w:b/>
                <w:bCs/>
                <w:color w:val="000000" w:themeColor="text1"/>
                <w:sz w:val="24"/>
                <w:szCs w:val="24"/>
              </w:rPr>
            </w:pPr>
          </w:p>
        </w:tc>
        <w:tc>
          <w:tcPr>
            <w:tcW w:w="1530" w:type="dxa"/>
            <w:tcBorders>
              <w:top w:val="nil"/>
              <w:bottom w:val="nil"/>
            </w:tcBorders>
          </w:tcPr>
          <w:p w14:paraId="787A2A72"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Low</w:t>
            </w:r>
          </w:p>
        </w:tc>
        <w:tc>
          <w:tcPr>
            <w:tcW w:w="1800" w:type="dxa"/>
            <w:tcBorders>
              <w:top w:val="nil"/>
              <w:bottom w:val="nil"/>
            </w:tcBorders>
          </w:tcPr>
          <w:p w14:paraId="01BB4796" w14:textId="77777777" w:rsidR="00CD3724" w:rsidRPr="00E2630C" w:rsidRDefault="00CD3724" w:rsidP="003315F5">
            <w:pPr>
              <w:jc w:val="center"/>
              <w:rPr>
                <w:rFonts w:ascii="Times New Roman" w:hAnsi="Times New Roman" w:cs="Times New Roman"/>
                <w:b/>
                <w:bCs/>
                <w:color w:val="000000" w:themeColor="text1"/>
                <w:sz w:val="24"/>
                <w:szCs w:val="24"/>
              </w:rPr>
            </w:pPr>
          </w:p>
        </w:tc>
        <w:tc>
          <w:tcPr>
            <w:tcW w:w="1800" w:type="dxa"/>
            <w:tcBorders>
              <w:top w:val="nil"/>
              <w:bottom w:val="nil"/>
            </w:tcBorders>
          </w:tcPr>
          <w:p w14:paraId="08B5F5D3" w14:textId="77777777" w:rsidR="00CD3724" w:rsidRPr="00E2630C" w:rsidRDefault="00CD3724" w:rsidP="003315F5">
            <w:pPr>
              <w:jc w:val="center"/>
              <w:rPr>
                <w:rFonts w:ascii="Times New Roman" w:hAnsi="Times New Roman" w:cs="Times New Roman"/>
                <w:b/>
                <w:bCs/>
                <w:color w:val="000000" w:themeColor="text1"/>
                <w:sz w:val="24"/>
                <w:szCs w:val="24"/>
              </w:rPr>
            </w:pPr>
          </w:p>
        </w:tc>
        <w:tc>
          <w:tcPr>
            <w:tcW w:w="1260" w:type="dxa"/>
            <w:tcBorders>
              <w:top w:val="nil"/>
              <w:bottom w:val="nil"/>
            </w:tcBorders>
          </w:tcPr>
          <w:p w14:paraId="47A45933" w14:textId="77777777" w:rsidR="00CD3724" w:rsidRPr="00E2630C" w:rsidRDefault="00CD3724" w:rsidP="003315F5">
            <w:pPr>
              <w:jc w:val="center"/>
              <w:rPr>
                <w:rFonts w:ascii="Times New Roman" w:hAnsi="Times New Roman" w:cs="Times New Roman"/>
                <w:b/>
                <w:bCs/>
                <w:color w:val="000000" w:themeColor="text1"/>
                <w:sz w:val="24"/>
                <w:szCs w:val="24"/>
              </w:rPr>
            </w:pPr>
          </w:p>
        </w:tc>
        <w:tc>
          <w:tcPr>
            <w:tcW w:w="1436" w:type="dxa"/>
            <w:tcBorders>
              <w:top w:val="nil"/>
              <w:bottom w:val="nil"/>
            </w:tcBorders>
          </w:tcPr>
          <w:p w14:paraId="06FED72F" w14:textId="77777777" w:rsidR="00CD3724" w:rsidRPr="00E2630C" w:rsidRDefault="00CD3724" w:rsidP="003315F5">
            <w:pPr>
              <w:jc w:val="center"/>
              <w:rPr>
                <w:rFonts w:ascii="Times New Roman" w:hAnsi="Times New Roman" w:cs="Times New Roman"/>
                <w:b/>
                <w:bCs/>
                <w:color w:val="000000" w:themeColor="text1"/>
                <w:sz w:val="24"/>
                <w:szCs w:val="24"/>
              </w:rPr>
            </w:pPr>
          </w:p>
        </w:tc>
      </w:tr>
      <w:tr w:rsidR="002D25B6" w:rsidRPr="00E2630C" w14:paraId="1C7C19FA" w14:textId="77777777" w:rsidTr="00ED6BC0">
        <w:trPr>
          <w:trHeight w:val="576"/>
        </w:trPr>
        <w:tc>
          <w:tcPr>
            <w:tcW w:w="2610" w:type="dxa"/>
            <w:tcBorders>
              <w:top w:val="nil"/>
              <w:bottom w:val="single" w:sz="4" w:space="0" w:color="auto"/>
            </w:tcBorders>
          </w:tcPr>
          <w:p w14:paraId="69541EEA" w14:textId="77777777" w:rsidR="00CD3724" w:rsidRPr="00E2630C" w:rsidRDefault="00CD3724" w:rsidP="003315F5">
            <w:pP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conflicts led to</w:t>
            </w:r>
          </w:p>
        </w:tc>
        <w:tc>
          <w:tcPr>
            <w:tcW w:w="1530" w:type="dxa"/>
            <w:tcBorders>
              <w:top w:val="nil"/>
              <w:bottom w:val="single" w:sz="4" w:space="0" w:color="auto"/>
            </w:tcBorders>
          </w:tcPr>
          <w:p w14:paraId="5B32D50B"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t>
            </w:r>
          </w:p>
        </w:tc>
        <w:tc>
          <w:tcPr>
            <w:tcW w:w="1710" w:type="dxa"/>
            <w:tcBorders>
              <w:top w:val="nil"/>
              <w:bottom w:val="single" w:sz="4" w:space="0" w:color="auto"/>
            </w:tcBorders>
          </w:tcPr>
          <w:p w14:paraId="4823DF43"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t>
            </w:r>
          </w:p>
        </w:tc>
        <w:tc>
          <w:tcPr>
            <w:tcW w:w="1530" w:type="dxa"/>
            <w:tcBorders>
              <w:top w:val="nil"/>
              <w:bottom w:val="single" w:sz="4" w:space="0" w:color="auto"/>
            </w:tcBorders>
          </w:tcPr>
          <w:p w14:paraId="2338E622"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t>
            </w:r>
          </w:p>
        </w:tc>
        <w:tc>
          <w:tcPr>
            <w:tcW w:w="1800" w:type="dxa"/>
            <w:tcBorders>
              <w:top w:val="nil"/>
              <w:bottom w:val="single" w:sz="4" w:space="0" w:color="auto"/>
            </w:tcBorders>
          </w:tcPr>
          <w:p w14:paraId="58E16331"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t>
            </w:r>
          </w:p>
        </w:tc>
        <w:tc>
          <w:tcPr>
            <w:tcW w:w="1800" w:type="dxa"/>
            <w:tcBorders>
              <w:top w:val="nil"/>
              <w:bottom w:val="single" w:sz="4" w:space="0" w:color="auto"/>
            </w:tcBorders>
          </w:tcPr>
          <w:p w14:paraId="59A73B85" w14:textId="77777777" w:rsidR="00CD3724" w:rsidRPr="00E2630C" w:rsidRDefault="00CD3724" w:rsidP="003315F5">
            <w:pPr>
              <w:jc w:val="center"/>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w:t>
            </w:r>
          </w:p>
        </w:tc>
        <w:tc>
          <w:tcPr>
            <w:tcW w:w="1260" w:type="dxa"/>
            <w:tcBorders>
              <w:top w:val="nil"/>
              <w:bottom w:val="single" w:sz="4" w:space="0" w:color="auto"/>
            </w:tcBorders>
          </w:tcPr>
          <w:p w14:paraId="7FA34CA8" w14:textId="77777777" w:rsidR="00CD3724" w:rsidRPr="00E2630C" w:rsidRDefault="00CD3724" w:rsidP="003315F5">
            <w:pPr>
              <w:jc w:val="center"/>
              <w:rPr>
                <w:rFonts w:ascii="Times New Roman" w:hAnsi="Times New Roman" w:cs="Times New Roman"/>
                <w:b/>
                <w:bCs/>
                <w:color w:val="000000" w:themeColor="text1"/>
                <w:sz w:val="24"/>
                <w:szCs w:val="24"/>
              </w:rPr>
            </w:pPr>
          </w:p>
        </w:tc>
        <w:tc>
          <w:tcPr>
            <w:tcW w:w="1436" w:type="dxa"/>
            <w:tcBorders>
              <w:top w:val="nil"/>
              <w:bottom w:val="single" w:sz="4" w:space="0" w:color="auto"/>
            </w:tcBorders>
          </w:tcPr>
          <w:p w14:paraId="36C0C616" w14:textId="77777777" w:rsidR="00CD3724" w:rsidRPr="00E2630C" w:rsidRDefault="00CD3724" w:rsidP="003315F5">
            <w:pPr>
              <w:jc w:val="center"/>
              <w:rPr>
                <w:rFonts w:ascii="Times New Roman" w:hAnsi="Times New Roman" w:cs="Times New Roman"/>
                <w:b/>
                <w:bCs/>
                <w:color w:val="000000" w:themeColor="text1"/>
                <w:sz w:val="24"/>
                <w:szCs w:val="24"/>
              </w:rPr>
            </w:pPr>
          </w:p>
        </w:tc>
      </w:tr>
      <w:tr w:rsidR="002D25B6" w:rsidRPr="00E2630C" w14:paraId="65C8FAA9" w14:textId="77777777" w:rsidTr="00ED6BC0">
        <w:trPr>
          <w:trHeight w:val="980"/>
        </w:trPr>
        <w:tc>
          <w:tcPr>
            <w:tcW w:w="2610" w:type="dxa"/>
            <w:tcBorders>
              <w:top w:val="single" w:sz="4" w:space="0" w:color="auto"/>
            </w:tcBorders>
          </w:tcPr>
          <w:p w14:paraId="5FFD5972"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Physical violence in all forms</w:t>
            </w:r>
          </w:p>
        </w:tc>
        <w:tc>
          <w:tcPr>
            <w:tcW w:w="1530" w:type="dxa"/>
            <w:tcBorders>
              <w:top w:val="single" w:sz="4" w:space="0" w:color="auto"/>
            </w:tcBorders>
          </w:tcPr>
          <w:p w14:paraId="155D4B2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77(23.1%)  </w:t>
            </w:r>
          </w:p>
        </w:tc>
        <w:tc>
          <w:tcPr>
            <w:tcW w:w="1710" w:type="dxa"/>
            <w:tcBorders>
              <w:top w:val="single" w:sz="4" w:space="0" w:color="auto"/>
            </w:tcBorders>
          </w:tcPr>
          <w:p w14:paraId="3718B763"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65(19.5%)</w:t>
            </w:r>
          </w:p>
        </w:tc>
        <w:tc>
          <w:tcPr>
            <w:tcW w:w="1530" w:type="dxa"/>
            <w:tcBorders>
              <w:top w:val="single" w:sz="4" w:space="0" w:color="auto"/>
            </w:tcBorders>
          </w:tcPr>
          <w:p w14:paraId="4A402EDA"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76(22.8%)</w:t>
            </w:r>
          </w:p>
        </w:tc>
        <w:tc>
          <w:tcPr>
            <w:tcW w:w="1800" w:type="dxa"/>
            <w:tcBorders>
              <w:top w:val="single" w:sz="4" w:space="0" w:color="auto"/>
            </w:tcBorders>
          </w:tcPr>
          <w:p w14:paraId="1B522B87"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65(19.5%)</w:t>
            </w:r>
          </w:p>
        </w:tc>
        <w:tc>
          <w:tcPr>
            <w:tcW w:w="1800" w:type="dxa"/>
            <w:tcBorders>
              <w:top w:val="single" w:sz="4" w:space="0" w:color="auto"/>
            </w:tcBorders>
          </w:tcPr>
          <w:p w14:paraId="3A5C94B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50(15.0%)</w:t>
            </w:r>
          </w:p>
        </w:tc>
        <w:tc>
          <w:tcPr>
            <w:tcW w:w="1260" w:type="dxa"/>
            <w:tcBorders>
              <w:top w:val="single" w:sz="4" w:space="0" w:color="auto"/>
            </w:tcBorders>
          </w:tcPr>
          <w:p w14:paraId="0CC1EC94"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3.16</w:t>
            </w:r>
          </w:p>
        </w:tc>
        <w:tc>
          <w:tcPr>
            <w:tcW w:w="1436" w:type="dxa"/>
            <w:tcBorders>
              <w:top w:val="single" w:sz="4" w:space="0" w:color="auto"/>
            </w:tcBorders>
          </w:tcPr>
          <w:p w14:paraId="069D90CF"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1.38</w:t>
            </w:r>
          </w:p>
        </w:tc>
      </w:tr>
      <w:tr w:rsidR="002D25B6" w:rsidRPr="00E2630C" w14:paraId="3B752F3B" w14:textId="77777777" w:rsidTr="00ED6BC0">
        <w:trPr>
          <w:trHeight w:val="684"/>
        </w:trPr>
        <w:tc>
          <w:tcPr>
            <w:tcW w:w="2610" w:type="dxa"/>
          </w:tcPr>
          <w:p w14:paraId="6A451EB4" w14:textId="77777777" w:rsidR="00CD3724" w:rsidRPr="00E2630C" w:rsidRDefault="00CD3724" w:rsidP="003315F5">
            <w:pPr>
              <w:spacing w:line="36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Brain Drain</w:t>
            </w:r>
          </w:p>
        </w:tc>
        <w:tc>
          <w:tcPr>
            <w:tcW w:w="1530" w:type="dxa"/>
          </w:tcPr>
          <w:p w14:paraId="78B7BC2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81(24.3%) </w:t>
            </w:r>
          </w:p>
        </w:tc>
        <w:tc>
          <w:tcPr>
            <w:tcW w:w="1710" w:type="dxa"/>
          </w:tcPr>
          <w:p w14:paraId="3BB9F910"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72(21.6%)</w:t>
            </w:r>
          </w:p>
        </w:tc>
        <w:tc>
          <w:tcPr>
            <w:tcW w:w="1530" w:type="dxa"/>
          </w:tcPr>
          <w:p w14:paraId="6894AD02"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75(22.5%)</w:t>
            </w:r>
          </w:p>
        </w:tc>
        <w:tc>
          <w:tcPr>
            <w:tcW w:w="1800" w:type="dxa"/>
          </w:tcPr>
          <w:p w14:paraId="2ABE0988"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58(17.4%)</w:t>
            </w:r>
          </w:p>
        </w:tc>
        <w:tc>
          <w:tcPr>
            <w:tcW w:w="1800" w:type="dxa"/>
          </w:tcPr>
          <w:p w14:paraId="57807E25"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47(14.1%)</w:t>
            </w:r>
          </w:p>
        </w:tc>
        <w:tc>
          <w:tcPr>
            <w:tcW w:w="1260" w:type="dxa"/>
          </w:tcPr>
          <w:p w14:paraId="7774462D"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3.25</w:t>
            </w:r>
          </w:p>
        </w:tc>
        <w:tc>
          <w:tcPr>
            <w:tcW w:w="1436" w:type="dxa"/>
          </w:tcPr>
          <w:p w14:paraId="42B52C6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1.37</w:t>
            </w:r>
          </w:p>
        </w:tc>
      </w:tr>
      <w:tr w:rsidR="002D25B6" w:rsidRPr="00E2630C" w14:paraId="3F08511A" w14:textId="77777777" w:rsidTr="00ED6BC0">
        <w:trPr>
          <w:trHeight w:val="663"/>
        </w:trPr>
        <w:tc>
          <w:tcPr>
            <w:tcW w:w="2610" w:type="dxa"/>
            <w:tcBorders>
              <w:bottom w:val="single" w:sz="4" w:space="0" w:color="auto"/>
            </w:tcBorders>
          </w:tcPr>
          <w:p w14:paraId="19A1ACAC" w14:textId="77777777" w:rsidR="00CD3724" w:rsidRPr="00E2630C" w:rsidRDefault="00CD3724" w:rsidP="003315F5">
            <w:pPr>
              <w:spacing w:line="36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Child labour</w:t>
            </w:r>
          </w:p>
        </w:tc>
        <w:tc>
          <w:tcPr>
            <w:tcW w:w="1530" w:type="dxa"/>
            <w:tcBorders>
              <w:bottom w:val="single" w:sz="4" w:space="0" w:color="auto"/>
            </w:tcBorders>
          </w:tcPr>
          <w:p w14:paraId="6A6A0BD6"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66(19.8%)  </w:t>
            </w:r>
          </w:p>
        </w:tc>
        <w:tc>
          <w:tcPr>
            <w:tcW w:w="1710" w:type="dxa"/>
            <w:tcBorders>
              <w:bottom w:val="single" w:sz="4" w:space="0" w:color="auto"/>
            </w:tcBorders>
          </w:tcPr>
          <w:p w14:paraId="01550A48"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73(21.9%)</w:t>
            </w:r>
          </w:p>
        </w:tc>
        <w:tc>
          <w:tcPr>
            <w:tcW w:w="1530" w:type="dxa"/>
            <w:tcBorders>
              <w:bottom w:val="single" w:sz="4" w:space="0" w:color="auto"/>
            </w:tcBorders>
          </w:tcPr>
          <w:p w14:paraId="36781119"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71(21.3%)</w:t>
            </w:r>
          </w:p>
        </w:tc>
        <w:tc>
          <w:tcPr>
            <w:tcW w:w="1800" w:type="dxa"/>
            <w:tcBorders>
              <w:bottom w:val="single" w:sz="4" w:space="0" w:color="auto"/>
            </w:tcBorders>
          </w:tcPr>
          <w:p w14:paraId="3734B49D"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79(23.7%)</w:t>
            </w:r>
          </w:p>
        </w:tc>
        <w:tc>
          <w:tcPr>
            <w:tcW w:w="1800" w:type="dxa"/>
            <w:tcBorders>
              <w:bottom w:val="single" w:sz="4" w:space="0" w:color="auto"/>
            </w:tcBorders>
          </w:tcPr>
          <w:p w14:paraId="7C01C9BE"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44(13.2%)</w:t>
            </w:r>
          </w:p>
        </w:tc>
        <w:tc>
          <w:tcPr>
            <w:tcW w:w="1260" w:type="dxa"/>
            <w:tcBorders>
              <w:bottom w:val="single" w:sz="4" w:space="0" w:color="auto"/>
            </w:tcBorders>
          </w:tcPr>
          <w:p w14:paraId="6BA56EA3"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3.11</w:t>
            </w:r>
          </w:p>
        </w:tc>
        <w:tc>
          <w:tcPr>
            <w:tcW w:w="1436" w:type="dxa"/>
            <w:tcBorders>
              <w:bottom w:val="single" w:sz="4" w:space="0" w:color="auto"/>
            </w:tcBorders>
          </w:tcPr>
          <w:p w14:paraId="449263B8"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1.33</w:t>
            </w:r>
          </w:p>
        </w:tc>
      </w:tr>
      <w:tr w:rsidR="002D25B6" w:rsidRPr="00E2630C" w14:paraId="24843D1E" w14:textId="77777777" w:rsidTr="00ED6BC0">
        <w:trPr>
          <w:trHeight w:val="663"/>
        </w:trPr>
        <w:tc>
          <w:tcPr>
            <w:tcW w:w="2610" w:type="dxa"/>
            <w:tcBorders>
              <w:top w:val="single" w:sz="4" w:space="0" w:color="auto"/>
              <w:bottom w:val="single" w:sz="4" w:space="0" w:color="auto"/>
            </w:tcBorders>
          </w:tcPr>
          <w:p w14:paraId="3D1C2252" w14:textId="77777777" w:rsidR="00CD3724" w:rsidRPr="00E2630C" w:rsidRDefault="00CD3724" w:rsidP="003315F5">
            <w:pPr>
              <w:spacing w:line="360" w:lineRule="auto"/>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 xml:space="preserve">Weighted </w:t>
            </w:r>
          </w:p>
        </w:tc>
        <w:tc>
          <w:tcPr>
            <w:tcW w:w="1530" w:type="dxa"/>
            <w:tcBorders>
              <w:top w:val="single" w:sz="4" w:space="0" w:color="auto"/>
              <w:bottom w:val="single" w:sz="4" w:space="0" w:color="auto"/>
            </w:tcBorders>
          </w:tcPr>
          <w:p w14:paraId="7B5D6F63" w14:textId="77777777" w:rsidR="00CD3724" w:rsidRPr="00E2630C" w:rsidRDefault="00CD3724" w:rsidP="003315F5">
            <w:pPr>
              <w:spacing w:line="360" w:lineRule="auto"/>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Average</w:t>
            </w:r>
          </w:p>
        </w:tc>
        <w:tc>
          <w:tcPr>
            <w:tcW w:w="1710" w:type="dxa"/>
            <w:tcBorders>
              <w:top w:val="single" w:sz="4" w:space="0" w:color="auto"/>
              <w:bottom w:val="single" w:sz="4" w:space="0" w:color="auto"/>
            </w:tcBorders>
          </w:tcPr>
          <w:p w14:paraId="4A8733BB"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tcBorders>
          </w:tcPr>
          <w:p w14:paraId="3FD8760F"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p>
        </w:tc>
        <w:tc>
          <w:tcPr>
            <w:tcW w:w="1800" w:type="dxa"/>
            <w:tcBorders>
              <w:top w:val="single" w:sz="4" w:space="0" w:color="auto"/>
              <w:bottom w:val="single" w:sz="4" w:space="0" w:color="auto"/>
            </w:tcBorders>
          </w:tcPr>
          <w:p w14:paraId="6E35F137" w14:textId="77777777" w:rsidR="00CD3724" w:rsidRPr="00E2630C" w:rsidRDefault="00CD3724" w:rsidP="003315F5">
            <w:pPr>
              <w:spacing w:line="360" w:lineRule="auto"/>
              <w:jc w:val="both"/>
              <w:rPr>
                <w:rFonts w:ascii="Times New Roman" w:hAnsi="Times New Roman" w:cs="Times New Roman"/>
                <w:color w:val="000000" w:themeColor="text1"/>
                <w:sz w:val="24"/>
                <w:szCs w:val="24"/>
              </w:rPr>
            </w:pPr>
          </w:p>
        </w:tc>
        <w:tc>
          <w:tcPr>
            <w:tcW w:w="1800" w:type="dxa"/>
            <w:tcBorders>
              <w:top w:val="single" w:sz="4" w:space="0" w:color="auto"/>
              <w:bottom w:val="single" w:sz="4" w:space="0" w:color="auto"/>
            </w:tcBorders>
          </w:tcPr>
          <w:p w14:paraId="2673CE08" w14:textId="77777777" w:rsidR="00CD3724" w:rsidRPr="00E2630C" w:rsidRDefault="00CD3724" w:rsidP="003315F5">
            <w:pPr>
              <w:spacing w:line="360" w:lineRule="auto"/>
              <w:jc w:val="both"/>
              <w:rPr>
                <w:rFonts w:ascii="Times New Roman" w:hAnsi="Times New Roman" w:cs="Times New Roman"/>
                <w:b/>
                <w:bCs/>
                <w:color w:val="000000" w:themeColor="text1"/>
                <w:sz w:val="24"/>
                <w:szCs w:val="24"/>
              </w:rPr>
            </w:pPr>
          </w:p>
        </w:tc>
        <w:tc>
          <w:tcPr>
            <w:tcW w:w="1260" w:type="dxa"/>
            <w:tcBorders>
              <w:top w:val="single" w:sz="4" w:space="0" w:color="auto"/>
              <w:bottom w:val="single" w:sz="4" w:space="0" w:color="auto"/>
            </w:tcBorders>
          </w:tcPr>
          <w:p w14:paraId="43B3D6E8" w14:textId="77777777" w:rsidR="00CD3724" w:rsidRPr="00E2630C" w:rsidRDefault="00CD3724" w:rsidP="003315F5">
            <w:pPr>
              <w:spacing w:line="360" w:lineRule="auto"/>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3.17</w:t>
            </w:r>
          </w:p>
        </w:tc>
        <w:tc>
          <w:tcPr>
            <w:tcW w:w="1436" w:type="dxa"/>
            <w:tcBorders>
              <w:top w:val="single" w:sz="4" w:space="0" w:color="auto"/>
              <w:bottom w:val="single" w:sz="4" w:space="0" w:color="auto"/>
            </w:tcBorders>
          </w:tcPr>
          <w:p w14:paraId="65485F7D" w14:textId="77777777" w:rsidR="00CD3724" w:rsidRPr="00E2630C" w:rsidRDefault="00CD3724" w:rsidP="003315F5">
            <w:pPr>
              <w:spacing w:line="360" w:lineRule="auto"/>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1.36</w:t>
            </w:r>
          </w:p>
        </w:tc>
      </w:tr>
    </w:tbl>
    <w:p w14:paraId="0029614C" w14:textId="77777777" w:rsidR="00CD3724" w:rsidRPr="00E2630C" w:rsidRDefault="00CD3724" w:rsidP="00CD3724">
      <w:pPr>
        <w:jc w:val="both"/>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 xml:space="preserve">Source: Fieldwork, 2023 Scale = 1 Never, 2 Low, 3 Very Low, 4 High, 5 Very high </w:t>
      </w:r>
    </w:p>
    <w:p w14:paraId="4E865954" w14:textId="77777777" w:rsidR="00CD3724" w:rsidRPr="00E2630C" w:rsidRDefault="00CD3724" w:rsidP="00CD3724">
      <w:pPr>
        <w:autoSpaceDE w:val="0"/>
        <w:autoSpaceDN w:val="0"/>
        <w:adjustRightInd w:val="0"/>
        <w:spacing w:after="0" w:line="480" w:lineRule="auto"/>
        <w:jc w:val="both"/>
        <w:rPr>
          <w:rFonts w:ascii="Times New Roman" w:hAnsi="Times New Roman" w:cs="Times New Roman"/>
          <w:color w:val="000000" w:themeColor="text1"/>
          <w:sz w:val="24"/>
          <w:szCs w:val="24"/>
        </w:rPr>
      </w:pPr>
    </w:p>
    <w:p w14:paraId="164AB0B0" w14:textId="77777777" w:rsidR="00ED6BC0" w:rsidRDefault="00ED6BC0" w:rsidP="00CD3724">
      <w:pPr>
        <w:autoSpaceDE w:val="0"/>
        <w:autoSpaceDN w:val="0"/>
        <w:adjustRightInd w:val="0"/>
        <w:spacing w:after="0" w:line="480" w:lineRule="auto"/>
        <w:jc w:val="both"/>
        <w:rPr>
          <w:rFonts w:ascii="Times New Roman" w:hAnsi="Times New Roman" w:cs="Times New Roman"/>
          <w:color w:val="000000" w:themeColor="text1"/>
          <w:sz w:val="24"/>
          <w:szCs w:val="24"/>
        </w:rPr>
        <w:sectPr w:rsidR="00ED6BC0" w:rsidSect="00ED6BC0">
          <w:type w:val="continuous"/>
          <w:pgSz w:w="16838" w:h="11906" w:orient="landscape" w:code="9"/>
          <w:pgMar w:top="1440" w:right="1440" w:bottom="2160" w:left="1440" w:header="706" w:footer="706" w:gutter="0"/>
          <w:cols w:space="708"/>
          <w:docGrid w:linePitch="360"/>
        </w:sectPr>
      </w:pPr>
    </w:p>
    <w:p w14:paraId="6A5E1DA5" w14:textId="12D87D46" w:rsidR="00CD3724" w:rsidRPr="00E2630C" w:rsidRDefault="00CD3724" w:rsidP="00CD3724">
      <w:pPr>
        <w:autoSpaceDE w:val="0"/>
        <w:autoSpaceDN w:val="0"/>
        <w:adjustRightInd w:val="0"/>
        <w:spacing w:after="0" w:line="480" w:lineRule="auto"/>
        <w:jc w:val="both"/>
        <w:rPr>
          <w:rFonts w:ascii="Times New Roman" w:hAnsi="Times New Roman" w:cs="Times New Roman"/>
          <w:color w:val="000000" w:themeColor="text1"/>
          <w:sz w:val="24"/>
          <w:szCs w:val="24"/>
        </w:rPr>
        <w:sectPr w:rsidR="00CD3724" w:rsidRPr="00E2630C" w:rsidSect="00ED6BC0">
          <w:type w:val="continuous"/>
          <w:pgSz w:w="11906" w:h="16838" w:code="9"/>
          <w:pgMar w:top="1440" w:right="1440" w:bottom="1440" w:left="2160" w:header="706" w:footer="706" w:gutter="0"/>
          <w:cols w:space="708"/>
          <w:docGrid w:linePitch="360"/>
        </w:sectPr>
      </w:pPr>
    </w:p>
    <w:p w14:paraId="37A4277F" w14:textId="77777777" w:rsidR="00CD3724" w:rsidRPr="00E2630C" w:rsidRDefault="00CD3724" w:rsidP="00CD3724">
      <w:pPr>
        <w:autoSpaceDE w:val="0"/>
        <w:autoSpaceDN w:val="0"/>
        <w:adjustRightInd w:val="0"/>
        <w:spacing w:after="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The scale spans from 0.00 to 3.00, reflecting disagreement among respondents concerning chieftaincy conflicts and personal security. Conversely, a range of 3.01 to 5.00 indicates respondents' alignment on these issues.</w:t>
      </w:r>
    </w:p>
    <w:p w14:paraId="2F8C03D6" w14:textId="77777777" w:rsidR="00CD3724" w:rsidRPr="00E2630C" w:rsidRDefault="00CD3724" w:rsidP="00CD3724">
      <w:pPr>
        <w:autoSpaceDE w:val="0"/>
        <w:autoSpaceDN w:val="0"/>
        <w:adjustRightInd w:val="0"/>
        <w:spacing w:before="240" w:after="0" w:line="480" w:lineRule="auto"/>
        <w:jc w:val="both"/>
        <w:rPr>
          <w:rFonts w:ascii="Times New Roman" w:eastAsia="Calibri" w:hAnsi="Times New Roman" w:cs="Times New Roman"/>
          <w:b/>
          <w:bCs/>
          <w:color w:val="000000" w:themeColor="text1"/>
          <w:sz w:val="24"/>
          <w:szCs w:val="24"/>
        </w:rPr>
      </w:pPr>
      <w:r w:rsidRPr="00E2630C">
        <w:rPr>
          <w:rFonts w:ascii="Times New Roman" w:hAnsi="Times New Roman" w:cs="Times New Roman"/>
          <w:color w:val="000000" w:themeColor="text1"/>
          <w:sz w:val="24"/>
          <w:szCs w:val="24"/>
        </w:rPr>
        <w:t>As outlined in Table 4.5, the mean of means (M = 3.17; SD = 1.36) indicates a prevalent consensus among respondents regarding the belief that chieftaincy conflicts can contribute to various factors including; physical violence in all its forms, brain drain, and child labour. Accompanied by an average standard deviation of 1.36, the researcher observes a moderate dispersion of responses, emphasizing the diversity of viewpoints among respondents around the mean of 1.36. These findings resonate with the research conducted by Agyeman (2021), suggesting that the emergence of chieftaincy conflicts contribute to various issues including physical violence, brain drain, and child labour. Within the Bawku Traditional Area of Ghana, these conflicts escalate due to a confluence of political interference, the proliferation of small arms, and a lack of adequate access to social services (Agyeman, 2021). Similarly, in Sierra Leone, the prevalence of violence in chiefdoms often stems from conflicts among indigenous peoples (Tangri, 1976). In northern Ghana, chieftaincy conflicts find impetus in issues such as land litigation, political polarization, and succession disputes (Alhassan, 2017). Despite the adverse consequences associated with these conflicts, they also contribute to the enrichment of decision-making processes and the fortification of inter-ethnic unity (Bukari et al., 2016).</w:t>
      </w:r>
    </w:p>
    <w:p w14:paraId="297BF446" w14:textId="77777777" w:rsidR="00CD3724" w:rsidRPr="00E2630C" w:rsidRDefault="00CD3724" w:rsidP="00CD3724">
      <w:pPr>
        <w:autoSpaceDE w:val="0"/>
        <w:autoSpaceDN w:val="0"/>
        <w:adjustRightInd w:val="0"/>
        <w:spacing w:after="0" w:line="480" w:lineRule="auto"/>
        <w:jc w:val="both"/>
        <w:rPr>
          <w:rFonts w:ascii="Times New Roman" w:eastAsia="Calibri" w:hAnsi="Times New Roman" w:cs="Times New Roman"/>
          <w:b/>
          <w:bCs/>
          <w:color w:val="000000" w:themeColor="text1"/>
          <w:sz w:val="24"/>
          <w:szCs w:val="24"/>
        </w:rPr>
      </w:pPr>
    </w:p>
    <w:p w14:paraId="1356D881" w14:textId="61863D68" w:rsidR="00CD3724" w:rsidRDefault="00CD3724" w:rsidP="00CD3724">
      <w:pPr>
        <w:spacing w:after="0" w:line="480" w:lineRule="auto"/>
        <w:jc w:val="both"/>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 xml:space="preserve">The study further examined the potential implications of chieftaincy conflicts on personal security. The hypothesis posited that physical violence in all forms, brain </w:t>
      </w:r>
      <w:r w:rsidRPr="00E2630C">
        <w:rPr>
          <w:rFonts w:ascii="Times New Roman" w:eastAsia="Calibri" w:hAnsi="Times New Roman" w:cs="Times New Roman"/>
          <w:color w:val="000000" w:themeColor="text1"/>
          <w:sz w:val="24"/>
          <w:szCs w:val="24"/>
        </w:rPr>
        <w:lastRenderedPageBreak/>
        <w:t>drain, and child labour could positively be impacted by chieftaincy conflicts. To assess this hypothesis, a multiple regression analysis was employed.</w:t>
      </w:r>
    </w:p>
    <w:p w14:paraId="05BC93C0" w14:textId="77777777" w:rsidR="00CD3724" w:rsidRPr="00E2630C" w:rsidRDefault="00CD3724" w:rsidP="00DD112B">
      <w:pPr>
        <w:pStyle w:val="Heading6"/>
      </w:pPr>
      <w:bookmarkStart w:id="127" w:name="_Toc182386328"/>
      <w:r w:rsidRPr="00E2630C">
        <w:rPr>
          <w:rFonts w:eastAsia="Calibri"/>
          <w:iCs/>
        </w:rPr>
        <w:t xml:space="preserve">Table 4.10: Results of Multiple Regression on </w:t>
      </w:r>
      <w:r w:rsidRPr="00E2630C">
        <w:t>Chieftaincy Conflicts and Personal Security in Bimbilla.</w:t>
      </w:r>
      <w:bookmarkEnd w:id="127"/>
    </w:p>
    <w:p w14:paraId="2E7CD9C9"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b/>
          <w:bCs/>
          <w:color w:val="000000" w:themeColor="text1"/>
          <w:sz w:val="24"/>
          <w:szCs w:val="24"/>
        </w:rPr>
        <w:t xml:space="preserve">Model summary </w:t>
      </w:r>
    </w:p>
    <w:tbl>
      <w:tblPr>
        <w:tblStyle w:val="TableGrid1"/>
        <w:tblW w:w="791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1"/>
        <w:gridCol w:w="744"/>
        <w:gridCol w:w="1170"/>
        <w:gridCol w:w="2250"/>
        <w:gridCol w:w="2875"/>
      </w:tblGrid>
      <w:tr w:rsidR="002D25B6" w:rsidRPr="00E2630C" w14:paraId="095D80A1" w14:textId="77777777" w:rsidTr="003315F5">
        <w:tc>
          <w:tcPr>
            <w:tcW w:w="871" w:type="dxa"/>
            <w:tcBorders>
              <w:top w:val="single" w:sz="4" w:space="0" w:color="auto"/>
              <w:bottom w:val="single" w:sz="4" w:space="0" w:color="auto"/>
            </w:tcBorders>
          </w:tcPr>
          <w:p w14:paraId="06BBADDE"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744" w:type="dxa"/>
            <w:tcBorders>
              <w:top w:val="single" w:sz="4" w:space="0" w:color="auto"/>
              <w:bottom w:val="single" w:sz="4" w:space="0" w:color="auto"/>
            </w:tcBorders>
          </w:tcPr>
          <w:p w14:paraId="6909D9D0"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R</w:t>
            </w:r>
          </w:p>
        </w:tc>
        <w:tc>
          <w:tcPr>
            <w:tcW w:w="1170" w:type="dxa"/>
            <w:tcBorders>
              <w:top w:val="single" w:sz="4" w:space="0" w:color="auto"/>
              <w:bottom w:val="single" w:sz="4" w:space="0" w:color="auto"/>
            </w:tcBorders>
          </w:tcPr>
          <w:p w14:paraId="39F5FB4C"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R Square</w:t>
            </w:r>
          </w:p>
        </w:tc>
        <w:tc>
          <w:tcPr>
            <w:tcW w:w="2250" w:type="dxa"/>
            <w:tcBorders>
              <w:top w:val="single" w:sz="4" w:space="0" w:color="auto"/>
              <w:bottom w:val="single" w:sz="4" w:space="0" w:color="auto"/>
            </w:tcBorders>
          </w:tcPr>
          <w:p w14:paraId="2CB65A51"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Adjusted R square</w:t>
            </w:r>
          </w:p>
        </w:tc>
        <w:tc>
          <w:tcPr>
            <w:tcW w:w="2875" w:type="dxa"/>
            <w:tcBorders>
              <w:top w:val="single" w:sz="4" w:space="0" w:color="auto"/>
              <w:bottom w:val="single" w:sz="4" w:space="0" w:color="auto"/>
            </w:tcBorders>
          </w:tcPr>
          <w:p w14:paraId="6AB3A8BE" w14:textId="77777777" w:rsidR="00CD3724" w:rsidRPr="00E2630C" w:rsidRDefault="00CD3724" w:rsidP="003315F5">
            <w:pPr>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Std. Error of Estimate</w:t>
            </w:r>
          </w:p>
        </w:tc>
      </w:tr>
      <w:tr w:rsidR="002D25B6" w:rsidRPr="00E2630C" w14:paraId="116FC5AD" w14:textId="77777777" w:rsidTr="003315F5">
        <w:tc>
          <w:tcPr>
            <w:tcW w:w="871" w:type="dxa"/>
            <w:tcBorders>
              <w:top w:val="single" w:sz="4" w:space="0" w:color="auto"/>
            </w:tcBorders>
            <w:shd w:val="clear" w:color="auto" w:fill="FFFFFF"/>
            <w:vAlign w:val="center"/>
          </w:tcPr>
          <w:p w14:paraId="631C60C6"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w:t>
            </w:r>
          </w:p>
        </w:tc>
        <w:tc>
          <w:tcPr>
            <w:tcW w:w="744" w:type="dxa"/>
            <w:tcBorders>
              <w:top w:val="single" w:sz="4" w:space="0" w:color="auto"/>
            </w:tcBorders>
            <w:shd w:val="clear" w:color="auto" w:fill="FFFFFF"/>
            <w:vAlign w:val="center"/>
          </w:tcPr>
          <w:p w14:paraId="52B98649" w14:textId="77777777" w:rsidR="00CD3724" w:rsidRPr="00E2630C" w:rsidRDefault="00CD3724" w:rsidP="003315F5">
            <w:pP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.233</w:t>
            </w:r>
          </w:p>
        </w:tc>
        <w:tc>
          <w:tcPr>
            <w:tcW w:w="1170" w:type="dxa"/>
            <w:tcBorders>
              <w:top w:val="single" w:sz="4" w:space="0" w:color="auto"/>
            </w:tcBorders>
            <w:shd w:val="clear" w:color="auto" w:fill="FFFFFF"/>
            <w:vAlign w:val="center"/>
          </w:tcPr>
          <w:p w14:paraId="3261901D"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.054</w:t>
            </w:r>
          </w:p>
        </w:tc>
        <w:tc>
          <w:tcPr>
            <w:tcW w:w="2250" w:type="dxa"/>
            <w:tcBorders>
              <w:top w:val="single" w:sz="4" w:space="0" w:color="auto"/>
            </w:tcBorders>
            <w:shd w:val="clear" w:color="auto" w:fill="FFFFFF"/>
            <w:vAlign w:val="center"/>
          </w:tcPr>
          <w:p w14:paraId="63E26A18"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.046</w:t>
            </w:r>
          </w:p>
        </w:tc>
        <w:tc>
          <w:tcPr>
            <w:tcW w:w="2875" w:type="dxa"/>
            <w:tcBorders>
              <w:top w:val="single" w:sz="4" w:space="0" w:color="auto"/>
            </w:tcBorders>
            <w:shd w:val="clear" w:color="auto" w:fill="FFFFFF"/>
            <w:vAlign w:val="center"/>
          </w:tcPr>
          <w:p w14:paraId="000D1874" w14:textId="77777777" w:rsidR="00CD3724" w:rsidRPr="00E2630C" w:rsidRDefault="00CD3724" w:rsidP="003315F5">
            <w:pPr>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1.35526</w:t>
            </w:r>
          </w:p>
        </w:tc>
      </w:tr>
    </w:tbl>
    <w:p w14:paraId="07FF45C9" w14:textId="77777777" w:rsidR="00CD3724" w:rsidRPr="00E2630C" w:rsidRDefault="00CD3724" w:rsidP="00CD3724">
      <w:pPr>
        <w:autoSpaceDE w:val="0"/>
        <w:autoSpaceDN w:val="0"/>
        <w:adjustRightInd w:val="0"/>
        <w:spacing w:after="0" w:line="400" w:lineRule="atLeast"/>
        <w:rPr>
          <w:rFonts w:ascii="Times New Roman" w:eastAsia="Calibri" w:hAnsi="Times New Roman" w:cs="Times New Roman"/>
          <w:b/>
          <w:bCs/>
          <w:color w:val="000000" w:themeColor="text1"/>
          <w:sz w:val="24"/>
          <w:szCs w:val="24"/>
        </w:rPr>
      </w:pPr>
    </w:p>
    <w:p w14:paraId="6724D92C" w14:textId="77777777" w:rsidR="00CD3724" w:rsidRPr="00E2630C" w:rsidRDefault="00CD3724" w:rsidP="00CD3724">
      <w:pPr>
        <w:autoSpaceDE w:val="0"/>
        <w:autoSpaceDN w:val="0"/>
        <w:adjustRightInd w:val="0"/>
        <w:spacing w:after="0" w:line="400" w:lineRule="atLeast"/>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ANOVA</w:t>
      </w:r>
    </w:p>
    <w:tbl>
      <w:tblPr>
        <w:tblStyle w:val="TableGrid1"/>
        <w:tblW w:w="791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3"/>
        <w:gridCol w:w="2147"/>
        <w:gridCol w:w="1080"/>
        <w:gridCol w:w="1710"/>
        <w:gridCol w:w="1054"/>
        <w:gridCol w:w="636"/>
      </w:tblGrid>
      <w:tr w:rsidR="002D25B6" w:rsidRPr="00E2630C" w14:paraId="612894FB" w14:textId="77777777" w:rsidTr="003315F5">
        <w:tc>
          <w:tcPr>
            <w:tcW w:w="1283" w:type="dxa"/>
            <w:tcBorders>
              <w:top w:val="single" w:sz="4" w:space="0" w:color="auto"/>
              <w:bottom w:val="single" w:sz="4" w:space="0" w:color="auto"/>
            </w:tcBorders>
            <w:shd w:val="clear" w:color="auto" w:fill="FFFFFF"/>
          </w:tcPr>
          <w:p w14:paraId="0BAC5AA0"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2147" w:type="dxa"/>
            <w:tcBorders>
              <w:top w:val="single" w:sz="4" w:space="0" w:color="auto"/>
              <w:bottom w:val="single" w:sz="4" w:space="0" w:color="auto"/>
            </w:tcBorders>
            <w:shd w:val="clear" w:color="auto" w:fill="FFFFFF"/>
          </w:tcPr>
          <w:p w14:paraId="6E1D7421"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Sum of Squares</w:t>
            </w:r>
          </w:p>
        </w:tc>
        <w:tc>
          <w:tcPr>
            <w:tcW w:w="1080" w:type="dxa"/>
            <w:tcBorders>
              <w:top w:val="single" w:sz="4" w:space="0" w:color="auto"/>
              <w:bottom w:val="single" w:sz="4" w:space="0" w:color="auto"/>
            </w:tcBorders>
            <w:shd w:val="clear" w:color="auto" w:fill="FFFFFF"/>
          </w:tcPr>
          <w:p w14:paraId="7AFD052E"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Df</w:t>
            </w:r>
          </w:p>
        </w:tc>
        <w:tc>
          <w:tcPr>
            <w:tcW w:w="1710" w:type="dxa"/>
            <w:tcBorders>
              <w:top w:val="single" w:sz="4" w:space="0" w:color="auto"/>
              <w:bottom w:val="single" w:sz="4" w:space="0" w:color="auto"/>
            </w:tcBorders>
            <w:shd w:val="clear" w:color="auto" w:fill="FFFFFF"/>
          </w:tcPr>
          <w:p w14:paraId="57BCA4D4"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Mean Square</w:t>
            </w:r>
          </w:p>
        </w:tc>
        <w:tc>
          <w:tcPr>
            <w:tcW w:w="1054" w:type="dxa"/>
            <w:tcBorders>
              <w:top w:val="single" w:sz="4" w:space="0" w:color="auto"/>
              <w:bottom w:val="single" w:sz="4" w:space="0" w:color="auto"/>
            </w:tcBorders>
            <w:shd w:val="clear" w:color="auto" w:fill="FFFFFF"/>
          </w:tcPr>
          <w:p w14:paraId="7B0C413D"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F</w:t>
            </w:r>
          </w:p>
        </w:tc>
        <w:tc>
          <w:tcPr>
            <w:tcW w:w="636" w:type="dxa"/>
            <w:tcBorders>
              <w:top w:val="single" w:sz="4" w:space="0" w:color="auto"/>
              <w:bottom w:val="single" w:sz="4" w:space="0" w:color="auto"/>
            </w:tcBorders>
            <w:shd w:val="clear" w:color="auto" w:fill="FFFFFF"/>
          </w:tcPr>
          <w:p w14:paraId="202FB467"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Sig.</w:t>
            </w:r>
          </w:p>
        </w:tc>
      </w:tr>
      <w:tr w:rsidR="002D25B6" w:rsidRPr="00E2630C" w14:paraId="1987BE1B" w14:textId="77777777" w:rsidTr="003315F5">
        <w:tc>
          <w:tcPr>
            <w:tcW w:w="1283" w:type="dxa"/>
            <w:tcBorders>
              <w:top w:val="single" w:sz="4" w:space="0" w:color="auto"/>
            </w:tcBorders>
            <w:vAlign w:val="center"/>
          </w:tcPr>
          <w:p w14:paraId="6CE8388C"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Regression</w:t>
            </w:r>
          </w:p>
        </w:tc>
        <w:tc>
          <w:tcPr>
            <w:tcW w:w="2147" w:type="dxa"/>
            <w:tcBorders>
              <w:top w:val="single" w:sz="4" w:space="0" w:color="auto"/>
            </w:tcBorders>
            <w:shd w:val="clear" w:color="auto" w:fill="FFFFFF"/>
            <w:vAlign w:val="center"/>
          </w:tcPr>
          <w:p w14:paraId="23CE4B1F"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34.698</w:t>
            </w:r>
          </w:p>
        </w:tc>
        <w:tc>
          <w:tcPr>
            <w:tcW w:w="1080" w:type="dxa"/>
            <w:tcBorders>
              <w:top w:val="single" w:sz="4" w:space="0" w:color="auto"/>
            </w:tcBorders>
            <w:shd w:val="clear" w:color="auto" w:fill="FFFFFF"/>
            <w:vAlign w:val="center"/>
          </w:tcPr>
          <w:p w14:paraId="3C24AC45"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w:t>
            </w:r>
          </w:p>
        </w:tc>
        <w:tc>
          <w:tcPr>
            <w:tcW w:w="1710" w:type="dxa"/>
            <w:tcBorders>
              <w:top w:val="single" w:sz="4" w:space="0" w:color="auto"/>
            </w:tcBorders>
            <w:shd w:val="clear" w:color="auto" w:fill="FFFFFF"/>
            <w:vAlign w:val="center"/>
          </w:tcPr>
          <w:p w14:paraId="65F19BE5"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11.566</w:t>
            </w:r>
          </w:p>
        </w:tc>
        <w:tc>
          <w:tcPr>
            <w:tcW w:w="1054" w:type="dxa"/>
            <w:tcBorders>
              <w:top w:val="single" w:sz="4" w:space="0" w:color="auto"/>
            </w:tcBorders>
            <w:shd w:val="clear" w:color="auto" w:fill="FFFFFF"/>
            <w:vAlign w:val="center"/>
          </w:tcPr>
          <w:p w14:paraId="00F68F50"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6.297</w:t>
            </w:r>
          </w:p>
        </w:tc>
        <w:tc>
          <w:tcPr>
            <w:tcW w:w="636" w:type="dxa"/>
            <w:tcBorders>
              <w:top w:val="single" w:sz="4" w:space="0" w:color="auto"/>
            </w:tcBorders>
            <w:shd w:val="clear" w:color="auto" w:fill="FFFFFF"/>
            <w:vAlign w:val="center"/>
          </w:tcPr>
          <w:p w14:paraId="0DE4B1DA"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.000</w:t>
            </w:r>
          </w:p>
        </w:tc>
      </w:tr>
      <w:tr w:rsidR="002D25B6" w:rsidRPr="00E2630C" w14:paraId="61B2E168" w14:textId="77777777" w:rsidTr="003315F5">
        <w:tc>
          <w:tcPr>
            <w:tcW w:w="1283" w:type="dxa"/>
            <w:tcBorders>
              <w:bottom w:val="single" w:sz="4" w:space="0" w:color="auto"/>
            </w:tcBorders>
            <w:vAlign w:val="center"/>
          </w:tcPr>
          <w:p w14:paraId="0794E2D9"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Residual</w:t>
            </w:r>
          </w:p>
        </w:tc>
        <w:tc>
          <w:tcPr>
            <w:tcW w:w="2147" w:type="dxa"/>
            <w:tcBorders>
              <w:bottom w:val="single" w:sz="4" w:space="0" w:color="auto"/>
            </w:tcBorders>
            <w:shd w:val="clear" w:color="auto" w:fill="FFFFFF"/>
            <w:vAlign w:val="center"/>
          </w:tcPr>
          <w:p w14:paraId="75CF502B"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604.281</w:t>
            </w:r>
          </w:p>
        </w:tc>
        <w:tc>
          <w:tcPr>
            <w:tcW w:w="1080" w:type="dxa"/>
            <w:tcBorders>
              <w:bottom w:val="single" w:sz="4" w:space="0" w:color="auto"/>
            </w:tcBorders>
            <w:shd w:val="clear" w:color="auto" w:fill="FFFFFF"/>
            <w:vAlign w:val="center"/>
          </w:tcPr>
          <w:p w14:paraId="2D43860F"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329</w:t>
            </w:r>
          </w:p>
        </w:tc>
        <w:tc>
          <w:tcPr>
            <w:tcW w:w="1710" w:type="dxa"/>
            <w:tcBorders>
              <w:bottom w:val="single" w:sz="4" w:space="0" w:color="auto"/>
            </w:tcBorders>
            <w:shd w:val="clear" w:color="auto" w:fill="FFFFFF"/>
            <w:vAlign w:val="center"/>
          </w:tcPr>
          <w:p w14:paraId="127AB60F"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1.837</w:t>
            </w:r>
          </w:p>
        </w:tc>
        <w:tc>
          <w:tcPr>
            <w:tcW w:w="1054" w:type="dxa"/>
            <w:tcBorders>
              <w:bottom w:val="single" w:sz="4" w:space="0" w:color="auto"/>
            </w:tcBorders>
            <w:shd w:val="clear" w:color="auto" w:fill="FFFFFF"/>
          </w:tcPr>
          <w:p w14:paraId="08A7114E"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p>
        </w:tc>
        <w:tc>
          <w:tcPr>
            <w:tcW w:w="636" w:type="dxa"/>
            <w:tcBorders>
              <w:bottom w:val="single" w:sz="4" w:space="0" w:color="auto"/>
            </w:tcBorders>
            <w:shd w:val="clear" w:color="auto" w:fill="FFFFFF"/>
          </w:tcPr>
          <w:p w14:paraId="0C4F8520" w14:textId="77777777" w:rsidR="00CD3724" w:rsidRPr="00E2630C" w:rsidRDefault="00CD3724" w:rsidP="003315F5">
            <w:pPr>
              <w:autoSpaceDE w:val="0"/>
              <w:autoSpaceDN w:val="0"/>
              <w:adjustRightInd w:val="0"/>
              <w:rPr>
                <w:rFonts w:ascii="Times New Roman" w:eastAsia="Calibri" w:hAnsi="Times New Roman" w:cs="Times New Roman"/>
                <w:color w:val="000000" w:themeColor="text1"/>
                <w:sz w:val="24"/>
                <w:szCs w:val="24"/>
              </w:rPr>
            </w:pPr>
          </w:p>
        </w:tc>
      </w:tr>
      <w:tr w:rsidR="002D25B6" w:rsidRPr="00E2630C" w14:paraId="7DF84EC6" w14:textId="77777777" w:rsidTr="003315F5">
        <w:tc>
          <w:tcPr>
            <w:tcW w:w="1283" w:type="dxa"/>
            <w:tcBorders>
              <w:top w:val="single" w:sz="4" w:space="0" w:color="auto"/>
              <w:bottom w:val="single" w:sz="4" w:space="0" w:color="auto"/>
            </w:tcBorders>
            <w:vAlign w:val="center"/>
          </w:tcPr>
          <w:p w14:paraId="267E493F"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Total</w:t>
            </w:r>
          </w:p>
        </w:tc>
        <w:tc>
          <w:tcPr>
            <w:tcW w:w="2147" w:type="dxa"/>
            <w:tcBorders>
              <w:top w:val="single" w:sz="4" w:space="0" w:color="auto"/>
              <w:bottom w:val="single" w:sz="4" w:space="0" w:color="auto"/>
            </w:tcBorders>
            <w:shd w:val="clear" w:color="auto" w:fill="FFFFFF"/>
            <w:vAlign w:val="center"/>
          </w:tcPr>
          <w:p w14:paraId="55CCB008"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hAnsi="Times New Roman" w:cs="Times New Roman"/>
                <w:color w:val="000000" w:themeColor="text1"/>
                <w:kern w:val="0"/>
                <w:sz w:val="24"/>
                <w:szCs w:val="24"/>
              </w:rPr>
              <w:t>638.979</w:t>
            </w:r>
          </w:p>
        </w:tc>
        <w:tc>
          <w:tcPr>
            <w:tcW w:w="1080" w:type="dxa"/>
            <w:tcBorders>
              <w:top w:val="single" w:sz="4" w:space="0" w:color="auto"/>
              <w:bottom w:val="single" w:sz="4" w:space="0" w:color="auto"/>
            </w:tcBorders>
            <w:shd w:val="clear" w:color="auto" w:fill="FFFFFF"/>
            <w:vAlign w:val="center"/>
          </w:tcPr>
          <w:p w14:paraId="2889FAF3"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r w:rsidRPr="00E2630C">
              <w:rPr>
                <w:rFonts w:ascii="Times New Roman" w:hAnsi="Times New Roman" w:cs="Times New Roman"/>
                <w:color w:val="000000" w:themeColor="text1"/>
                <w:kern w:val="0"/>
                <w:sz w:val="24"/>
                <w:szCs w:val="24"/>
              </w:rPr>
              <w:t>332</w:t>
            </w:r>
          </w:p>
        </w:tc>
        <w:tc>
          <w:tcPr>
            <w:tcW w:w="1710" w:type="dxa"/>
            <w:tcBorders>
              <w:top w:val="single" w:sz="4" w:space="0" w:color="auto"/>
              <w:bottom w:val="single" w:sz="4" w:space="0" w:color="auto"/>
            </w:tcBorders>
            <w:shd w:val="clear" w:color="auto" w:fill="FFFFFF"/>
          </w:tcPr>
          <w:p w14:paraId="506D0029"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p>
        </w:tc>
        <w:tc>
          <w:tcPr>
            <w:tcW w:w="1054" w:type="dxa"/>
            <w:tcBorders>
              <w:top w:val="single" w:sz="4" w:space="0" w:color="auto"/>
              <w:bottom w:val="single" w:sz="4" w:space="0" w:color="auto"/>
            </w:tcBorders>
            <w:shd w:val="clear" w:color="auto" w:fill="FFFFFF"/>
          </w:tcPr>
          <w:p w14:paraId="00AC1478"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p>
        </w:tc>
        <w:tc>
          <w:tcPr>
            <w:tcW w:w="636" w:type="dxa"/>
            <w:tcBorders>
              <w:top w:val="single" w:sz="4" w:space="0" w:color="auto"/>
              <w:bottom w:val="single" w:sz="4" w:space="0" w:color="auto"/>
            </w:tcBorders>
            <w:shd w:val="clear" w:color="auto" w:fill="FFFFFF"/>
          </w:tcPr>
          <w:p w14:paraId="6499DE76" w14:textId="77777777" w:rsidR="00CD3724" w:rsidRPr="00E2630C" w:rsidRDefault="00CD3724" w:rsidP="003315F5">
            <w:pPr>
              <w:autoSpaceDE w:val="0"/>
              <w:autoSpaceDN w:val="0"/>
              <w:adjustRightInd w:val="0"/>
              <w:rPr>
                <w:rFonts w:ascii="Times New Roman" w:eastAsia="Calibri" w:hAnsi="Times New Roman" w:cs="Times New Roman"/>
                <w:b/>
                <w:bCs/>
                <w:color w:val="000000" w:themeColor="text1"/>
                <w:sz w:val="24"/>
                <w:szCs w:val="24"/>
              </w:rPr>
            </w:pPr>
          </w:p>
        </w:tc>
      </w:tr>
    </w:tbl>
    <w:p w14:paraId="39F2FB8A" w14:textId="77777777" w:rsidR="00CD3724" w:rsidRPr="00E2630C" w:rsidRDefault="00CD3724" w:rsidP="00CD3724">
      <w:pPr>
        <w:autoSpaceDE w:val="0"/>
        <w:autoSpaceDN w:val="0"/>
        <w:adjustRightInd w:val="0"/>
        <w:spacing w:after="0"/>
        <w:jc w:val="center"/>
        <w:rPr>
          <w:rFonts w:ascii="Times New Roman" w:eastAsia="Calibri" w:hAnsi="Times New Roman" w:cs="Times New Roman"/>
          <w:b/>
          <w:bCs/>
          <w:color w:val="000000" w:themeColor="text1"/>
          <w:sz w:val="24"/>
          <w:szCs w:val="24"/>
        </w:rPr>
      </w:pPr>
    </w:p>
    <w:p w14:paraId="39A8AF7B" w14:textId="77777777" w:rsidR="00CD3724" w:rsidRPr="00E2630C" w:rsidRDefault="00CD3724" w:rsidP="00CD3724">
      <w:pPr>
        <w:autoSpaceDE w:val="0"/>
        <w:autoSpaceDN w:val="0"/>
        <w:adjustRightInd w:val="0"/>
        <w:spacing w:after="0"/>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Coefficients</w:t>
      </w:r>
    </w:p>
    <w:tbl>
      <w:tblPr>
        <w:tblStyle w:val="TableGrid1"/>
        <w:tblW w:w="800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4"/>
        <w:gridCol w:w="1341"/>
        <w:gridCol w:w="1170"/>
        <w:gridCol w:w="900"/>
        <w:gridCol w:w="990"/>
        <w:gridCol w:w="1350"/>
      </w:tblGrid>
      <w:tr w:rsidR="002D25B6" w:rsidRPr="00E2630C" w14:paraId="1EE4E490" w14:textId="77777777" w:rsidTr="003315F5">
        <w:tc>
          <w:tcPr>
            <w:tcW w:w="2254" w:type="dxa"/>
            <w:tcBorders>
              <w:top w:val="single" w:sz="4" w:space="0" w:color="auto"/>
              <w:bottom w:val="single" w:sz="4" w:space="0" w:color="auto"/>
            </w:tcBorders>
            <w:vAlign w:val="center"/>
          </w:tcPr>
          <w:p w14:paraId="1760CD10" w14:textId="77777777" w:rsidR="00CD3724" w:rsidRPr="00E2630C" w:rsidRDefault="00CD3724" w:rsidP="003315F5">
            <w:pPr>
              <w:autoSpaceDE w:val="0"/>
              <w:autoSpaceDN w:val="0"/>
              <w:adjustRightInd w:val="0"/>
              <w:spacing w:line="360" w:lineRule="auto"/>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Model</w:t>
            </w:r>
          </w:p>
        </w:tc>
        <w:tc>
          <w:tcPr>
            <w:tcW w:w="1341" w:type="dxa"/>
            <w:tcBorders>
              <w:top w:val="single" w:sz="4" w:space="0" w:color="auto"/>
              <w:bottom w:val="single" w:sz="4" w:space="0" w:color="auto"/>
            </w:tcBorders>
            <w:vAlign w:val="center"/>
          </w:tcPr>
          <w:p w14:paraId="77A7AE4F"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β</w:t>
            </w:r>
          </w:p>
        </w:tc>
        <w:tc>
          <w:tcPr>
            <w:tcW w:w="1170" w:type="dxa"/>
            <w:tcBorders>
              <w:top w:val="single" w:sz="4" w:space="0" w:color="auto"/>
              <w:bottom w:val="single" w:sz="4" w:space="0" w:color="auto"/>
            </w:tcBorders>
            <w:vAlign w:val="center"/>
          </w:tcPr>
          <w:p w14:paraId="76D7022F"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SE</w:t>
            </w:r>
          </w:p>
        </w:tc>
        <w:tc>
          <w:tcPr>
            <w:tcW w:w="900" w:type="dxa"/>
            <w:tcBorders>
              <w:top w:val="single" w:sz="4" w:space="0" w:color="auto"/>
              <w:bottom w:val="single" w:sz="4" w:space="0" w:color="auto"/>
            </w:tcBorders>
          </w:tcPr>
          <w:p w14:paraId="317BBE16"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β</w:t>
            </w:r>
          </w:p>
        </w:tc>
        <w:tc>
          <w:tcPr>
            <w:tcW w:w="990" w:type="dxa"/>
            <w:tcBorders>
              <w:top w:val="single" w:sz="4" w:space="0" w:color="auto"/>
              <w:bottom w:val="single" w:sz="4" w:space="0" w:color="auto"/>
            </w:tcBorders>
            <w:vAlign w:val="center"/>
          </w:tcPr>
          <w:p w14:paraId="733812F4"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t</w:t>
            </w:r>
          </w:p>
        </w:tc>
        <w:tc>
          <w:tcPr>
            <w:tcW w:w="1350" w:type="dxa"/>
            <w:tcBorders>
              <w:top w:val="single" w:sz="4" w:space="0" w:color="auto"/>
              <w:bottom w:val="single" w:sz="4" w:space="0" w:color="auto"/>
            </w:tcBorders>
            <w:vAlign w:val="center"/>
          </w:tcPr>
          <w:p w14:paraId="493C06FD"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P</w:t>
            </w:r>
          </w:p>
        </w:tc>
      </w:tr>
      <w:tr w:rsidR="002D25B6" w:rsidRPr="00E2630C" w14:paraId="0E911F6F" w14:textId="77777777" w:rsidTr="003315F5">
        <w:tc>
          <w:tcPr>
            <w:tcW w:w="2254" w:type="dxa"/>
            <w:tcBorders>
              <w:top w:val="single" w:sz="4" w:space="0" w:color="auto"/>
            </w:tcBorders>
            <w:vAlign w:val="center"/>
          </w:tcPr>
          <w:p w14:paraId="4E213B2F" w14:textId="77777777" w:rsidR="00CD3724" w:rsidRPr="00E2630C" w:rsidRDefault="00CD3724" w:rsidP="003315F5">
            <w:pPr>
              <w:autoSpaceDE w:val="0"/>
              <w:autoSpaceDN w:val="0"/>
              <w:adjustRightInd w:val="0"/>
              <w:spacing w:line="36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1 (Constant)</w:t>
            </w:r>
          </w:p>
        </w:tc>
        <w:tc>
          <w:tcPr>
            <w:tcW w:w="1341" w:type="dxa"/>
            <w:tcBorders>
              <w:top w:val="single" w:sz="4" w:space="0" w:color="auto"/>
            </w:tcBorders>
            <w:shd w:val="clear" w:color="auto" w:fill="FFFFFF"/>
            <w:vAlign w:val="center"/>
          </w:tcPr>
          <w:p w14:paraId="6BE84FDD"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2.552</w:t>
            </w:r>
          </w:p>
        </w:tc>
        <w:tc>
          <w:tcPr>
            <w:tcW w:w="1170" w:type="dxa"/>
            <w:tcBorders>
              <w:top w:val="single" w:sz="4" w:space="0" w:color="auto"/>
            </w:tcBorders>
            <w:shd w:val="clear" w:color="auto" w:fill="FFFFFF"/>
            <w:vAlign w:val="center"/>
          </w:tcPr>
          <w:p w14:paraId="4A4CD0AA"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.252</w:t>
            </w:r>
          </w:p>
        </w:tc>
        <w:tc>
          <w:tcPr>
            <w:tcW w:w="900" w:type="dxa"/>
            <w:tcBorders>
              <w:top w:val="single" w:sz="4" w:space="0" w:color="auto"/>
            </w:tcBorders>
            <w:shd w:val="clear" w:color="auto" w:fill="FFFFFF"/>
          </w:tcPr>
          <w:p w14:paraId="7FEDDB80"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p>
        </w:tc>
        <w:tc>
          <w:tcPr>
            <w:tcW w:w="990" w:type="dxa"/>
            <w:tcBorders>
              <w:top w:val="single" w:sz="4" w:space="0" w:color="auto"/>
            </w:tcBorders>
            <w:shd w:val="clear" w:color="auto" w:fill="FFFFFF"/>
            <w:vAlign w:val="center"/>
          </w:tcPr>
          <w:p w14:paraId="630AC438"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10.130</w:t>
            </w:r>
          </w:p>
        </w:tc>
        <w:tc>
          <w:tcPr>
            <w:tcW w:w="1350" w:type="dxa"/>
            <w:tcBorders>
              <w:top w:val="single" w:sz="4" w:space="0" w:color="auto"/>
            </w:tcBorders>
            <w:shd w:val="clear" w:color="auto" w:fill="FFFFFF"/>
            <w:vAlign w:val="center"/>
          </w:tcPr>
          <w:p w14:paraId="2F1688F6"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.000</w:t>
            </w:r>
          </w:p>
        </w:tc>
      </w:tr>
      <w:tr w:rsidR="002D25B6" w:rsidRPr="00E2630C" w14:paraId="4D2AFE78" w14:textId="77777777" w:rsidTr="003315F5">
        <w:tc>
          <w:tcPr>
            <w:tcW w:w="2254" w:type="dxa"/>
            <w:vAlign w:val="center"/>
          </w:tcPr>
          <w:p w14:paraId="706FA589" w14:textId="77777777" w:rsidR="00CD3724" w:rsidRPr="00E2630C" w:rsidRDefault="00CD3724" w:rsidP="003315F5">
            <w:pPr>
              <w:autoSpaceDE w:val="0"/>
              <w:autoSpaceDN w:val="0"/>
              <w:adjustRightInd w:val="0"/>
              <w:spacing w:line="36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 xml:space="preserve">Physical violence in all forms </w:t>
            </w:r>
          </w:p>
        </w:tc>
        <w:tc>
          <w:tcPr>
            <w:tcW w:w="1341" w:type="dxa"/>
            <w:shd w:val="clear" w:color="auto" w:fill="FFFFFF"/>
            <w:vAlign w:val="center"/>
          </w:tcPr>
          <w:p w14:paraId="062E6C2A"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.169</w:t>
            </w:r>
          </w:p>
        </w:tc>
        <w:tc>
          <w:tcPr>
            <w:tcW w:w="1170" w:type="dxa"/>
            <w:shd w:val="clear" w:color="auto" w:fill="FFFFFF"/>
            <w:vAlign w:val="center"/>
          </w:tcPr>
          <w:p w14:paraId="3DF8303E"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.055</w:t>
            </w:r>
          </w:p>
        </w:tc>
        <w:tc>
          <w:tcPr>
            <w:tcW w:w="900" w:type="dxa"/>
            <w:shd w:val="clear" w:color="auto" w:fill="FFFFFF"/>
            <w:vAlign w:val="center"/>
          </w:tcPr>
          <w:p w14:paraId="755FA212"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.166</w:t>
            </w:r>
          </w:p>
        </w:tc>
        <w:tc>
          <w:tcPr>
            <w:tcW w:w="990" w:type="dxa"/>
            <w:shd w:val="clear" w:color="auto" w:fill="FFFFFF"/>
            <w:vAlign w:val="center"/>
          </w:tcPr>
          <w:p w14:paraId="70D98DCA"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3.056</w:t>
            </w:r>
          </w:p>
        </w:tc>
        <w:tc>
          <w:tcPr>
            <w:tcW w:w="1350" w:type="dxa"/>
            <w:shd w:val="clear" w:color="auto" w:fill="FFFFFF"/>
            <w:vAlign w:val="center"/>
          </w:tcPr>
          <w:p w14:paraId="652164F5"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.002</w:t>
            </w:r>
          </w:p>
        </w:tc>
      </w:tr>
      <w:tr w:rsidR="002D25B6" w:rsidRPr="00E2630C" w14:paraId="37BDAD02" w14:textId="77777777" w:rsidTr="003315F5">
        <w:tc>
          <w:tcPr>
            <w:tcW w:w="2254" w:type="dxa"/>
            <w:vAlign w:val="center"/>
          </w:tcPr>
          <w:p w14:paraId="057117EA" w14:textId="77777777" w:rsidR="00CD3724" w:rsidRPr="00E2630C" w:rsidRDefault="00CD3724" w:rsidP="003315F5">
            <w:pPr>
              <w:autoSpaceDE w:val="0"/>
              <w:autoSpaceDN w:val="0"/>
              <w:adjustRightInd w:val="0"/>
              <w:spacing w:line="36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 xml:space="preserve">Brain drains </w:t>
            </w:r>
          </w:p>
        </w:tc>
        <w:tc>
          <w:tcPr>
            <w:tcW w:w="1341" w:type="dxa"/>
            <w:shd w:val="clear" w:color="auto" w:fill="FFFFFF"/>
            <w:vAlign w:val="center"/>
          </w:tcPr>
          <w:p w14:paraId="5EAF2913"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.089</w:t>
            </w:r>
          </w:p>
        </w:tc>
        <w:tc>
          <w:tcPr>
            <w:tcW w:w="1170" w:type="dxa"/>
            <w:shd w:val="clear" w:color="auto" w:fill="FFFFFF"/>
            <w:vAlign w:val="center"/>
          </w:tcPr>
          <w:p w14:paraId="00C7992B"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.052</w:t>
            </w:r>
          </w:p>
        </w:tc>
        <w:tc>
          <w:tcPr>
            <w:tcW w:w="900" w:type="dxa"/>
            <w:shd w:val="clear" w:color="auto" w:fill="FFFFFF"/>
            <w:vAlign w:val="center"/>
          </w:tcPr>
          <w:p w14:paraId="044BC33E"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.092</w:t>
            </w:r>
          </w:p>
        </w:tc>
        <w:tc>
          <w:tcPr>
            <w:tcW w:w="990" w:type="dxa"/>
            <w:shd w:val="clear" w:color="auto" w:fill="FFFFFF"/>
            <w:vAlign w:val="center"/>
          </w:tcPr>
          <w:p w14:paraId="698DD2FA"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1.692</w:t>
            </w:r>
          </w:p>
        </w:tc>
        <w:tc>
          <w:tcPr>
            <w:tcW w:w="1350" w:type="dxa"/>
            <w:shd w:val="clear" w:color="auto" w:fill="FFFFFF"/>
            <w:vAlign w:val="center"/>
          </w:tcPr>
          <w:p w14:paraId="00E3A1AA"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.092</w:t>
            </w:r>
          </w:p>
        </w:tc>
      </w:tr>
      <w:tr w:rsidR="002D25B6" w:rsidRPr="00E2630C" w14:paraId="40EDD16B" w14:textId="77777777" w:rsidTr="003315F5">
        <w:tc>
          <w:tcPr>
            <w:tcW w:w="2254" w:type="dxa"/>
          </w:tcPr>
          <w:p w14:paraId="02A2ECB0" w14:textId="77777777" w:rsidR="00CD3724" w:rsidRPr="00E2630C" w:rsidRDefault="00CD3724" w:rsidP="003315F5">
            <w:pPr>
              <w:autoSpaceDE w:val="0"/>
              <w:autoSpaceDN w:val="0"/>
              <w:adjustRightInd w:val="0"/>
              <w:spacing w:line="360" w:lineRule="auto"/>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 xml:space="preserve">Child labour </w:t>
            </w:r>
          </w:p>
        </w:tc>
        <w:tc>
          <w:tcPr>
            <w:tcW w:w="1341" w:type="dxa"/>
            <w:shd w:val="clear" w:color="auto" w:fill="FFFFFF"/>
            <w:vAlign w:val="center"/>
          </w:tcPr>
          <w:p w14:paraId="3F5EDB67"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.058</w:t>
            </w:r>
          </w:p>
        </w:tc>
        <w:tc>
          <w:tcPr>
            <w:tcW w:w="1170" w:type="dxa"/>
            <w:shd w:val="clear" w:color="auto" w:fill="FFFFFF"/>
            <w:vAlign w:val="center"/>
          </w:tcPr>
          <w:p w14:paraId="3513D27E"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.034</w:t>
            </w:r>
          </w:p>
        </w:tc>
        <w:tc>
          <w:tcPr>
            <w:tcW w:w="900" w:type="dxa"/>
            <w:shd w:val="clear" w:color="auto" w:fill="FFFFFF"/>
            <w:vAlign w:val="center"/>
          </w:tcPr>
          <w:p w14:paraId="547EEE9C"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.092</w:t>
            </w:r>
          </w:p>
        </w:tc>
        <w:tc>
          <w:tcPr>
            <w:tcW w:w="990" w:type="dxa"/>
            <w:shd w:val="clear" w:color="auto" w:fill="FFFFFF"/>
            <w:vAlign w:val="center"/>
          </w:tcPr>
          <w:p w14:paraId="2494B169"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1.694</w:t>
            </w:r>
          </w:p>
        </w:tc>
        <w:tc>
          <w:tcPr>
            <w:tcW w:w="1350" w:type="dxa"/>
            <w:shd w:val="clear" w:color="auto" w:fill="FFFFFF"/>
            <w:vAlign w:val="center"/>
          </w:tcPr>
          <w:p w14:paraId="7766E1B5" w14:textId="77777777" w:rsidR="00CD3724" w:rsidRPr="00E2630C" w:rsidRDefault="00CD3724" w:rsidP="003315F5">
            <w:pPr>
              <w:autoSpaceDE w:val="0"/>
              <w:autoSpaceDN w:val="0"/>
              <w:adjustRightInd w:val="0"/>
              <w:spacing w:line="360" w:lineRule="auto"/>
              <w:jc w:val="center"/>
              <w:rPr>
                <w:rFonts w:ascii="Times New Roman" w:eastAsia="Calibri" w:hAnsi="Times New Roman" w:cs="Times New Roman"/>
                <w:color w:val="000000" w:themeColor="text1"/>
                <w:sz w:val="24"/>
                <w:szCs w:val="24"/>
              </w:rPr>
            </w:pPr>
            <w:r w:rsidRPr="00E2630C">
              <w:rPr>
                <w:rFonts w:ascii="Times New Roman" w:hAnsi="Times New Roman" w:cs="Times New Roman"/>
                <w:color w:val="000000" w:themeColor="text1"/>
                <w:kern w:val="0"/>
                <w:sz w:val="24"/>
                <w:szCs w:val="24"/>
              </w:rPr>
              <w:t>.091</w:t>
            </w:r>
          </w:p>
        </w:tc>
      </w:tr>
    </w:tbl>
    <w:p w14:paraId="7E87C8AA" w14:textId="77777777" w:rsidR="00CD3724" w:rsidRPr="00E2630C" w:rsidRDefault="00CD3724" w:rsidP="00CD3724">
      <w:pPr>
        <w:spacing w:line="480" w:lineRule="auto"/>
        <w:jc w:val="both"/>
        <w:rPr>
          <w:rFonts w:ascii="Times New Roman" w:eastAsia="Calibri" w:hAnsi="Times New Roman" w:cs="Times New Roman"/>
          <w:b/>
          <w:bCs/>
          <w:color w:val="000000" w:themeColor="text1"/>
          <w:sz w:val="24"/>
          <w:szCs w:val="24"/>
        </w:rPr>
      </w:pPr>
      <w:r w:rsidRPr="00E2630C">
        <w:rPr>
          <w:rFonts w:ascii="Times New Roman" w:eastAsia="Calibri" w:hAnsi="Times New Roman" w:cs="Times New Roman"/>
          <w:b/>
          <w:bCs/>
          <w:color w:val="000000" w:themeColor="text1"/>
          <w:sz w:val="24"/>
          <w:szCs w:val="24"/>
        </w:rPr>
        <w:t>Source: fieldwork 2023.</w:t>
      </w:r>
    </w:p>
    <w:p w14:paraId="3A2A16F2" w14:textId="77777777" w:rsidR="00CD3724" w:rsidRPr="00E2630C" w:rsidRDefault="00CD3724" w:rsidP="00CD3724">
      <w:pPr>
        <w:spacing w:after="0" w:line="480" w:lineRule="auto"/>
        <w:jc w:val="both"/>
        <w:rPr>
          <w:rFonts w:ascii="Times New Roman" w:eastAsia="Calibri"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 xml:space="preserve">The study's outcomes indicate that, when examining three variables, they collectively explain 4.6% of the variation in chieftaincy conflicts (f (11.566) = 6.297, p &lt;0.001). A more detailed analysis of each factor found that chieftaincy conflicts significantly impact various forms of physical violence (β = 0.166, t = 3.056, p = 0.002). Conversely, </w:t>
      </w:r>
      <w:r w:rsidRPr="00E2630C">
        <w:rPr>
          <w:rFonts w:ascii="Times New Roman" w:eastAsia="Calibri" w:hAnsi="Times New Roman" w:cs="Times New Roman"/>
          <w:color w:val="000000" w:themeColor="text1"/>
          <w:sz w:val="24"/>
          <w:szCs w:val="24"/>
        </w:rPr>
        <w:lastRenderedPageBreak/>
        <w:t xml:space="preserve">factors such as brain drain (β = 0.092, t = 1.692, p = 0.092) and child labour (β = 0.092, t = 1.694, p = 0.091) stood as forms of personal security that are not significantly influenced by chieftaincy conflicts. The findings emphasize a substantial positive relationship (p = 0.002), highlighting that physical violence in various forms outweighs other personal security in terms of impact. The outcomes of this investigation echo the insights from Bukari (2016) research, casting light on the intricate facets of physical violence associated with violent conflicts. While Bukari et al. (2016) accentuates the plausible positive impacts of physical violence on socio-political development and decision-making processes, scholars like Gyader et al. (2020) underscore its adverse effects on social bonds, economic stability, and access to social services. Tangri (1976) and Tonah (2007) further underscore the destructive nature of violence within chieftaincy conflicts, with the latter underscoring it’s potential to jeopardize national stability. These findings underscore the imperative for a nuanced comprehension of the role of physical violence in chieftaincy conflicts and the exploration of non-violent conflict resolution mechanisms. Moreover, the findings align with research conducted by Ersado (2005) suggesting that the influence of brain drain and child labour on chieftaincy conflicts is not statistically significant. </w:t>
      </w:r>
      <w:r w:rsidRPr="00E2630C">
        <w:rPr>
          <w:rFonts w:ascii="Times New Roman" w:eastAsia="Times New Roman" w:hAnsi="Times New Roman" w:cs="Times New Roman"/>
          <w:color w:val="000000" w:themeColor="text1"/>
          <w:sz w:val="24"/>
          <w:szCs w:val="24"/>
        </w:rPr>
        <w:t>Dalinpuo and Nassè (2020)</w:t>
      </w:r>
      <w:r w:rsidRPr="00E2630C">
        <w:rPr>
          <w:rFonts w:ascii="Times New Roman" w:eastAsia="Calibri" w:hAnsi="Times New Roman" w:cs="Times New Roman"/>
          <w:color w:val="000000" w:themeColor="text1"/>
          <w:sz w:val="24"/>
          <w:szCs w:val="24"/>
        </w:rPr>
        <w:t xml:space="preserve"> underscores the cultural factors driving child labour, while Majumdar (2001) delves into the broader context of the labour market structure in rural South Asia. These aspects are more likely to exert a direct impact on child labour and its repercussions for reproductive behaviour rather than on chieftaincy conflicts. Similarly, the economic challenge of child labour in India, as highlighted by Schneider (2018) is more aptly influenced by socio-cultural factors rather than chieftaincy conflicts. Turnovsky (2011) that while brain drain can detrimentally affect the growth rate, education, and income </w:t>
      </w:r>
      <w:r w:rsidRPr="00E2630C">
        <w:rPr>
          <w:rFonts w:ascii="Times New Roman" w:eastAsia="Calibri" w:hAnsi="Times New Roman" w:cs="Times New Roman"/>
          <w:color w:val="000000" w:themeColor="text1"/>
          <w:sz w:val="24"/>
          <w:szCs w:val="24"/>
        </w:rPr>
        <w:lastRenderedPageBreak/>
        <w:t>distribution of an economy, there is no direct linkage to chieftaincy conflicts as found in the current study.</w:t>
      </w:r>
    </w:p>
    <w:p w14:paraId="7BBF1F0C" w14:textId="47AD1072" w:rsidR="00CD3724" w:rsidRPr="00E2630C" w:rsidRDefault="00CD3724" w:rsidP="00CD3724">
      <w:pPr>
        <w:spacing w:before="240"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w:t>
      </w:r>
      <w:r w:rsidR="008B6E68" w:rsidRPr="00E2630C">
        <w:rPr>
          <w:rFonts w:ascii="Times New Roman" w:hAnsi="Times New Roman" w:cs="Times New Roman"/>
          <w:color w:val="000000" w:themeColor="text1"/>
          <w:sz w:val="24"/>
          <w:szCs w:val="24"/>
        </w:rPr>
        <w:t xml:space="preserve">n </w:t>
      </w:r>
      <w:r w:rsidR="00695B68" w:rsidRPr="00E2630C">
        <w:rPr>
          <w:rFonts w:ascii="Times New Roman" w:hAnsi="Times New Roman" w:cs="Times New Roman"/>
          <w:color w:val="000000" w:themeColor="text1"/>
          <w:sz w:val="24"/>
          <w:szCs w:val="24"/>
        </w:rPr>
        <w:t xml:space="preserve">interview with </w:t>
      </w:r>
      <w:r w:rsidRPr="00E2630C">
        <w:rPr>
          <w:rFonts w:ascii="Times New Roman" w:hAnsi="Times New Roman" w:cs="Times New Roman"/>
          <w:color w:val="000000" w:themeColor="text1"/>
          <w:sz w:val="24"/>
          <w:szCs w:val="24"/>
        </w:rPr>
        <w:t xml:space="preserve">the military and the police revealed that the chieftaincy conflict in the area led to about 25 people dead during the conflict. According to (freedom house, 2016) in </w:t>
      </w:r>
      <w:r w:rsidR="008B6E68" w:rsidRPr="00E2630C">
        <w:rPr>
          <w:rFonts w:ascii="Times New Roman" w:hAnsi="Times New Roman" w:cs="Times New Roman"/>
          <w:color w:val="000000" w:themeColor="text1"/>
          <w:sz w:val="24"/>
          <w:szCs w:val="24"/>
        </w:rPr>
        <w:t>J</w:t>
      </w:r>
      <w:r w:rsidRPr="00E2630C">
        <w:rPr>
          <w:rFonts w:ascii="Times New Roman" w:hAnsi="Times New Roman" w:cs="Times New Roman"/>
          <w:color w:val="000000" w:themeColor="text1"/>
          <w:sz w:val="24"/>
          <w:szCs w:val="24"/>
        </w:rPr>
        <w:t xml:space="preserve">uly 2015, four (4) people were killed and another injured in violence related to the chieftaincy related dispute in Bimbilla. </w:t>
      </w:r>
      <w:r w:rsidR="00DD112B" w:rsidRPr="00E2630C">
        <w:rPr>
          <w:rFonts w:ascii="Times New Roman" w:hAnsi="Times New Roman" w:cs="Times New Roman"/>
          <w:color w:val="000000" w:themeColor="text1"/>
          <w:sz w:val="24"/>
          <w:szCs w:val="24"/>
        </w:rPr>
        <w:t>Also,</w:t>
      </w:r>
      <w:r w:rsidRPr="00E2630C">
        <w:rPr>
          <w:rFonts w:ascii="Times New Roman" w:hAnsi="Times New Roman" w:cs="Times New Roman"/>
          <w:color w:val="000000" w:themeColor="text1"/>
          <w:sz w:val="24"/>
          <w:szCs w:val="24"/>
        </w:rPr>
        <w:t xml:space="preserve"> source indicated that in February 18, 2017 by Ghanaian times eleven (11) people were killed in the clashes between the Bangyili and Gbugma yili in Bimbilla. The Ghanaian time on 16 </w:t>
      </w:r>
      <w:r w:rsidR="008B6E68" w:rsidRPr="00E2630C">
        <w:rPr>
          <w:rFonts w:ascii="Times New Roman" w:hAnsi="Times New Roman" w:cs="Times New Roman"/>
          <w:color w:val="000000" w:themeColor="text1"/>
          <w:sz w:val="24"/>
          <w:szCs w:val="24"/>
        </w:rPr>
        <w:t>Feb</w:t>
      </w:r>
      <w:r w:rsidRPr="00E2630C">
        <w:rPr>
          <w:rFonts w:ascii="Times New Roman" w:hAnsi="Times New Roman" w:cs="Times New Roman"/>
          <w:color w:val="000000" w:themeColor="text1"/>
          <w:sz w:val="24"/>
          <w:szCs w:val="24"/>
        </w:rPr>
        <w:t>. 2017 again reported among the deceased during the conflict were men, women and children, a lot were also injured. A participant asserted that information and numbers seen online as the dead rate or those injured due to the conflict in the municipality are not the actual figures. The participant alleged that a lot of people died but in reporting, the authorities tried to massage the figures in other to keep tensions down and control the situation. This according to him helped the security service to the detriment of community members. He construed such manner of reportage as conflict management tactics. The participants expressed that the death of family members due to the conflict created physical and emotional despair among the affected relatives. Some participants shared their views as follows: Also, for you to be on the safer side, preferably you have to migrate to the nearby village or far away.</w:t>
      </w:r>
    </w:p>
    <w:p w14:paraId="6E170718" w14:textId="2125FC25" w:rsidR="00CD3724" w:rsidRPr="00E2630C" w:rsidRDefault="00CD3724" w:rsidP="00CD3724">
      <w:pPr>
        <w:spacing w:line="480" w:lineRule="auto"/>
        <w:jc w:val="both"/>
        <w:rPr>
          <w:rFonts w:ascii="Times New Roman" w:hAnsi="Times New Roman" w:cs="Times New Roman"/>
          <w:i/>
          <w:color w:val="000000" w:themeColor="text1"/>
          <w:sz w:val="24"/>
          <w:szCs w:val="24"/>
        </w:rPr>
      </w:pPr>
      <w:r w:rsidRPr="00E2630C">
        <w:rPr>
          <w:rFonts w:ascii="Times New Roman" w:hAnsi="Times New Roman" w:cs="Times New Roman"/>
          <w:i/>
          <w:color w:val="000000" w:themeColor="text1"/>
          <w:sz w:val="24"/>
          <w:szCs w:val="24"/>
        </w:rPr>
        <w:t>During the recent conflict, I sent my boy to buy me sugar from a nearby shop, about two hundred meters from our house. He was still there when the people started the sporadic shooting. The boy was unfortunately shot dead by a bullet.  Do you think I will forgive those people for what they have done to my family? No!. They will be paid back. (Respondent Remark, 2022)</w:t>
      </w:r>
    </w:p>
    <w:p w14:paraId="047807C1" w14:textId="77777777" w:rsidR="00CD3724" w:rsidRPr="00E2630C" w:rsidRDefault="00CD3724" w:rsidP="00CD3724">
      <w:pPr>
        <w:spacing w:line="480" w:lineRule="auto"/>
        <w:jc w:val="both"/>
        <w:rPr>
          <w:rFonts w:ascii="Times New Roman" w:hAnsi="Times New Roman" w:cs="Times New Roman"/>
          <w:i/>
          <w:color w:val="000000" w:themeColor="text1"/>
          <w:sz w:val="24"/>
          <w:szCs w:val="24"/>
        </w:rPr>
      </w:pPr>
      <w:r w:rsidRPr="00E2630C">
        <w:rPr>
          <w:rFonts w:ascii="Times New Roman" w:hAnsi="Times New Roman" w:cs="Times New Roman"/>
          <w:i/>
          <w:color w:val="000000" w:themeColor="text1"/>
          <w:sz w:val="24"/>
          <w:szCs w:val="24"/>
        </w:rPr>
        <w:lastRenderedPageBreak/>
        <w:t>Allah will punish them. I lost my wife during the just recent conflict. We heard there was going to be a fight between the two gates. I therefore asked her to pick up the children from the school while I proceeded to the farm to secure our produce, as they often burn our farms and the harvest during such conflicts. I was told she did not even get to the school when she was shot dead. This woman was not connected to any of the two gates I married her when I was working at Obuasi. Her parents were not even in support of our engagement and when they later agreed, they said they will not agree for me to send her to the north for fear of being killed due to frequently clashes among the people. I went through a traumatic situation before I was able to break the news to her family. I will not rest until I seek revenge. No one is afraid of them (Respondent Remark, 2022)</w:t>
      </w:r>
    </w:p>
    <w:p w14:paraId="0BCE171C" w14:textId="555CC4A6" w:rsidR="00CD3724" w:rsidRPr="00E2630C" w:rsidRDefault="00CD3724" w:rsidP="00CD3724">
      <w:pPr>
        <w:spacing w:line="480" w:lineRule="auto"/>
        <w:jc w:val="both"/>
        <w:rPr>
          <w:rFonts w:ascii="Times New Roman" w:hAnsi="Times New Roman" w:cs="Times New Roman"/>
          <w:i/>
          <w:color w:val="000000" w:themeColor="text1"/>
          <w:sz w:val="24"/>
          <w:szCs w:val="24"/>
        </w:rPr>
      </w:pPr>
      <w:r w:rsidRPr="00E2630C">
        <w:rPr>
          <w:rFonts w:ascii="Times New Roman" w:hAnsi="Times New Roman" w:cs="Times New Roman"/>
          <w:i/>
          <w:color w:val="000000" w:themeColor="text1"/>
          <w:sz w:val="24"/>
          <w:szCs w:val="24"/>
        </w:rPr>
        <w:t xml:space="preserve">People don’t want to come Bimbilla for fear of losing their </w:t>
      </w:r>
      <w:r w:rsidRPr="00E2630C">
        <w:rPr>
          <w:rFonts w:ascii="Times New Roman" w:hAnsi="Times New Roman" w:cs="Times New Roman"/>
          <w:i/>
          <w:color w:val="000000" w:themeColor="text1"/>
          <w:sz w:val="24"/>
          <w:szCs w:val="24"/>
        </w:rPr>
        <w:tab/>
        <w:t xml:space="preserve">lives in conflict. During the recent conflict, an NGO office was burnt whiles the workers were inside the office. At the same time these rogues were shooting indiscriminately outside. Fortunately, the security personnel arrived there timely and rescued them. This was because they believe the NGO was owned by someone from the opposite gate who was a threat. As we speak none of the workers in the said NGO is in the area. They have all left the community (Key Informant Remark, 2022) </w:t>
      </w:r>
    </w:p>
    <w:p w14:paraId="7C595626"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iCs/>
          <w:color w:val="000000" w:themeColor="text1"/>
          <w:sz w:val="24"/>
          <w:szCs w:val="24"/>
        </w:rPr>
        <w:t xml:space="preserve">The police confirmed that something of this nature occurred at the time of the conflict but through joint security operation, they were about to save the lives of the affected people. </w:t>
      </w:r>
      <w:r w:rsidRPr="00E2630C">
        <w:rPr>
          <w:rFonts w:ascii="Times New Roman" w:hAnsi="Times New Roman" w:cs="Times New Roman"/>
          <w:color w:val="000000" w:themeColor="text1"/>
          <w:sz w:val="24"/>
          <w:szCs w:val="24"/>
        </w:rPr>
        <w:t xml:space="preserve">The findings showed that conflict results in premature deaths, a critical concern of human security. The emerging picture is that violent conflict engenders the spirit of revenge, and unless pragmatic efforts are made to end such enmity spirit, the community from time to time, may experience spontaneous attacks and shocks. The findings buttress Issifu (2015) study on the Dagbon conflict which revealed that </w:t>
      </w:r>
      <w:r w:rsidRPr="00E2630C">
        <w:rPr>
          <w:rFonts w:ascii="Times New Roman" w:hAnsi="Times New Roman" w:cs="Times New Roman"/>
          <w:color w:val="000000" w:themeColor="text1"/>
          <w:sz w:val="24"/>
          <w:szCs w:val="24"/>
        </w:rPr>
        <w:lastRenderedPageBreak/>
        <w:t>discriminatory practices and violence during conflicts create deep-seated mistrust and suspicion among different community members. This erosion of social bonds can weaken community support systems and hinder collective responses to challenges. The UNDP (2012) study on conflict mapping in northern Ghana revealed that conflicts force community members to seek safety in unfamiliar areas, where they may face hostility or lack essential services. Displaced populations are at higher risk of experiencing food insecurity, lack of access to healthcare, and psychological trauma. Their study further highlighted that conflicts divert scarce resources from development projects to security measures, undermining community development and support systems. The breakdown of local governance can leave communities without adequate protection and essential services.</w:t>
      </w:r>
    </w:p>
    <w:p w14:paraId="0A4AECDD" w14:textId="77777777" w:rsidR="00CD3724" w:rsidRPr="00E2630C" w:rsidRDefault="00CD3724" w:rsidP="00CD3724">
      <w:pPr>
        <w:spacing w:after="0" w:line="480" w:lineRule="auto"/>
        <w:jc w:val="both"/>
        <w:rPr>
          <w:rFonts w:ascii="Times New Roman" w:eastAsia="Calibri" w:hAnsi="Times New Roman" w:cs="Times New Roman"/>
          <w:b/>
          <w:color w:val="000000" w:themeColor="text1"/>
          <w:sz w:val="24"/>
          <w:szCs w:val="24"/>
        </w:rPr>
      </w:pPr>
    </w:p>
    <w:p w14:paraId="776D93E7" w14:textId="77777777" w:rsidR="00CD3724" w:rsidRPr="00E2630C" w:rsidRDefault="00CD3724" w:rsidP="00CD3724">
      <w:pPr>
        <w:spacing w:after="0" w:line="480" w:lineRule="auto"/>
        <w:jc w:val="both"/>
        <w:rPr>
          <w:rFonts w:ascii="Times New Roman" w:eastAsia="Calibri" w:hAnsi="Times New Roman" w:cs="Times New Roman"/>
          <w:b/>
          <w:color w:val="000000" w:themeColor="text1"/>
          <w:sz w:val="24"/>
          <w:szCs w:val="24"/>
        </w:rPr>
      </w:pPr>
    </w:p>
    <w:p w14:paraId="41CFF8E8" w14:textId="77777777" w:rsidR="00CD3724" w:rsidRPr="00E2630C" w:rsidRDefault="00CD3724" w:rsidP="00CD3724">
      <w:pPr>
        <w:spacing w:after="0" w:line="480" w:lineRule="auto"/>
        <w:jc w:val="both"/>
        <w:rPr>
          <w:rFonts w:ascii="Times New Roman" w:eastAsia="Calibri" w:hAnsi="Times New Roman" w:cs="Times New Roman"/>
          <w:b/>
          <w:color w:val="000000" w:themeColor="text1"/>
          <w:sz w:val="24"/>
          <w:szCs w:val="24"/>
        </w:rPr>
      </w:pPr>
    </w:p>
    <w:p w14:paraId="628CBD03" w14:textId="77777777" w:rsidR="00CD3724" w:rsidRPr="00E2630C" w:rsidRDefault="00CD3724" w:rsidP="00CD3724">
      <w:pPr>
        <w:spacing w:after="0" w:line="480" w:lineRule="auto"/>
        <w:jc w:val="both"/>
        <w:rPr>
          <w:rFonts w:ascii="Times New Roman" w:eastAsia="Calibri" w:hAnsi="Times New Roman" w:cs="Times New Roman"/>
          <w:b/>
          <w:color w:val="000000" w:themeColor="text1"/>
          <w:sz w:val="24"/>
          <w:szCs w:val="24"/>
        </w:rPr>
      </w:pPr>
    </w:p>
    <w:p w14:paraId="4C3C0909" w14:textId="77777777" w:rsidR="00CD3724" w:rsidRPr="00E2630C" w:rsidRDefault="00CD3724" w:rsidP="00CD3724">
      <w:pPr>
        <w:rPr>
          <w:rFonts w:ascii="Times New Roman" w:eastAsia="Calibri" w:hAnsi="Times New Roman" w:cs="Times New Roman"/>
          <w:b/>
          <w:color w:val="000000" w:themeColor="text1"/>
          <w:sz w:val="24"/>
          <w:szCs w:val="24"/>
        </w:rPr>
      </w:pPr>
      <w:r w:rsidRPr="00E2630C">
        <w:rPr>
          <w:rFonts w:ascii="Times New Roman" w:eastAsia="Calibri" w:hAnsi="Times New Roman" w:cs="Times New Roman"/>
          <w:b/>
          <w:color w:val="000000" w:themeColor="text1"/>
          <w:sz w:val="24"/>
          <w:szCs w:val="24"/>
        </w:rPr>
        <w:br w:type="page"/>
      </w:r>
    </w:p>
    <w:p w14:paraId="36337C28" w14:textId="77777777" w:rsidR="00CD3724" w:rsidRPr="00E2630C" w:rsidRDefault="00CD3724" w:rsidP="00E2630C">
      <w:pPr>
        <w:pStyle w:val="Heading1"/>
      </w:pPr>
      <w:bookmarkStart w:id="128" w:name="_Toc182386283"/>
      <w:r w:rsidRPr="00E2630C">
        <w:lastRenderedPageBreak/>
        <w:t>CHAPTER FIVE</w:t>
      </w:r>
      <w:bookmarkEnd w:id="128"/>
    </w:p>
    <w:p w14:paraId="702ED4DC" w14:textId="0247B4AE" w:rsidR="00CD3724" w:rsidRPr="00E2630C" w:rsidRDefault="00695B68" w:rsidP="00E2630C">
      <w:pPr>
        <w:pStyle w:val="Heading1"/>
      </w:pPr>
      <w:bookmarkStart w:id="129" w:name="_Toc182386284"/>
      <w:r w:rsidRPr="00E2630C">
        <w:t xml:space="preserve">SUMMARY OF </w:t>
      </w:r>
      <w:r w:rsidR="00CD3724" w:rsidRPr="00E2630C">
        <w:t>FINDINGS CONCLUSION AND RECOMMENDATIONS</w:t>
      </w:r>
      <w:bookmarkEnd w:id="129"/>
    </w:p>
    <w:p w14:paraId="4FA8DCF4" w14:textId="77777777" w:rsidR="00CD3724" w:rsidRPr="00E2630C" w:rsidRDefault="00CD3724" w:rsidP="00CD3724">
      <w:pPr>
        <w:spacing w:after="0" w:line="480" w:lineRule="auto"/>
        <w:jc w:val="center"/>
        <w:rPr>
          <w:rFonts w:ascii="Times New Roman" w:eastAsia="Calibri" w:hAnsi="Times New Roman" w:cs="Times New Roman"/>
          <w:b/>
          <w:color w:val="000000" w:themeColor="text1"/>
          <w:sz w:val="24"/>
          <w:szCs w:val="24"/>
        </w:rPr>
      </w:pPr>
    </w:p>
    <w:p w14:paraId="1C315F2D" w14:textId="77777777" w:rsidR="00CD3724" w:rsidRPr="00E2630C" w:rsidRDefault="00CD3724" w:rsidP="00CD3724">
      <w:pPr>
        <w:pStyle w:val="Heading2"/>
        <w:rPr>
          <w:i/>
          <w:iCs/>
        </w:rPr>
      </w:pPr>
      <w:bookmarkStart w:id="130" w:name="_Toc182386285"/>
      <w:r w:rsidRPr="00E2630C">
        <w:t>5.1 Introduction</w:t>
      </w:r>
      <w:bookmarkEnd w:id="130"/>
    </w:p>
    <w:p w14:paraId="2D1CEF5B" w14:textId="0AF421B0" w:rsidR="00CD3724" w:rsidRPr="00E2630C" w:rsidRDefault="00CD3724" w:rsidP="00CD3724">
      <w:pPr>
        <w:spacing w:after="0" w:line="480" w:lineRule="auto"/>
        <w:jc w:val="both"/>
        <w:rPr>
          <w:rFonts w:ascii="Times New Roman" w:hAnsi="Times New Roman" w:cs="Times New Roman"/>
          <w:color w:val="000000" w:themeColor="text1"/>
          <w:sz w:val="24"/>
          <w:szCs w:val="24"/>
          <w:lang w:eastAsia="en-ZA"/>
        </w:rPr>
      </w:pPr>
      <w:r w:rsidRPr="00E2630C">
        <w:rPr>
          <w:rFonts w:ascii="Times New Roman" w:hAnsi="Times New Roman" w:cs="Times New Roman"/>
          <w:color w:val="000000" w:themeColor="text1"/>
          <w:sz w:val="24"/>
          <w:szCs w:val="24"/>
        </w:rPr>
        <w:t xml:space="preserve">This chapter is devoted to the key findings from the study. The study examined the implication of the Bimbila chieftaincy conflict on human Security of the people in Bimbilla. </w:t>
      </w:r>
      <w:r w:rsidR="00695B68" w:rsidRPr="00E2630C">
        <w:rPr>
          <w:rFonts w:ascii="Times New Roman" w:hAnsi="Times New Roman" w:cs="Times New Roman"/>
          <w:color w:val="000000" w:themeColor="text1"/>
          <w:sz w:val="24"/>
          <w:szCs w:val="24"/>
        </w:rPr>
        <w:t>Focusing</w:t>
      </w:r>
      <w:r w:rsidRPr="00E2630C">
        <w:rPr>
          <w:rFonts w:ascii="Times New Roman" w:hAnsi="Times New Roman" w:cs="Times New Roman"/>
          <w:color w:val="000000" w:themeColor="text1"/>
          <w:sz w:val="24"/>
          <w:szCs w:val="24"/>
        </w:rPr>
        <w:t xml:space="preserve"> specifically on the economic security, food security, health security environmental security and personal security.  A conceptual framework was created to show how chieftaincy conflicts undermine critical components of human security. Descriptive and regression analysis were run to establish the association of chieftaincy conflicts and the essential elements of human security. The chapter provides a summary of the amalgamation of the empirical analysis of the findings</w:t>
      </w:r>
      <w:r w:rsidR="00695B68" w:rsidRPr="00E2630C">
        <w:rPr>
          <w:rFonts w:ascii="Times New Roman" w:hAnsi="Times New Roman" w:cs="Times New Roman"/>
          <w:color w:val="000000" w:themeColor="text1"/>
          <w:sz w:val="24"/>
          <w:szCs w:val="24"/>
          <w:lang w:eastAsia="en-ZA"/>
        </w:rPr>
        <w:t xml:space="preserve"> from the study</w:t>
      </w:r>
    </w:p>
    <w:p w14:paraId="4A173DC4" w14:textId="77777777" w:rsidR="00CD3724" w:rsidRPr="00E2630C" w:rsidRDefault="00CD3724" w:rsidP="00DD112B">
      <w:pPr>
        <w:pStyle w:val="NoSpacing"/>
      </w:pPr>
    </w:p>
    <w:p w14:paraId="78A95B85" w14:textId="77777777" w:rsidR="00CD3724" w:rsidRPr="00E2630C" w:rsidRDefault="00CD3724" w:rsidP="00DD112B">
      <w:pPr>
        <w:pStyle w:val="Heading2"/>
        <w:rPr>
          <w:rFonts w:eastAsia="Calibri"/>
        </w:rPr>
      </w:pPr>
      <w:bookmarkStart w:id="131" w:name="_Toc182386286"/>
      <w:r w:rsidRPr="00E2630C">
        <w:rPr>
          <w:rFonts w:eastAsia="Calibri"/>
        </w:rPr>
        <w:t>5.2 Summary of Key Findings</w:t>
      </w:r>
      <w:bookmarkEnd w:id="131"/>
    </w:p>
    <w:p w14:paraId="1428FCEC" w14:textId="0D13A5DD" w:rsidR="00CD3724" w:rsidRPr="00E2630C" w:rsidRDefault="00CD3724" w:rsidP="00CD3724">
      <w:pPr>
        <w:spacing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 Bimbilla chieftaincy conflict has led to significant ramifications across various dimensions of human security. Health security has been compromised due to </w:t>
      </w:r>
      <w:r w:rsidR="00695B68" w:rsidRPr="00E2630C">
        <w:rPr>
          <w:rFonts w:ascii="Times New Roman" w:eastAsia="Times New Roman" w:hAnsi="Times New Roman" w:cs="Times New Roman"/>
          <w:color w:val="000000" w:themeColor="text1"/>
          <w:sz w:val="24"/>
          <w:szCs w:val="24"/>
          <w:lang w:eastAsia="en-GB"/>
        </w:rPr>
        <w:t xml:space="preserve">inadequate of health officials and </w:t>
      </w:r>
      <w:r w:rsidR="00695B68" w:rsidRPr="00E2630C">
        <w:rPr>
          <w:rFonts w:ascii="Times New Roman" w:hAnsi="Times New Roman" w:cs="Times New Roman"/>
          <w:color w:val="000000" w:themeColor="text1"/>
          <w:sz w:val="24"/>
          <w:szCs w:val="24"/>
        </w:rPr>
        <w:t xml:space="preserve">poor discharge of duties by the few health officials </w:t>
      </w:r>
      <w:r w:rsidR="00726CE3" w:rsidRPr="00E2630C">
        <w:rPr>
          <w:rFonts w:ascii="Times New Roman" w:hAnsi="Times New Roman" w:cs="Times New Roman"/>
          <w:color w:val="000000" w:themeColor="text1"/>
          <w:sz w:val="24"/>
          <w:szCs w:val="24"/>
        </w:rPr>
        <w:t xml:space="preserve">borne out of tension and the fear of </w:t>
      </w:r>
      <w:r w:rsidR="00695B68" w:rsidRPr="00E2630C">
        <w:rPr>
          <w:rFonts w:ascii="Times New Roman" w:hAnsi="Times New Roman" w:cs="Times New Roman"/>
          <w:color w:val="000000" w:themeColor="text1"/>
          <w:sz w:val="24"/>
          <w:szCs w:val="24"/>
        </w:rPr>
        <w:t xml:space="preserve">possible attacks. </w:t>
      </w:r>
      <w:r w:rsidR="00726CE3" w:rsidRPr="00E2630C">
        <w:rPr>
          <w:rFonts w:ascii="Times New Roman" w:hAnsi="Times New Roman" w:cs="Times New Roman"/>
          <w:color w:val="000000" w:themeColor="text1"/>
          <w:sz w:val="24"/>
          <w:szCs w:val="24"/>
        </w:rPr>
        <w:t xml:space="preserve">This </w:t>
      </w:r>
      <w:r w:rsidR="00726CE3" w:rsidRPr="00E2630C">
        <w:rPr>
          <w:rFonts w:ascii="Times New Roman" w:eastAsia="Times New Roman" w:hAnsi="Times New Roman" w:cs="Times New Roman"/>
          <w:color w:val="000000" w:themeColor="text1"/>
          <w:sz w:val="24"/>
          <w:szCs w:val="24"/>
          <w:lang w:eastAsia="en-GB"/>
        </w:rPr>
        <w:t>contributed</w:t>
      </w:r>
      <w:r w:rsidRPr="00E2630C">
        <w:rPr>
          <w:rFonts w:ascii="Times New Roman" w:eastAsia="Times New Roman" w:hAnsi="Times New Roman" w:cs="Times New Roman"/>
          <w:color w:val="000000" w:themeColor="text1"/>
          <w:sz w:val="24"/>
          <w:szCs w:val="24"/>
          <w:lang w:eastAsia="en-GB"/>
        </w:rPr>
        <w:t xml:space="preserve"> to increased vulnerability and decreased well-being among the affected population. </w:t>
      </w:r>
      <w:r w:rsidRPr="00E2630C">
        <w:rPr>
          <w:rFonts w:ascii="Times New Roman" w:eastAsia="Calibri" w:hAnsi="Times New Roman" w:cs="Times New Roman"/>
          <w:color w:val="000000" w:themeColor="text1"/>
          <w:sz w:val="24"/>
          <w:szCs w:val="24"/>
        </w:rPr>
        <w:t xml:space="preserve">The findings emphasize a remarkable positive relationship (p = 0.001), highlighting that epidemics and malnutrition hold more sway over chieftaincy conflicts than other health security factors. </w:t>
      </w:r>
      <w:r w:rsidRPr="00E2630C">
        <w:rPr>
          <w:rFonts w:ascii="Times New Roman" w:eastAsia="Times New Roman" w:hAnsi="Times New Roman" w:cs="Times New Roman"/>
          <w:color w:val="000000" w:themeColor="text1"/>
          <w:sz w:val="24"/>
          <w:szCs w:val="24"/>
          <w:lang w:eastAsia="en-GB"/>
        </w:rPr>
        <w:t xml:space="preserve">This was found to be in line with the theory of securitization which seeks to ensure a holistic security architecture targeting both national and human security due to both internal and external threats which affect communities’ sense of being and development. </w:t>
      </w:r>
    </w:p>
    <w:p w14:paraId="037BAA1A" w14:textId="77777777" w:rsidR="00CD3724" w:rsidRPr="00E2630C" w:rsidRDefault="00CD3724" w:rsidP="00CD3724">
      <w:pPr>
        <w:spacing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lastRenderedPageBreak/>
        <w:t>Environmental security has suffered from resource depletion and environmental degradation stemming from the conflict's impact on land and natural habitats.</w:t>
      </w:r>
      <w:r w:rsidRPr="00E2630C">
        <w:rPr>
          <w:rFonts w:ascii="Times New Roman" w:hAnsi="Times New Roman" w:cs="Times New Roman"/>
          <w:color w:val="000000" w:themeColor="text1"/>
          <w:sz w:val="24"/>
          <w:szCs w:val="24"/>
        </w:rPr>
        <w:t xml:space="preserve"> Burning of farms (β = -0.215, t = -3.915, p = 0.000) was found to have a significantly influenced by chieftaincy conflicts as opposed to that of the pollution of water bodies (β = -0.016, t = -0.298, p = 0.766). The picture is that any intervention to improve environmental security should primarily geared toward the act of arson, where people deliberately burn farms and food stock as weapon of war. </w:t>
      </w:r>
    </w:p>
    <w:p w14:paraId="3A395C0C" w14:textId="77777777" w:rsidR="00CD3724" w:rsidRPr="00E2630C" w:rsidRDefault="00CD3724" w:rsidP="00CD3724">
      <w:pPr>
        <w:spacing w:before="240" w:line="480" w:lineRule="auto"/>
        <w:jc w:val="both"/>
        <w:rPr>
          <w:rFonts w:ascii="Times New Roman" w:eastAsia="Calibri"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lang w:eastAsia="en-GB"/>
        </w:rPr>
        <w:t xml:space="preserve">Personal security has been profoundly affected, with widespread displacement, violence, and a pervasive sense of insecurity prevalent among the people. Chieftaincy conflict affect three pillars of personal security namely physical violence, brain drain and child labour. The study however, revealed that only physical violence has a significant relationship with the conflict </w:t>
      </w:r>
      <w:r w:rsidRPr="00E2630C">
        <w:rPr>
          <w:rFonts w:ascii="Times New Roman" w:eastAsia="Calibri" w:hAnsi="Times New Roman" w:cs="Times New Roman"/>
          <w:color w:val="000000" w:themeColor="text1"/>
          <w:sz w:val="24"/>
          <w:szCs w:val="24"/>
        </w:rPr>
        <w:t xml:space="preserve">(β = 0.166, t = 3.056, p = 0.002). Brain drain (β = 0.092, t = 1.692, p = 0.092) and child labour (β = 0.092, t = 1.694, p = 0.091) were found to have no significantly influenced by chieftaincy conflicts. </w:t>
      </w:r>
    </w:p>
    <w:p w14:paraId="458CFF77" w14:textId="4F267C09" w:rsidR="00CD3724" w:rsidRPr="00E2630C" w:rsidRDefault="00CD3724" w:rsidP="00CD3724">
      <w:pPr>
        <w:spacing w:after="0" w:line="480" w:lineRule="auto"/>
        <w:jc w:val="both"/>
        <w:rPr>
          <w:rFonts w:ascii="Times New Roman" w:eastAsia="Calibri"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lang w:eastAsia="en-GB"/>
        </w:rPr>
        <w:t>Economic security has been undermined, disrupting livelihoods, economic activities, and overall stability in the region. Furthermore, the conflict has significantly impeded food security, disrupting agricultural practices and access to adequate and nutritious food supplies.</w:t>
      </w:r>
      <w:r w:rsidRPr="00E2630C">
        <w:rPr>
          <w:rFonts w:ascii="Times New Roman" w:eastAsia="Calibri" w:hAnsi="Times New Roman" w:cs="Times New Roman"/>
          <w:color w:val="000000" w:themeColor="text1"/>
          <w:sz w:val="24"/>
          <w:szCs w:val="24"/>
        </w:rPr>
        <w:t xml:space="preserve"> The study found that chieftaincy conflict has substantial positive relationship and impact (p = 0.001) and (p = 0.005) on hunger and famine respectively than other food security</w:t>
      </w:r>
      <w:r w:rsidR="00726CE3" w:rsidRPr="00E2630C">
        <w:rPr>
          <w:rFonts w:ascii="Times New Roman" w:eastAsia="Calibri" w:hAnsi="Times New Roman" w:cs="Times New Roman"/>
          <w:color w:val="000000" w:themeColor="text1"/>
          <w:sz w:val="24"/>
          <w:szCs w:val="24"/>
        </w:rPr>
        <w:t xml:space="preserve"> concern such as sudden rise in food </w:t>
      </w:r>
      <w:r w:rsidR="00DD112B" w:rsidRPr="00E2630C">
        <w:rPr>
          <w:rFonts w:ascii="Times New Roman" w:eastAsia="Calibri" w:hAnsi="Times New Roman" w:cs="Times New Roman"/>
          <w:color w:val="000000" w:themeColor="text1"/>
          <w:sz w:val="24"/>
          <w:szCs w:val="24"/>
        </w:rPr>
        <w:t>prices.</w:t>
      </w:r>
    </w:p>
    <w:p w14:paraId="4D316088" w14:textId="77777777" w:rsidR="00CD3724" w:rsidRPr="00E2630C" w:rsidRDefault="00CD3724" w:rsidP="00DD112B">
      <w:pPr>
        <w:pStyle w:val="NoSpacing"/>
        <w:rPr>
          <w:lang w:eastAsia="en-GB"/>
        </w:rPr>
      </w:pPr>
    </w:p>
    <w:p w14:paraId="7A51153F" w14:textId="77777777" w:rsidR="00CD3724" w:rsidRPr="00E2630C" w:rsidRDefault="00CD3724" w:rsidP="00DD112B">
      <w:pPr>
        <w:pStyle w:val="Heading2"/>
        <w:rPr>
          <w:rFonts w:eastAsia="Times New Roman"/>
          <w:lang w:eastAsia="en-GB"/>
        </w:rPr>
      </w:pPr>
      <w:bookmarkStart w:id="132" w:name="_Toc182386287"/>
      <w:r w:rsidRPr="00E2630C">
        <w:rPr>
          <w:rFonts w:eastAsia="Times New Roman"/>
          <w:lang w:eastAsia="en-GB"/>
        </w:rPr>
        <w:t>5.3 Conclusion</w:t>
      </w:r>
      <w:bookmarkEnd w:id="132"/>
    </w:p>
    <w:p w14:paraId="13A91BE8" w14:textId="55335276" w:rsidR="00CD3724" w:rsidRPr="00E2630C" w:rsidRDefault="00CD3724" w:rsidP="00CD3724">
      <w:pPr>
        <w:spacing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 Bimbilla chieftaincy conflicts were found to have greatly undermined the vitae core of people, construed as human security namely food security, health security, environmental security and economic security. The study found that chieftaincy has </w:t>
      </w:r>
      <w:r w:rsidRPr="00E2630C">
        <w:rPr>
          <w:rFonts w:ascii="Times New Roman" w:eastAsia="Times New Roman" w:hAnsi="Times New Roman" w:cs="Times New Roman"/>
          <w:color w:val="000000" w:themeColor="text1"/>
          <w:sz w:val="24"/>
          <w:szCs w:val="24"/>
          <w:lang w:eastAsia="en-GB"/>
        </w:rPr>
        <w:lastRenderedPageBreak/>
        <w:t xml:space="preserve">various differential and significant impacts on the essential components of the variables considered, as outlined in the study. These implications resonate well with the </w:t>
      </w:r>
      <w:r w:rsidRPr="00E2630C">
        <w:rPr>
          <w:rFonts w:ascii="Times New Roman" w:eastAsia="Times New Roman" w:hAnsi="Times New Roman" w:cs="Times New Roman"/>
          <w:bCs/>
          <w:color w:val="000000" w:themeColor="text1"/>
          <w:sz w:val="24"/>
          <w:szCs w:val="24"/>
          <w:lang w:eastAsia="en-GB"/>
        </w:rPr>
        <w:t>Hobbes’ inherency theory of conflict and securitization</w:t>
      </w:r>
      <w:r w:rsidRPr="00E2630C">
        <w:rPr>
          <w:rFonts w:ascii="Times New Roman" w:eastAsia="Times New Roman" w:hAnsi="Times New Roman" w:cs="Times New Roman"/>
          <w:color w:val="000000" w:themeColor="text1"/>
          <w:sz w:val="24"/>
          <w:szCs w:val="24"/>
          <w:lang w:eastAsia="en-GB"/>
        </w:rPr>
        <w:t xml:space="preserve"> theory. Not until society recognizes chieftaincy conflicts as a threa</w:t>
      </w:r>
      <w:r w:rsidR="00670DDF" w:rsidRPr="00E2630C">
        <w:rPr>
          <w:rFonts w:ascii="Times New Roman" w:eastAsia="Times New Roman" w:hAnsi="Times New Roman" w:cs="Times New Roman"/>
          <w:color w:val="000000" w:themeColor="text1"/>
          <w:sz w:val="24"/>
          <w:szCs w:val="24"/>
          <w:lang w:eastAsia="en-GB"/>
        </w:rPr>
        <w:t>t</w:t>
      </w:r>
      <w:r w:rsidRPr="00E2630C">
        <w:rPr>
          <w:rFonts w:ascii="Times New Roman" w:eastAsia="Times New Roman" w:hAnsi="Times New Roman" w:cs="Times New Roman"/>
          <w:color w:val="000000" w:themeColor="text1"/>
          <w:sz w:val="24"/>
          <w:szCs w:val="24"/>
          <w:lang w:eastAsia="en-GB"/>
        </w:rPr>
        <w:t>, our response to such conflicts as dangerous to human security will be casual. This study has demonstrated that the Bimbilla chieftaincy conflict poses much security threat to the people both far and near. Resolving these complex challenges therefore necessitates a comprehensive approach that integrates conflict resolution strategies, sustainable resource management, investment in healthcare infrastructure, economic revitalization initiatives, and interventions aimed at ensuring food sustainability. Such holistic efforts are crucial to restoring stability, promoting well-being, and fostering enduring human security in the affected area.</w:t>
      </w:r>
    </w:p>
    <w:p w14:paraId="7825AB59" w14:textId="77777777" w:rsidR="00CD3724" w:rsidRPr="00E2630C" w:rsidRDefault="00CD3724" w:rsidP="00DD112B">
      <w:pPr>
        <w:pStyle w:val="NoSpacing"/>
        <w:rPr>
          <w:lang w:eastAsia="en-GB"/>
        </w:rPr>
      </w:pPr>
    </w:p>
    <w:p w14:paraId="582B6C64" w14:textId="77777777" w:rsidR="00CD3724" w:rsidRPr="00E2630C" w:rsidRDefault="00CD3724" w:rsidP="00CD3724">
      <w:pPr>
        <w:pStyle w:val="Heading2"/>
        <w:rPr>
          <w:rFonts w:eastAsia="Times New Roman"/>
          <w:lang w:eastAsia="en-GB"/>
        </w:rPr>
      </w:pPr>
      <w:bookmarkStart w:id="133" w:name="_Toc182386288"/>
      <w:r w:rsidRPr="00E2630C">
        <w:t>5.4. Recommendation</w:t>
      </w:r>
      <w:bookmarkEnd w:id="133"/>
    </w:p>
    <w:p w14:paraId="14EA2A4C" w14:textId="77777777" w:rsidR="00CD3724" w:rsidRPr="00E2630C" w:rsidRDefault="00CD3724" w:rsidP="00CD3724">
      <w:pPr>
        <w:spacing w:line="480" w:lineRule="auto"/>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On the basis of the findings, </w:t>
      </w:r>
      <w:r w:rsidRPr="00E2630C">
        <w:rPr>
          <w:rFonts w:ascii="Times New Roman" w:eastAsia="Times New Roman" w:hAnsi="Times New Roman" w:cs="Times New Roman"/>
          <w:color w:val="000000" w:themeColor="text1"/>
          <w:sz w:val="24"/>
          <w:szCs w:val="24"/>
          <w:lang w:eastAsia="en-GB"/>
        </w:rPr>
        <w:t>here are comprehensive recommendations addressing the human security implications across various dimensions affected by the Bimbilla chieftaincy conflict:</w:t>
      </w:r>
    </w:p>
    <w:p w14:paraId="766563A6" w14:textId="77777777" w:rsidR="00CD3724" w:rsidRPr="00E2630C" w:rsidRDefault="00CD3724" w:rsidP="00CD3724">
      <w:pPr>
        <w:spacing w:after="0" w:line="480" w:lineRule="auto"/>
        <w:jc w:val="both"/>
        <w:rPr>
          <w:rFonts w:ascii="Times New Roman" w:eastAsia="Times New Roman" w:hAnsi="Times New Roman" w:cs="Times New Roman"/>
          <w:b/>
          <w:color w:val="000000" w:themeColor="text1"/>
          <w:sz w:val="24"/>
          <w:szCs w:val="24"/>
          <w:lang w:eastAsia="en-GB"/>
        </w:rPr>
      </w:pPr>
      <w:r w:rsidRPr="00E2630C">
        <w:rPr>
          <w:rFonts w:ascii="Times New Roman" w:eastAsia="Times New Roman" w:hAnsi="Times New Roman" w:cs="Times New Roman"/>
          <w:b/>
          <w:color w:val="000000" w:themeColor="text1"/>
          <w:sz w:val="24"/>
          <w:szCs w:val="24"/>
          <w:lang w:eastAsia="en-GB"/>
        </w:rPr>
        <w:t>Health Security:</w:t>
      </w:r>
    </w:p>
    <w:p w14:paraId="2AACC06E" w14:textId="12714E79" w:rsidR="00CD3724" w:rsidRPr="00DD112B" w:rsidRDefault="00CD3724" w:rsidP="00CD3724">
      <w:pPr>
        <w:pStyle w:val="ListParagraph"/>
        <w:numPr>
          <w:ilvl w:val="0"/>
          <w:numId w:val="44"/>
        </w:numPr>
        <w:spacing w:after="0"/>
        <w:rPr>
          <w:rFonts w:eastAsia="Times New Roman" w:cs="Times New Roman"/>
          <w:b/>
          <w:color w:val="000000" w:themeColor="text1"/>
          <w:szCs w:val="24"/>
          <w:lang w:eastAsia="en-GB"/>
        </w:rPr>
      </w:pPr>
      <w:r w:rsidRPr="00E2630C">
        <w:rPr>
          <w:rFonts w:eastAsia="Times New Roman" w:cs="Times New Roman"/>
          <w:color w:val="000000" w:themeColor="text1"/>
          <w:szCs w:val="24"/>
          <w:lang w:eastAsia="en-GB"/>
        </w:rPr>
        <w:t xml:space="preserve">Ministry of health and NGO’s with similar interest need to collaborate to invest in ensuring adequate medical supplies to restore and improve healthcare services. More so, conscious efforts </w:t>
      </w:r>
      <w:r w:rsidR="00726CE3" w:rsidRPr="00E2630C">
        <w:rPr>
          <w:rFonts w:eastAsia="Times New Roman" w:cs="Times New Roman"/>
          <w:color w:val="000000" w:themeColor="text1"/>
          <w:szCs w:val="24"/>
          <w:lang w:eastAsia="en-GB"/>
        </w:rPr>
        <w:t xml:space="preserve">by the Ministry of Health </w:t>
      </w:r>
      <w:r w:rsidRPr="00E2630C">
        <w:rPr>
          <w:rFonts w:eastAsia="Times New Roman" w:cs="Times New Roman"/>
          <w:color w:val="000000" w:themeColor="text1"/>
          <w:szCs w:val="24"/>
          <w:lang w:eastAsia="en-GB"/>
        </w:rPr>
        <w:t xml:space="preserve">should be made to implement mobile clinics and health outreach programs to provide essential medical care to remote or affected </w:t>
      </w:r>
      <w:r w:rsidR="00726CE3" w:rsidRPr="00E2630C">
        <w:rPr>
          <w:rFonts w:eastAsia="Times New Roman" w:cs="Times New Roman"/>
          <w:color w:val="000000" w:themeColor="text1"/>
          <w:szCs w:val="24"/>
          <w:lang w:eastAsia="en-GB"/>
        </w:rPr>
        <w:t xml:space="preserve">conflict </w:t>
      </w:r>
      <w:r w:rsidRPr="00E2630C">
        <w:rPr>
          <w:rFonts w:eastAsia="Times New Roman" w:cs="Times New Roman"/>
          <w:color w:val="000000" w:themeColor="text1"/>
          <w:szCs w:val="24"/>
          <w:lang w:eastAsia="en-GB"/>
        </w:rPr>
        <w:t xml:space="preserve">areas. Besides, nurses and health care workers need to be sensitized, remunerated and guaranteed of safety in the area. These will motivate more health workers to stay back in the community. </w:t>
      </w:r>
    </w:p>
    <w:p w14:paraId="1FDC2C56" w14:textId="754177F0" w:rsidR="00DD112B" w:rsidRDefault="00DD112B" w:rsidP="00DD112B">
      <w:pPr>
        <w:spacing w:after="0"/>
        <w:rPr>
          <w:rFonts w:eastAsia="Times New Roman" w:cs="Times New Roman"/>
          <w:b/>
          <w:color w:val="000000" w:themeColor="text1"/>
          <w:szCs w:val="24"/>
          <w:lang w:eastAsia="en-GB"/>
        </w:rPr>
      </w:pPr>
    </w:p>
    <w:p w14:paraId="6BA31996" w14:textId="6B1982CE" w:rsidR="00DD112B" w:rsidRDefault="00DD112B" w:rsidP="00DD112B">
      <w:pPr>
        <w:spacing w:after="0"/>
        <w:rPr>
          <w:rFonts w:eastAsia="Times New Roman" w:cs="Times New Roman"/>
          <w:b/>
          <w:color w:val="000000" w:themeColor="text1"/>
          <w:szCs w:val="24"/>
          <w:lang w:eastAsia="en-GB"/>
        </w:rPr>
      </w:pPr>
    </w:p>
    <w:p w14:paraId="4CBC07A8" w14:textId="77777777" w:rsidR="00DD112B" w:rsidRPr="00DD112B" w:rsidRDefault="00DD112B" w:rsidP="00DD112B">
      <w:pPr>
        <w:spacing w:after="0"/>
        <w:rPr>
          <w:rFonts w:eastAsia="Times New Roman" w:cs="Times New Roman"/>
          <w:b/>
          <w:color w:val="000000" w:themeColor="text1"/>
          <w:szCs w:val="24"/>
          <w:lang w:eastAsia="en-GB"/>
        </w:rPr>
      </w:pPr>
    </w:p>
    <w:p w14:paraId="405F0FCE" w14:textId="77777777" w:rsidR="00CD3724" w:rsidRPr="00E2630C" w:rsidRDefault="00CD3724" w:rsidP="00CD3724">
      <w:pPr>
        <w:pStyle w:val="ListParagraph"/>
        <w:numPr>
          <w:ilvl w:val="0"/>
          <w:numId w:val="44"/>
        </w:numPr>
        <w:spacing w:after="0"/>
        <w:rPr>
          <w:rFonts w:eastAsia="Times New Roman" w:cs="Times New Roman"/>
          <w:b/>
          <w:color w:val="000000" w:themeColor="text1"/>
          <w:szCs w:val="24"/>
          <w:lang w:eastAsia="en-GB"/>
        </w:rPr>
      </w:pPr>
      <w:r w:rsidRPr="00E2630C">
        <w:rPr>
          <w:rFonts w:eastAsia="Times New Roman" w:cs="Times New Roman"/>
          <w:b/>
          <w:color w:val="000000" w:themeColor="text1"/>
          <w:szCs w:val="24"/>
          <w:lang w:eastAsia="en-GB"/>
        </w:rPr>
        <w:lastRenderedPageBreak/>
        <w:t>Environmental Security:</w:t>
      </w:r>
    </w:p>
    <w:p w14:paraId="19EE357E" w14:textId="5D3EEEB6" w:rsidR="00CD3724" w:rsidRPr="00E2630C" w:rsidRDefault="00CD3724" w:rsidP="00CD3724">
      <w:pPr>
        <w:pStyle w:val="ListParagraph"/>
        <w:spacing w:after="0"/>
        <w:rPr>
          <w:rFonts w:eastAsia="Times New Roman" w:cs="Times New Roman"/>
          <w:color w:val="000000" w:themeColor="text1"/>
          <w:szCs w:val="24"/>
          <w:lang w:eastAsia="en-GB"/>
        </w:rPr>
      </w:pPr>
      <w:r w:rsidRPr="00E2630C">
        <w:rPr>
          <w:rFonts w:eastAsia="Times New Roman" w:cs="Times New Roman"/>
          <w:color w:val="000000" w:themeColor="text1"/>
          <w:szCs w:val="24"/>
          <w:lang w:eastAsia="en-GB"/>
        </w:rPr>
        <w:t xml:space="preserve">The Ministry of Environment needs to launch initiatives for environmental restoration, focusing on rehabilitating damaged </w:t>
      </w:r>
      <w:r w:rsidR="00726CE3" w:rsidRPr="00E2630C">
        <w:rPr>
          <w:rFonts w:eastAsia="Times New Roman" w:cs="Times New Roman"/>
          <w:color w:val="000000" w:themeColor="text1"/>
          <w:szCs w:val="24"/>
          <w:lang w:eastAsia="en-GB"/>
        </w:rPr>
        <w:t>environments</w:t>
      </w:r>
      <w:r w:rsidRPr="00E2630C">
        <w:rPr>
          <w:rFonts w:eastAsia="Times New Roman" w:cs="Times New Roman"/>
          <w:color w:val="000000" w:themeColor="text1"/>
          <w:szCs w:val="24"/>
          <w:lang w:eastAsia="en-GB"/>
        </w:rPr>
        <w:t xml:space="preserve"> </w:t>
      </w:r>
      <w:r w:rsidR="00726CE3" w:rsidRPr="00E2630C">
        <w:rPr>
          <w:rFonts w:eastAsia="Times New Roman" w:cs="Times New Roman"/>
          <w:color w:val="000000" w:themeColor="text1"/>
          <w:szCs w:val="24"/>
          <w:lang w:eastAsia="en-GB"/>
        </w:rPr>
        <w:t>through constant burning of farms. S</w:t>
      </w:r>
      <w:r w:rsidRPr="00E2630C">
        <w:rPr>
          <w:rFonts w:eastAsia="Times New Roman" w:cs="Times New Roman"/>
          <w:color w:val="000000" w:themeColor="text1"/>
          <w:szCs w:val="24"/>
          <w:lang w:eastAsia="en-GB"/>
        </w:rPr>
        <w:t>uch an initiative should involve the community opinion leaders, youth groups and traditional authorities, security agencies and ministry of food and agriculture to ensure sustainable land management and conservation efforts through education and participation.</w:t>
      </w:r>
    </w:p>
    <w:p w14:paraId="6286EC93" w14:textId="77777777" w:rsidR="00CD3724" w:rsidRPr="00E2630C" w:rsidRDefault="00CD3724" w:rsidP="00CD3724">
      <w:pPr>
        <w:spacing w:after="0" w:line="480" w:lineRule="auto"/>
        <w:jc w:val="both"/>
        <w:rPr>
          <w:rFonts w:ascii="Times New Roman" w:eastAsia="Times New Roman" w:hAnsi="Times New Roman" w:cs="Times New Roman"/>
          <w:b/>
          <w:color w:val="000000" w:themeColor="text1"/>
          <w:sz w:val="24"/>
          <w:szCs w:val="24"/>
          <w:lang w:eastAsia="en-GB"/>
        </w:rPr>
      </w:pPr>
      <w:r w:rsidRPr="00E2630C">
        <w:rPr>
          <w:rFonts w:ascii="Times New Roman" w:eastAsia="Times New Roman" w:hAnsi="Times New Roman" w:cs="Times New Roman"/>
          <w:b/>
          <w:color w:val="000000" w:themeColor="text1"/>
          <w:sz w:val="24"/>
          <w:szCs w:val="24"/>
          <w:lang w:eastAsia="en-GB"/>
        </w:rPr>
        <w:t>Personal Security:</w:t>
      </w:r>
    </w:p>
    <w:p w14:paraId="07C6C75A" w14:textId="06608E5D" w:rsidR="00CD3724" w:rsidRPr="00DD112B" w:rsidRDefault="00CD3724" w:rsidP="0067586A">
      <w:pPr>
        <w:pStyle w:val="ListParagraph"/>
        <w:numPr>
          <w:ilvl w:val="0"/>
          <w:numId w:val="44"/>
        </w:numPr>
        <w:spacing w:after="200"/>
        <w:rPr>
          <w:rFonts w:cs="Times New Roman"/>
          <w:color w:val="000000" w:themeColor="text1"/>
          <w:szCs w:val="24"/>
        </w:rPr>
      </w:pPr>
      <w:r w:rsidRPr="00DD112B">
        <w:rPr>
          <w:rFonts w:eastAsia="Times New Roman" w:cs="Times New Roman"/>
          <w:color w:val="000000" w:themeColor="text1"/>
          <w:szCs w:val="24"/>
          <w:lang w:eastAsia="en-GB"/>
        </w:rPr>
        <w:t>The regional house of chiefs</w:t>
      </w:r>
      <w:r w:rsidR="0028586D" w:rsidRPr="00DD112B">
        <w:rPr>
          <w:rFonts w:eastAsia="Times New Roman" w:cs="Times New Roman"/>
          <w:color w:val="000000" w:themeColor="text1"/>
          <w:szCs w:val="24"/>
          <w:lang w:eastAsia="en-GB"/>
        </w:rPr>
        <w:t>,</w:t>
      </w:r>
      <w:r w:rsidRPr="00DD112B">
        <w:rPr>
          <w:rFonts w:eastAsia="Times New Roman" w:cs="Times New Roman"/>
          <w:color w:val="000000" w:themeColor="text1"/>
          <w:szCs w:val="24"/>
          <w:lang w:eastAsia="en-GB"/>
        </w:rPr>
        <w:t xml:space="preserve"> the Regional Peace Council </w:t>
      </w:r>
      <w:r w:rsidR="00726CE3" w:rsidRPr="00DD112B">
        <w:rPr>
          <w:rFonts w:eastAsia="Times New Roman" w:cs="Times New Roman"/>
          <w:color w:val="000000" w:themeColor="text1"/>
          <w:szCs w:val="24"/>
          <w:lang w:eastAsia="en-GB"/>
        </w:rPr>
        <w:t>and the police in the area need</w:t>
      </w:r>
      <w:r w:rsidRPr="00DD112B">
        <w:rPr>
          <w:rFonts w:eastAsia="Times New Roman" w:cs="Times New Roman"/>
          <w:color w:val="000000" w:themeColor="text1"/>
          <w:szCs w:val="24"/>
          <w:lang w:eastAsia="en-GB"/>
        </w:rPr>
        <w:t xml:space="preserve"> to support community policing efforts and supports the chiefs and the youth to establish local security mechanisms capable of picking conflict and criminal signals and also to enhance safety and reduce violence with the collaboration of the security agencies.</w:t>
      </w:r>
      <w:r w:rsidRPr="00DD112B">
        <w:rPr>
          <w:rFonts w:cs="Times New Roman"/>
          <w:color w:val="000000" w:themeColor="text1"/>
          <w:szCs w:val="24"/>
        </w:rPr>
        <w:t xml:space="preserve"> </w:t>
      </w:r>
    </w:p>
    <w:p w14:paraId="6FDA8CC7" w14:textId="77777777" w:rsidR="00CD3724" w:rsidRPr="00E2630C" w:rsidRDefault="00CD3724" w:rsidP="00CD3724">
      <w:pPr>
        <w:spacing w:after="0" w:line="480" w:lineRule="auto"/>
        <w:jc w:val="both"/>
        <w:rPr>
          <w:rFonts w:ascii="Times New Roman" w:eastAsia="Times New Roman" w:hAnsi="Times New Roman" w:cs="Times New Roman"/>
          <w:b/>
          <w:color w:val="000000" w:themeColor="text1"/>
          <w:sz w:val="24"/>
          <w:szCs w:val="24"/>
          <w:lang w:eastAsia="en-GB"/>
        </w:rPr>
      </w:pPr>
      <w:r w:rsidRPr="00E2630C">
        <w:rPr>
          <w:rFonts w:ascii="Times New Roman" w:eastAsia="Times New Roman" w:hAnsi="Times New Roman" w:cs="Times New Roman"/>
          <w:b/>
          <w:color w:val="000000" w:themeColor="text1"/>
          <w:sz w:val="24"/>
          <w:szCs w:val="24"/>
          <w:lang w:eastAsia="en-GB"/>
        </w:rPr>
        <w:t>Economic Security:</w:t>
      </w:r>
    </w:p>
    <w:p w14:paraId="2E579A44" w14:textId="7413DCD6" w:rsidR="00CD3724" w:rsidRPr="00E2630C" w:rsidRDefault="0028586D" w:rsidP="00CD3724">
      <w:pPr>
        <w:pStyle w:val="ListParagraph"/>
        <w:numPr>
          <w:ilvl w:val="0"/>
          <w:numId w:val="44"/>
        </w:numPr>
        <w:spacing w:after="0"/>
        <w:rPr>
          <w:rFonts w:eastAsia="Times New Roman" w:cs="Times New Roman"/>
          <w:color w:val="000000" w:themeColor="text1"/>
          <w:szCs w:val="24"/>
          <w:lang w:eastAsia="en-GB"/>
        </w:rPr>
      </w:pPr>
      <w:r w:rsidRPr="00E2630C">
        <w:rPr>
          <w:rFonts w:eastAsia="Times New Roman" w:cs="Times New Roman"/>
          <w:color w:val="000000" w:themeColor="text1"/>
          <w:szCs w:val="24"/>
          <w:lang w:eastAsia="en-GB"/>
        </w:rPr>
        <w:t xml:space="preserve">The study revealed that the chieftaincy conflict affected people’s access to credit thereby limiting their economic activities. </w:t>
      </w:r>
      <w:r w:rsidR="00CD3724" w:rsidRPr="00E2630C">
        <w:rPr>
          <w:rFonts w:eastAsia="Times New Roman" w:cs="Times New Roman"/>
          <w:color w:val="000000" w:themeColor="text1"/>
          <w:szCs w:val="24"/>
          <w:lang w:eastAsia="en-GB"/>
        </w:rPr>
        <w:t xml:space="preserve">The Municipal Assembly in collaboration with NGO’s need to </w:t>
      </w:r>
      <w:r w:rsidRPr="00E2630C">
        <w:rPr>
          <w:rFonts w:eastAsia="Times New Roman" w:cs="Times New Roman"/>
          <w:color w:val="000000" w:themeColor="text1"/>
          <w:szCs w:val="24"/>
          <w:lang w:eastAsia="en-GB"/>
        </w:rPr>
        <w:t xml:space="preserve">provide </w:t>
      </w:r>
      <w:r w:rsidR="00CD3724" w:rsidRPr="00E2630C">
        <w:rPr>
          <w:rFonts w:eastAsia="Times New Roman" w:cs="Times New Roman"/>
          <w:color w:val="000000" w:themeColor="text1"/>
          <w:szCs w:val="24"/>
          <w:lang w:eastAsia="en-GB"/>
        </w:rPr>
        <w:t>financial assistance for affected individuals to rebuild economic stability and also offer support for small businesses through microfinance programs, fostering entrepreneurship and economic resilience.</w:t>
      </w:r>
    </w:p>
    <w:p w14:paraId="71C5F2CC" w14:textId="77777777" w:rsidR="00CD3724" w:rsidRPr="00E2630C" w:rsidRDefault="00CD3724" w:rsidP="00CD3724">
      <w:pPr>
        <w:pStyle w:val="ListParagraph"/>
        <w:spacing w:after="200"/>
        <w:rPr>
          <w:rFonts w:cs="Times New Roman"/>
          <w:color w:val="000000" w:themeColor="text1"/>
          <w:szCs w:val="24"/>
        </w:rPr>
      </w:pPr>
      <w:r w:rsidRPr="00E2630C">
        <w:rPr>
          <w:rFonts w:cs="Times New Roman"/>
          <w:color w:val="000000" w:themeColor="text1"/>
          <w:szCs w:val="24"/>
        </w:rPr>
        <w:t xml:space="preserve">Politicians, government, political parties, the Nanumba-North District Assembly and all stakeholders should demonstrate a high sense of morality, neutrality and goodwill by refraining from meddling in the affairs of the chieftaincy institution in Bimbila. Also, the authorities in and out of Bimbilla should as much as possible endeavour to pay attention to the warring signals </w:t>
      </w:r>
      <w:r w:rsidRPr="00E2630C">
        <w:rPr>
          <w:rFonts w:cs="Times New Roman"/>
          <w:color w:val="000000" w:themeColor="text1"/>
          <w:szCs w:val="24"/>
        </w:rPr>
        <w:lastRenderedPageBreak/>
        <w:t>and to quickly activate mediation and negotiation processes to avert violent conflict.</w:t>
      </w:r>
    </w:p>
    <w:p w14:paraId="520082FB" w14:textId="77777777" w:rsidR="00CD3724" w:rsidRPr="00E2630C" w:rsidRDefault="00CD3724" w:rsidP="00CD3724">
      <w:pPr>
        <w:spacing w:after="0" w:line="480" w:lineRule="auto"/>
        <w:jc w:val="both"/>
        <w:rPr>
          <w:rFonts w:ascii="Times New Roman" w:eastAsia="Times New Roman" w:hAnsi="Times New Roman" w:cs="Times New Roman"/>
          <w:b/>
          <w:color w:val="000000" w:themeColor="text1"/>
          <w:sz w:val="24"/>
          <w:szCs w:val="24"/>
          <w:lang w:eastAsia="en-GB"/>
        </w:rPr>
      </w:pPr>
      <w:r w:rsidRPr="00E2630C">
        <w:rPr>
          <w:rFonts w:ascii="Times New Roman" w:eastAsia="Times New Roman" w:hAnsi="Times New Roman" w:cs="Times New Roman"/>
          <w:b/>
          <w:color w:val="000000" w:themeColor="text1"/>
          <w:sz w:val="24"/>
          <w:szCs w:val="24"/>
          <w:lang w:eastAsia="en-GB"/>
        </w:rPr>
        <w:t>Food Security:</w:t>
      </w:r>
    </w:p>
    <w:p w14:paraId="78ADAF39" w14:textId="063E4F3B" w:rsidR="00CD3724" w:rsidRPr="00E2630C" w:rsidRDefault="0028586D" w:rsidP="00CD3724">
      <w:pPr>
        <w:pStyle w:val="ListParagraph"/>
        <w:numPr>
          <w:ilvl w:val="0"/>
          <w:numId w:val="44"/>
        </w:numPr>
        <w:spacing w:after="0"/>
        <w:rPr>
          <w:rFonts w:eastAsia="Times New Roman" w:cs="Times New Roman"/>
          <w:color w:val="000000" w:themeColor="text1"/>
          <w:szCs w:val="24"/>
          <w:lang w:eastAsia="en-GB"/>
        </w:rPr>
      </w:pPr>
      <w:r w:rsidRPr="00E2630C">
        <w:rPr>
          <w:rFonts w:eastAsia="Times New Roman" w:cs="Times New Roman"/>
          <w:color w:val="000000" w:themeColor="text1"/>
          <w:szCs w:val="24"/>
          <w:lang w:eastAsia="en-GB"/>
        </w:rPr>
        <w:t xml:space="preserve">The study found that the chieftaincy conflict significantly influenced hunger and famine. </w:t>
      </w:r>
      <w:r w:rsidR="00CD3724" w:rsidRPr="00E2630C">
        <w:rPr>
          <w:rFonts w:eastAsia="Times New Roman" w:cs="Times New Roman"/>
          <w:color w:val="000000" w:themeColor="text1"/>
          <w:szCs w:val="24"/>
          <w:lang w:eastAsia="en-GB"/>
        </w:rPr>
        <w:t xml:space="preserve">The municipal assembly in collaboration with NGO’s should consider providing agricultural support including seeds, tools, and training to revitalize farming </w:t>
      </w:r>
      <w:r w:rsidR="005833EE" w:rsidRPr="00E2630C">
        <w:rPr>
          <w:rFonts w:eastAsia="Times New Roman" w:cs="Times New Roman"/>
          <w:color w:val="000000" w:themeColor="text1"/>
          <w:szCs w:val="24"/>
          <w:lang w:eastAsia="en-GB"/>
        </w:rPr>
        <w:t xml:space="preserve">(both crop and animal farming) </w:t>
      </w:r>
      <w:r w:rsidRPr="00E2630C">
        <w:rPr>
          <w:rFonts w:eastAsia="Times New Roman" w:cs="Times New Roman"/>
          <w:color w:val="000000" w:themeColor="text1"/>
          <w:szCs w:val="24"/>
          <w:lang w:eastAsia="en-GB"/>
        </w:rPr>
        <w:t xml:space="preserve">and other economic </w:t>
      </w:r>
      <w:r w:rsidR="00CD3724" w:rsidRPr="00E2630C">
        <w:rPr>
          <w:rFonts w:eastAsia="Times New Roman" w:cs="Times New Roman"/>
          <w:color w:val="000000" w:themeColor="text1"/>
          <w:szCs w:val="24"/>
          <w:lang w:eastAsia="en-GB"/>
        </w:rPr>
        <w:t xml:space="preserve">activities </w:t>
      </w:r>
      <w:r w:rsidRPr="00E2630C">
        <w:rPr>
          <w:rFonts w:eastAsia="Times New Roman" w:cs="Times New Roman"/>
          <w:color w:val="000000" w:themeColor="text1"/>
          <w:szCs w:val="24"/>
          <w:lang w:eastAsia="en-GB"/>
        </w:rPr>
        <w:t xml:space="preserve">to </w:t>
      </w:r>
      <w:r w:rsidR="005833EE" w:rsidRPr="00E2630C">
        <w:rPr>
          <w:rFonts w:eastAsia="Times New Roman" w:cs="Times New Roman"/>
          <w:color w:val="000000" w:themeColor="text1"/>
          <w:szCs w:val="24"/>
          <w:lang w:eastAsia="en-GB"/>
        </w:rPr>
        <w:t xml:space="preserve">ensure financial and geographical accessibility to food so as to reduce the burden of hunger and famine. </w:t>
      </w:r>
    </w:p>
    <w:p w14:paraId="2CC60B5C" w14:textId="613F7CD6" w:rsidR="00CD3724" w:rsidRPr="00E2630C" w:rsidRDefault="00CD3724" w:rsidP="00CD3724">
      <w:pPr>
        <w:spacing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It is hoped that</w:t>
      </w:r>
      <w:r w:rsidRPr="00E2630C">
        <w:rPr>
          <w:rFonts w:ascii="Times New Roman" w:eastAsia="Times New Roman" w:hAnsi="Times New Roman" w:cs="Times New Roman"/>
          <w:b/>
          <w:color w:val="000000" w:themeColor="text1"/>
          <w:sz w:val="24"/>
          <w:szCs w:val="24"/>
          <w:lang w:eastAsia="en-GB"/>
        </w:rPr>
        <w:t xml:space="preserve"> </w:t>
      </w:r>
      <w:r w:rsidR="005833EE" w:rsidRPr="00E2630C">
        <w:rPr>
          <w:rFonts w:ascii="Times New Roman" w:eastAsia="Times New Roman" w:hAnsi="Times New Roman" w:cs="Times New Roman"/>
          <w:b/>
          <w:color w:val="000000" w:themeColor="text1"/>
          <w:sz w:val="24"/>
          <w:szCs w:val="24"/>
          <w:lang w:eastAsia="en-GB"/>
        </w:rPr>
        <w:t xml:space="preserve">by </w:t>
      </w:r>
      <w:r w:rsidRPr="00E2630C">
        <w:rPr>
          <w:rFonts w:ascii="Times New Roman" w:eastAsia="Times New Roman" w:hAnsi="Times New Roman" w:cs="Times New Roman"/>
          <w:color w:val="000000" w:themeColor="text1"/>
          <w:sz w:val="24"/>
          <w:szCs w:val="24"/>
          <w:lang w:eastAsia="en-GB"/>
        </w:rPr>
        <w:t xml:space="preserve">implementing these recommendations with a focus on </w:t>
      </w:r>
      <w:r w:rsidR="005833EE" w:rsidRPr="00E2630C">
        <w:rPr>
          <w:rFonts w:ascii="Times New Roman" w:eastAsia="Times New Roman" w:hAnsi="Times New Roman" w:cs="Times New Roman"/>
          <w:color w:val="000000" w:themeColor="text1"/>
          <w:sz w:val="24"/>
          <w:szCs w:val="24"/>
          <w:lang w:eastAsia="en-GB"/>
        </w:rPr>
        <w:t xml:space="preserve">active </w:t>
      </w:r>
      <w:r w:rsidRPr="00E2630C">
        <w:rPr>
          <w:rFonts w:ascii="Times New Roman" w:eastAsia="Times New Roman" w:hAnsi="Times New Roman" w:cs="Times New Roman"/>
          <w:color w:val="000000" w:themeColor="text1"/>
          <w:sz w:val="24"/>
          <w:szCs w:val="24"/>
          <w:lang w:eastAsia="en-GB"/>
        </w:rPr>
        <w:t>collaboration</w:t>
      </w:r>
      <w:r w:rsidR="005833EE" w:rsidRPr="00E2630C">
        <w:rPr>
          <w:rFonts w:ascii="Times New Roman" w:eastAsia="Times New Roman" w:hAnsi="Times New Roman" w:cs="Times New Roman"/>
          <w:color w:val="000000" w:themeColor="text1"/>
          <w:sz w:val="24"/>
          <w:szCs w:val="24"/>
          <w:lang w:eastAsia="en-GB"/>
        </w:rPr>
        <w:t xml:space="preserve"> involving the state, traditional authorities, the security agencies, NGOs and civil society</w:t>
      </w:r>
      <w:r w:rsidRPr="00E2630C">
        <w:rPr>
          <w:rFonts w:ascii="Times New Roman" w:eastAsia="Times New Roman" w:hAnsi="Times New Roman" w:cs="Times New Roman"/>
          <w:color w:val="000000" w:themeColor="text1"/>
          <w:sz w:val="24"/>
          <w:szCs w:val="24"/>
          <w:lang w:eastAsia="en-GB"/>
        </w:rPr>
        <w:t>, human security in the aftermath of the Bimbilla chieftaincy conflict</w:t>
      </w:r>
      <w:r w:rsidR="005833EE" w:rsidRPr="00E2630C">
        <w:rPr>
          <w:rFonts w:ascii="Times New Roman" w:eastAsia="Times New Roman" w:hAnsi="Times New Roman" w:cs="Times New Roman"/>
          <w:color w:val="000000" w:themeColor="text1"/>
          <w:sz w:val="24"/>
          <w:szCs w:val="24"/>
          <w:lang w:eastAsia="en-GB"/>
        </w:rPr>
        <w:t xml:space="preserve"> could be restored.</w:t>
      </w:r>
    </w:p>
    <w:p w14:paraId="44AE9B98" w14:textId="77777777" w:rsidR="00CD3724" w:rsidRPr="00E2630C" w:rsidRDefault="00CD3724" w:rsidP="00DD112B">
      <w:pPr>
        <w:pStyle w:val="NoSpacing"/>
        <w:rPr>
          <w:lang w:eastAsia="en-GB"/>
        </w:rPr>
      </w:pPr>
    </w:p>
    <w:p w14:paraId="7993E185" w14:textId="77777777" w:rsidR="00CD3724" w:rsidRPr="00E2630C" w:rsidRDefault="00CD3724" w:rsidP="00DD112B">
      <w:pPr>
        <w:pStyle w:val="Heading2"/>
        <w:rPr>
          <w:rFonts w:eastAsia="Times New Roman"/>
          <w:lang w:eastAsia="en-GB"/>
        </w:rPr>
      </w:pPr>
      <w:bookmarkStart w:id="134" w:name="_Toc182386289"/>
      <w:r w:rsidRPr="00E2630C">
        <w:rPr>
          <w:rFonts w:eastAsia="Times New Roman"/>
          <w:lang w:eastAsia="en-GB"/>
        </w:rPr>
        <w:t>5.5 Contribution to knowledge</w:t>
      </w:r>
      <w:bookmarkEnd w:id="134"/>
    </w:p>
    <w:p w14:paraId="393F9A36" w14:textId="71B037CD" w:rsidR="00CD3724" w:rsidRPr="00E2630C" w:rsidRDefault="00CD3724" w:rsidP="00CD3724">
      <w:pPr>
        <w:spacing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This study has made varied contributions to knowledge. This study is a</w:t>
      </w:r>
      <w:r w:rsidR="005833EE" w:rsidRPr="00E2630C">
        <w:rPr>
          <w:rFonts w:ascii="Times New Roman" w:eastAsia="Times New Roman" w:hAnsi="Times New Roman" w:cs="Times New Roman"/>
          <w:color w:val="000000" w:themeColor="text1"/>
          <w:sz w:val="24"/>
          <w:szCs w:val="24"/>
          <w:lang w:eastAsia="en-GB"/>
        </w:rPr>
        <w:t>n</w:t>
      </w:r>
      <w:r w:rsidRPr="00E2630C">
        <w:rPr>
          <w:rFonts w:ascii="Times New Roman" w:eastAsia="Times New Roman" w:hAnsi="Times New Roman" w:cs="Times New Roman"/>
          <w:color w:val="000000" w:themeColor="text1"/>
          <w:sz w:val="24"/>
          <w:szCs w:val="24"/>
          <w:lang w:eastAsia="en-GB"/>
        </w:rPr>
        <w:t xml:space="preserve"> innovative one since there has not been any study that has </w:t>
      </w:r>
      <w:r w:rsidR="005833EE" w:rsidRPr="00E2630C">
        <w:rPr>
          <w:rFonts w:ascii="Times New Roman" w:eastAsia="Times New Roman" w:hAnsi="Times New Roman" w:cs="Times New Roman"/>
          <w:color w:val="000000" w:themeColor="text1"/>
          <w:sz w:val="24"/>
          <w:szCs w:val="24"/>
          <w:lang w:eastAsia="en-GB"/>
        </w:rPr>
        <w:t xml:space="preserve">simultaneously </w:t>
      </w:r>
      <w:r w:rsidRPr="00E2630C">
        <w:rPr>
          <w:rFonts w:ascii="Times New Roman" w:eastAsia="Times New Roman" w:hAnsi="Times New Roman" w:cs="Times New Roman"/>
          <w:color w:val="000000" w:themeColor="text1"/>
          <w:sz w:val="24"/>
          <w:szCs w:val="24"/>
          <w:lang w:eastAsia="en-GB"/>
        </w:rPr>
        <w:t>examined more closely how chieftaincy conflicts affect human security within the key components namely, food security, health security, environmental security economic security and personal security as the current study has done.</w:t>
      </w:r>
    </w:p>
    <w:p w14:paraId="580BDCDD" w14:textId="77777777" w:rsidR="00CD3724" w:rsidRPr="00E2630C" w:rsidRDefault="00CD3724" w:rsidP="00CD3724">
      <w:pPr>
        <w:spacing w:before="240"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t xml:space="preserve">The identification of critical areas of human security where chieftaincy conflicts have significant association or impact is also a modest contribution to knowledge. Most studies done on conflicts and human security have not gone beyond descriptive analysis to ascertain the otherwise association between conflicts and certain dependable human security variables which have policy implications. </w:t>
      </w:r>
    </w:p>
    <w:p w14:paraId="532E1E5C" w14:textId="33767375" w:rsidR="00CD3724" w:rsidRDefault="00CD3724" w:rsidP="000A4289">
      <w:pPr>
        <w:spacing w:before="240" w:after="0" w:line="480" w:lineRule="auto"/>
        <w:jc w:val="both"/>
        <w:rPr>
          <w:rFonts w:ascii="Times New Roman" w:eastAsia="Times New Roman" w:hAnsi="Times New Roman" w:cs="Times New Roman"/>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lastRenderedPageBreak/>
        <w:t xml:space="preserve">This current study adds to the body of research which has established the link between chieftaincy conflicts and human security. The study has showcased that chieftaincy conflicts </w:t>
      </w:r>
      <w:r w:rsidR="005833EE" w:rsidRPr="00E2630C">
        <w:rPr>
          <w:rFonts w:ascii="Times New Roman" w:eastAsia="Times New Roman" w:hAnsi="Times New Roman" w:cs="Times New Roman"/>
          <w:color w:val="000000" w:themeColor="text1"/>
          <w:sz w:val="24"/>
          <w:szCs w:val="24"/>
          <w:lang w:eastAsia="en-GB"/>
        </w:rPr>
        <w:t xml:space="preserve">have differential </w:t>
      </w:r>
      <w:r w:rsidRPr="00E2630C">
        <w:rPr>
          <w:rFonts w:ascii="Times New Roman" w:eastAsia="Times New Roman" w:hAnsi="Times New Roman" w:cs="Times New Roman"/>
          <w:color w:val="000000" w:themeColor="text1"/>
          <w:sz w:val="24"/>
          <w:szCs w:val="24"/>
          <w:lang w:eastAsia="en-GB"/>
        </w:rPr>
        <w:t>impact</w:t>
      </w:r>
      <w:r w:rsidR="005833EE" w:rsidRPr="00E2630C">
        <w:rPr>
          <w:rFonts w:ascii="Times New Roman" w:eastAsia="Times New Roman" w:hAnsi="Times New Roman" w:cs="Times New Roman"/>
          <w:color w:val="000000" w:themeColor="text1"/>
          <w:sz w:val="24"/>
          <w:szCs w:val="24"/>
          <w:lang w:eastAsia="en-GB"/>
        </w:rPr>
        <w:t>s</w:t>
      </w:r>
      <w:r w:rsidRPr="00E2630C">
        <w:rPr>
          <w:rFonts w:ascii="Times New Roman" w:eastAsia="Times New Roman" w:hAnsi="Times New Roman" w:cs="Times New Roman"/>
          <w:color w:val="000000" w:themeColor="text1"/>
          <w:sz w:val="24"/>
          <w:szCs w:val="24"/>
          <w:lang w:eastAsia="en-GB"/>
        </w:rPr>
        <w:t xml:space="preserve"> </w:t>
      </w:r>
      <w:r w:rsidR="005833EE" w:rsidRPr="00E2630C">
        <w:rPr>
          <w:rFonts w:ascii="Times New Roman" w:eastAsia="Times New Roman" w:hAnsi="Times New Roman" w:cs="Times New Roman"/>
          <w:color w:val="000000" w:themeColor="text1"/>
          <w:sz w:val="24"/>
          <w:szCs w:val="24"/>
          <w:lang w:eastAsia="en-GB"/>
        </w:rPr>
        <w:t xml:space="preserve">on </w:t>
      </w:r>
      <w:r w:rsidR="000A4289" w:rsidRPr="00E2630C">
        <w:rPr>
          <w:rFonts w:ascii="Times New Roman" w:eastAsia="Times New Roman" w:hAnsi="Times New Roman" w:cs="Times New Roman"/>
          <w:color w:val="000000" w:themeColor="text1"/>
          <w:sz w:val="24"/>
          <w:szCs w:val="24"/>
          <w:lang w:eastAsia="en-GB"/>
        </w:rPr>
        <w:t>human security</w:t>
      </w:r>
      <w:r w:rsidR="00DD112B">
        <w:rPr>
          <w:rFonts w:ascii="Times New Roman" w:eastAsia="Times New Roman" w:hAnsi="Times New Roman" w:cs="Times New Roman"/>
          <w:color w:val="000000" w:themeColor="text1"/>
          <w:sz w:val="24"/>
          <w:szCs w:val="24"/>
          <w:lang w:eastAsia="en-GB"/>
        </w:rPr>
        <w:t>.</w:t>
      </w:r>
    </w:p>
    <w:p w14:paraId="62382A3E" w14:textId="77777777" w:rsidR="00DD112B" w:rsidRPr="00E2630C" w:rsidRDefault="00DD112B" w:rsidP="00DD112B">
      <w:pPr>
        <w:pStyle w:val="NoSpacing"/>
        <w:rPr>
          <w:lang w:eastAsia="en-GB"/>
        </w:rPr>
      </w:pPr>
    </w:p>
    <w:p w14:paraId="3AA15D79" w14:textId="292AA08F" w:rsidR="000A4289" w:rsidRPr="00E2630C" w:rsidRDefault="00DD112B" w:rsidP="00DD112B">
      <w:pPr>
        <w:pStyle w:val="Heading2"/>
        <w:rPr>
          <w:rFonts w:eastAsia="Times New Roman"/>
          <w:lang w:eastAsia="en-GB"/>
        </w:rPr>
      </w:pPr>
      <w:bookmarkStart w:id="135" w:name="_Toc182386290"/>
      <w:r w:rsidRPr="00E2630C">
        <w:rPr>
          <w:rFonts w:eastAsia="Times New Roman"/>
          <w:lang w:eastAsia="en-GB"/>
        </w:rPr>
        <w:t>5.6 Suggestions for Further Studies</w:t>
      </w:r>
      <w:bookmarkEnd w:id="135"/>
    </w:p>
    <w:p w14:paraId="523292F8" w14:textId="7CAE8CC0" w:rsidR="00CD3724" w:rsidRPr="00E2630C" w:rsidRDefault="000A4289" w:rsidP="00624A64">
      <w:pPr>
        <w:spacing w:after="0" w:line="480" w:lineRule="auto"/>
        <w:jc w:val="both"/>
        <w:rPr>
          <w:rFonts w:ascii="Times New Roman" w:eastAsia="Times New Roman" w:hAnsi="Times New Roman" w:cs="Times New Roman"/>
          <w:color w:val="000000" w:themeColor="text1"/>
          <w:sz w:val="24"/>
          <w:szCs w:val="24"/>
          <w:lang w:val="en-US"/>
        </w:rPr>
      </w:pPr>
      <w:r w:rsidRPr="00E2630C">
        <w:rPr>
          <w:rFonts w:ascii="Times New Roman" w:eastAsia="Times New Roman" w:hAnsi="Times New Roman" w:cs="Times New Roman"/>
          <w:bCs/>
          <w:color w:val="000000" w:themeColor="text1"/>
          <w:sz w:val="24"/>
          <w:szCs w:val="24"/>
          <w:lang w:eastAsia="en-GB"/>
        </w:rPr>
        <w:t>It is suggested that other researchers will explore how chieftaincy conflicts impact women and marginalized groups, including their roles in conflict resolution and peacebuilding. As the study unravelled, chieftaincy conflicts have differential impact</w:t>
      </w:r>
      <w:r w:rsidR="00100410" w:rsidRPr="00E2630C">
        <w:rPr>
          <w:rFonts w:ascii="Times New Roman" w:eastAsia="Times New Roman" w:hAnsi="Times New Roman" w:cs="Times New Roman"/>
          <w:bCs/>
          <w:color w:val="000000" w:themeColor="text1"/>
          <w:sz w:val="24"/>
          <w:szCs w:val="24"/>
          <w:lang w:eastAsia="en-GB"/>
        </w:rPr>
        <w:t>s</w:t>
      </w:r>
      <w:r w:rsidR="00100410" w:rsidRPr="00E2630C">
        <w:rPr>
          <w:rFonts w:ascii="Times New Roman" w:eastAsia="Times New Roman" w:hAnsi="Times New Roman" w:cs="Times New Roman"/>
          <w:b/>
          <w:bCs/>
          <w:color w:val="000000" w:themeColor="text1"/>
          <w:sz w:val="24"/>
          <w:szCs w:val="24"/>
          <w:lang w:eastAsia="en-GB"/>
        </w:rPr>
        <w:t xml:space="preserve">. </w:t>
      </w:r>
      <w:r w:rsidRPr="00E2630C">
        <w:rPr>
          <w:rStyle w:val="Strong"/>
          <w:rFonts w:ascii="Times New Roman" w:hAnsi="Times New Roman" w:cs="Times New Roman"/>
          <w:b w:val="0"/>
          <w:color w:val="000000" w:themeColor="text1"/>
          <w:sz w:val="24"/>
          <w:szCs w:val="24"/>
        </w:rPr>
        <w:t xml:space="preserve">It is also proposed that a </w:t>
      </w:r>
      <w:r w:rsidR="00DD112B" w:rsidRPr="00E2630C">
        <w:rPr>
          <w:rStyle w:val="Strong"/>
          <w:rFonts w:ascii="Times New Roman" w:hAnsi="Times New Roman" w:cs="Times New Roman"/>
          <w:b w:val="0"/>
          <w:color w:val="000000" w:themeColor="text1"/>
          <w:sz w:val="24"/>
          <w:szCs w:val="24"/>
        </w:rPr>
        <w:t>longitudinal study</w:t>
      </w:r>
      <w:r w:rsidRPr="00E2630C">
        <w:rPr>
          <w:rFonts w:ascii="Times New Roman" w:hAnsi="Times New Roman" w:cs="Times New Roman"/>
          <w:color w:val="000000" w:themeColor="text1"/>
          <w:sz w:val="24"/>
          <w:szCs w:val="24"/>
        </w:rPr>
        <w:t xml:space="preserve"> should be conducted to assess changes in human security over time in areas affected by chieftaincy conflicts.</w:t>
      </w:r>
      <w:r w:rsidR="00100410" w:rsidRPr="00E2630C">
        <w:rPr>
          <w:rFonts w:ascii="Times New Roman" w:hAnsi="Times New Roman" w:cs="Times New Roman"/>
          <w:color w:val="000000" w:themeColor="text1"/>
          <w:sz w:val="24"/>
          <w:szCs w:val="24"/>
        </w:rPr>
        <w:t xml:space="preserve"> </w:t>
      </w:r>
      <w:r w:rsidR="00100410" w:rsidRPr="00E2630C">
        <w:rPr>
          <w:rFonts w:ascii="Times New Roman" w:eastAsia="Times New Roman" w:hAnsi="Times New Roman" w:cs="Times New Roman"/>
          <w:color w:val="000000" w:themeColor="text1"/>
          <w:sz w:val="24"/>
          <w:szCs w:val="24"/>
          <w:lang w:val="en-US"/>
        </w:rPr>
        <w:t xml:space="preserve">Such research works will provide Ghana with a broad data base for expeditious resolution of chieftaincy conflicts in the country and also charts a new vision for the promotion of human security which often is impaired by chieftaincy conflicts. </w:t>
      </w:r>
    </w:p>
    <w:p w14:paraId="52CB8614" w14:textId="77777777" w:rsidR="00B2764D" w:rsidRPr="00E2630C" w:rsidRDefault="00B2764D">
      <w:pPr>
        <w:spacing w:after="160" w:line="259" w:lineRule="auto"/>
        <w:rPr>
          <w:rFonts w:ascii="Times New Roman" w:eastAsia="Times New Roman" w:hAnsi="Times New Roman" w:cs="Times New Roman"/>
          <w:b/>
          <w:bCs/>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br w:type="page"/>
      </w:r>
    </w:p>
    <w:p w14:paraId="793D0C48" w14:textId="1B101392" w:rsidR="00CD3724" w:rsidRPr="00E2630C" w:rsidRDefault="00CD3724" w:rsidP="00DD112B">
      <w:pPr>
        <w:pStyle w:val="Heading1"/>
        <w:rPr>
          <w:lang w:eastAsia="en-GB"/>
        </w:rPr>
      </w:pPr>
      <w:bookmarkStart w:id="136" w:name="_Toc182386291"/>
      <w:r w:rsidRPr="00E2630C">
        <w:rPr>
          <w:lang w:eastAsia="en-GB"/>
        </w:rPr>
        <w:lastRenderedPageBreak/>
        <w:t>REFERENCES</w:t>
      </w:r>
      <w:bookmarkEnd w:id="136"/>
    </w:p>
    <w:p w14:paraId="360D1E58"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Aapengnuo, C. M. (2013). </w:t>
      </w:r>
      <w:r w:rsidRPr="00E2630C">
        <w:rPr>
          <w:rFonts w:ascii="Times New Roman" w:eastAsia="Times New Roman" w:hAnsi="Times New Roman" w:cs="Times New Roman"/>
          <w:i/>
          <w:iCs/>
          <w:color w:val="000000" w:themeColor="text1"/>
          <w:sz w:val="24"/>
          <w:szCs w:val="24"/>
        </w:rPr>
        <w:t>Power and Social Identity—The Crisis of Legitimacy of Traditional Rule in Northern Ghana and Ethnic Conflicts</w:t>
      </w:r>
      <w:r w:rsidRPr="00E2630C">
        <w:rPr>
          <w:rFonts w:ascii="Times New Roman" w:eastAsia="Times New Roman" w:hAnsi="Times New Roman" w:cs="Times New Roman"/>
          <w:color w:val="000000" w:themeColor="text1"/>
          <w:sz w:val="24"/>
          <w:szCs w:val="24"/>
        </w:rPr>
        <w:t>. George Mason University.</w:t>
      </w:r>
    </w:p>
    <w:p w14:paraId="3051D6EF"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Aba, H. O., &amp; Aminu, M. (2016). Seroprevalence of hepatitis B virus serological markers among pregnant Nigerian women. </w:t>
      </w:r>
      <w:r w:rsidRPr="00E2630C">
        <w:rPr>
          <w:rFonts w:ascii="Times New Roman" w:eastAsia="Times New Roman" w:hAnsi="Times New Roman" w:cs="Times New Roman"/>
          <w:i/>
          <w:iCs/>
          <w:color w:val="000000" w:themeColor="text1"/>
          <w:sz w:val="24"/>
          <w:szCs w:val="24"/>
        </w:rPr>
        <w:t>Annals of African Medicine</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15</w:t>
      </w:r>
      <w:r w:rsidRPr="00E2630C">
        <w:rPr>
          <w:rFonts w:ascii="Times New Roman" w:eastAsia="Times New Roman" w:hAnsi="Times New Roman" w:cs="Times New Roman"/>
          <w:color w:val="000000" w:themeColor="text1"/>
          <w:sz w:val="24"/>
          <w:szCs w:val="24"/>
        </w:rPr>
        <w:t>(1), 20–27. https://doi.org/10.4103/1596-3519.172555</w:t>
      </w:r>
    </w:p>
    <w:p w14:paraId="4EAF54CF"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Abdullah, A., Jordan, L. P., &amp; Emery, C. R. (2023). The protective effects of the collective cultural value of abiriwatia against child neglect: Results from a nationally representative survey. </w:t>
      </w:r>
      <w:r w:rsidRPr="00E2630C">
        <w:rPr>
          <w:rFonts w:ascii="Times New Roman" w:eastAsia="Times New Roman" w:hAnsi="Times New Roman" w:cs="Times New Roman"/>
          <w:i/>
          <w:iCs/>
          <w:color w:val="000000" w:themeColor="text1"/>
          <w:sz w:val="24"/>
          <w:szCs w:val="24"/>
        </w:rPr>
        <w:t>Child Abuse &amp; Neglect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138</w:t>
      </w:r>
      <w:r w:rsidRPr="00E2630C">
        <w:rPr>
          <w:rFonts w:ascii="Times New Roman" w:eastAsia="Times New Roman" w:hAnsi="Times New Roman" w:cs="Times New Roman"/>
          <w:color w:val="000000" w:themeColor="text1"/>
          <w:sz w:val="24"/>
          <w:szCs w:val="24"/>
        </w:rPr>
        <w:t>, 106068. https://doi.org/10.1016/j.chiabu.2023.106068</w:t>
      </w:r>
    </w:p>
    <w:p w14:paraId="375555B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Acemoglu, D., Reed, T., &amp; Robinson, J. (2013). </w:t>
      </w:r>
      <w:r w:rsidRPr="00E2630C">
        <w:rPr>
          <w:rFonts w:ascii="Times New Roman" w:eastAsia="Times New Roman" w:hAnsi="Times New Roman" w:cs="Times New Roman"/>
          <w:i/>
          <w:iCs/>
          <w:color w:val="000000" w:themeColor="text1"/>
          <w:sz w:val="24"/>
          <w:szCs w:val="24"/>
        </w:rPr>
        <w:t>Chiefs: Elite Control of Civil Society and Economic Development in Sierra Leone</w:t>
      </w:r>
      <w:r w:rsidRPr="00E2630C">
        <w:rPr>
          <w:rFonts w:ascii="Times New Roman" w:eastAsia="Times New Roman" w:hAnsi="Times New Roman" w:cs="Times New Roman"/>
          <w:color w:val="000000" w:themeColor="text1"/>
          <w:sz w:val="24"/>
          <w:szCs w:val="24"/>
        </w:rPr>
        <w:t>. https://doi.org/10.3386/w18691</w:t>
      </w:r>
    </w:p>
    <w:p w14:paraId="5FC59F53"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Acheampong, O. D. (2021). Perception of the difficulties of international postgraduate students writing research proposal. </w:t>
      </w:r>
      <w:r w:rsidRPr="00E2630C">
        <w:rPr>
          <w:rFonts w:ascii="Times New Roman" w:eastAsia="Times New Roman" w:hAnsi="Times New Roman" w:cs="Times New Roman"/>
          <w:i/>
          <w:iCs/>
          <w:color w:val="000000" w:themeColor="text1"/>
          <w:sz w:val="24"/>
          <w:szCs w:val="24"/>
        </w:rPr>
        <w:t>International Journal of Humanities and Innovation (IJHI)</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w:t>
      </w:r>
      <w:r w:rsidRPr="00E2630C">
        <w:rPr>
          <w:rFonts w:ascii="Times New Roman" w:eastAsia="Times New Roman" w:hAnsi="Times New Roman" w:cs="Times New Roman"/>
          <w:color w:val="000000" w:themeColor="text1"/>
          <w:sz w:val="24"/>
          <w:szCs w:val="24"/>
        </w:rPr>
        <w:t>(1), 17–24. https://doi.org/10.33750/ijhi.v4i1.103</w:t>
      </w:r>
    </w:p>
    <w:p w14:paraId="3B7E1130"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Ackerly, B. A. (2018). </w:t>
      </w:r>
      <w:r w:rsidRPr="00E2630C">
        <w:rPr>
          <w:rFonts w:ascii="Times New Roman" w:eastAsia="Times New Roman" w:hAnsi="Times New Roman" w:cs="Times New Roman"/>
          <w:i/>
          <w:iCs/>
          <w:color w:val="000000" w:themeColor="text1"/>
          <w:sz w:val="24"/>
          <w:szCs w:val="24"/>
        </w:rPr>
        <w:t>Just responsibility: A human rights theory of global justice</w:t>
      </w:r>
      <w:r w:rsidRPr="00E2630C">
        <w:rPr>
          <w:rFonts w:ascii="Times New Roman" w:eastAsia="Times New Roman" w:hAnsi="Times New Roman" w:cs="Times New Roman"/>
          <w:color w:val="000000" w:themeColor="text1"/>
          <w:sz w:val="24"/>
          <w:szCs w:val="24"/>
        </w:rPr>
        <w:t>. Oxford University Press.</w:t>
      </w:r>
    </w:p>
    <w:p w14:paraId="6E6636B3"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Adam, H., Amadu, M. F., &amp; Damba, T. O. (2020). Kuzey Gana’da Sürdürülebilir Arazi ve Su Yönetimi Teknolojilerinin Kullanımını Etkileyen Faktörler. </w:t>
      </w:r>
      <w:r w:rsidRPr="00E2630C">
        <w:rPr>
          <w:rFonts w:ascii="Times New Roman" w:eastAsia="Times New Roman" w:hAnsi="Times New Roman" w:cs="Times New Roman"/>
          <w:i/>
          <w:iCs/>
          <w:color w:val="000000" w:themeColor="text1"/>
          <w:sz w:val="24"/>
          <w:szCs w:val="24"/>
        </w:rPr>
        <w:t>Atatürk Üniversitesi Ziraat Fakültesi Dergisi</w:t>
      </w:r>
      <w:r w:rsidRPr="00E2630C">
        <w:rPr>
          <w:rFonts w:ascii="Times New Roman" w:eastAsia="Times New Roman" w:hAnsi="Times New Roman" w:cs="Times New Roman"/>
          <w:color w:val="000000" w:themeColor="text1"/>
          <w:sz w:val="24"/>
          <w:szCs w:val="24"/>
        </w:rPr>
        <w:t>, 297–308. https://doi.org/10.17097/ataunizfd.681352</w:t>
      </w:r>
    </w:p>
    <w:p w14:paraId="624D702E"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Adariku, M. E., Lagi, T. D., &amp; Salihu, M. G. (2023). Assessment of factors responsible for farmers-herders conflict in Benue state north central, Nigeria¬. </w:t>
      </w:r>
      <w:r w:rsidRPr="00E2630C">
        <w:rPr>
          <w:rFonts w:ascii="Times New Roman" w:eastAsia="Times New Roman" w:hAnsi="Times New Roman" w:cs="Times New Roman"/>
          <w:i/>
          <w:iCs/>
          <w:color w:val="000000" w:themeColor="text1"/>
          <w:sz w:val="24"/>
          <w:szCs w:val="24"/>
        </w:rPr>
        <w:t>World Journal of Advanced Research and Reviews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18</w:t>
      </w:r>
      <w:r w:rsidRPr="00E2630C">
        <w:rPr>
          <w:rFonts w:ascii="Times New Roman" w:eastAsia="Times New Roman" w:hAnsi="Times New Roman" w:cs="Times New Roman"/>
          <w:color w:val="000000" w:themeColor="text1"/>
          <w:sz w:val="24"/>
          <w:szCs w:val="24"/>
        </w:rPr>
        <w:t>(2), 764–772. https://doi.org/10.30574/wjarr.2023.18.2.0877</w:t>
      </w:r>
    </w:p>
    <w:p w14:paraId="4FD577FE" w14:textId="723E739D"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A</w:t>
      </w:r>
      <w:r w:rsidR="00B27F74" w:rsidRPr="00E2630C">
        <w:rPr>
          <w:rFonts w:ascii="Times New Roman" w:eastAsia="Times New Roman" w:hAnsi="Times New Roman" w:cs="Times New Roman"/>
          <w:color w:val="000000" w:themeColor="text1"/>
          <w:sz w:val="24"/>
          <w:szCs w:val="24"/>
        </w:rPr>
        <w:t>dariku</w:t>
      </w:r>
      <w:r w:rsidRPr="00E2630C">
        <w:rPr>
          <w:rFonts w:ascii="Times New Roman" w:eastAsia="Times New Roman" w:hAnsi="Times New Roman" w:cs="Times New Roman"/>
          <w:color w:val="000000" w:themeColor="text1"/>
          <w:sz w:val="24"/>
          <w:szCs w:val="24"/>
        </w:rPr>
        <w:t xml:space="preserve"> Michael Ejim, LAGI Theophilus D, &amp;   Muhammed Gani. (2023). Assessment of factors responsible for farmers-herders conflict in Benue state north central, Nigeria¬. </w:t>
      </w:r>
      <w:r w:rsidRPr="00E2630C">
        <w:rPr>
          <w:rFonts w:ascii="Times New Roman" w:eastAsia="Times New Roman" w:hAnsi="Times New Roman" w:cs="Times New Roman"/>
          <w:i/>
          <w:iCs/>
          <w:color w:val="000000" w:themeColor="text1"/>
          <w:sz w:val="24"/>
          <w:szCs w:val="24"/>
        </w:rPr>
        <w:t>World Journal of Advanced Research and Reviews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18</w:t>
      </w:r>
      <w:r w:rsidRPr="00E2630C">
        <w:rPr>
          <w:rFonts w:ascii="Times New Roman" w:eastAsia="Times New Roman" w:hAnsi="Times New Roman" w:cs="Times New Roman"/>
          <w:color w:val="000000" w:themeColor="text1"/>
          <w:sz w:val="24"/>
          <w:szCs w:val="24"/>
        </w:rPr>
        <w:t>(2), 764–772. https://doi.org/10.30574/wjarr.2023.18.2.0877</w:t>
      </w:r>
    </w:p>
    <w:p w14:paraId="5D4BAA70" w14:textId="77777777" w:rsidR="00B27F74" w:rsidRPr="00E2630C" w:rsidRDefault="00B27F7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Addah, K., and Zezebi N. (2008). The impact of ethnic conflicts on livestock production in Africa: The case of the Northern Region of Ghana. Journal of Agriculture and Social Research (JASR), Vol. 8, No.1, pp. 45-56.</w:t>
      </w:r>
    </w:p>
    <w:p w14:paraId="4B691899" w14:textId="3AD66713"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Adjaye, J. K., &amp; Buba, M. (2006). Chieftaincy at the confluence of tradition and modernity: Transforming African rulership in Ghana and Nigeria. </w:t>
      </w:r>
      <w:r w:rsidRPr="00E2630C">
        <w:rPr>
          <w:rFonts w:ascii="Times New Roman" w:eastAsia="Times New Roman" w:hAnsi="Times New Roman" w:cs="Times New Roman"/>
          <w:i/>
          <w:iCs/>
          <w:color w:val="000000" w:themeColor="text1"/>
          <w:sz w:val="24"/>
          <w:szCs w:val="24"/>
        </w:rPr>
        <w:t>International Third World Studies Journal and Review</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17</w:t>
      </w:r>
      <w:r w:rsidRPr="00E2630C">
        <w:rPr>
          <w:rFonts w:ascii="Times New Roman" w:eastAsia="Times New Roman" w:hAnsi="Times New Roman" w:cs="Times New Roman"/>
          <w:color w:val="000000" w:themeColor="text1"/>
          <w:sz w:val="24"/>
          <w:szCs w:val="24"/>
        </w:rPr>
        <w:t>(2006), 1–10.</w:t>
      </w:r>
    </w:p>
    <w:p w14:paraId="19E190CF"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Adjei-Poku, B., Afrane, S. K., Amoako, C., &amp; Inkoom, D. K. B. (2023). Customary land ownership and land use change in Kumasi: An issue of chieftaincy sustenance? </w:t>
      </w:r>
      <w:r w:rsidRPr="00E2630C">
        <w:rPr>
          <w:rFonts w:ascii="Times New Roman" w:eastAsia="Times New Roman" w:hAnsi="Times New Roman" w:cs="Times New Roman"/>
          <w:i/>
          <w:iCs/>
          <w:color w:val="000000" w:themeColor="text1"/>
          <w:sz w:val="24"/>
          <w:szCs w:val="24"/>
        </w:rPr>
        <w:t>Land Use Policy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125</w:t>
      </w:r>
      <w:r w:rsidRPr="00E2630C">
        <w:rPr>
          <w:rFonts w:ascii="Times New Roman" w:eastAsia="Times New Roman" w:hAnsi="Times New Roman" w:cs="Times New Roman"/>
          <w:color w:val="000000" w:themeColor="text1"/>
          <w:sz w:val="24"/>
          <w:szCs w:val="24"/>
        </w:rPr>
        <w:t>, 106483. https://doi.org/10.1016/j.landusepol.2022.106483</w:t>
      </w:r>
    </w:p>
    <w:p w14:paraId="7D7D05E6"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Africa Growth Initiative. (2014). </w:t>
      </w:r>
      <w:r w:rsidRPr="00E2630C">
        <w:rPr>
          <w:rFonts w:ascii="Times New Roman" w:eastAsia="Times New Roman" w:hAnsi="Times New Roman" w:cs="Times New Roman"/>
          <w:i/>
          <w:iCs/>
          <w:color w:val="000000" w:themeColor="text1"/>
          <w:sz w:val="24"/>
          <w:szCs w:val="24"/>
        </w:rPr>
        <w:t>The Impact of Conflict and Political Instability on Agricultural Investment in Mali and Nigeria</w:t>
      </w:r>
      <w:r w:rsidRPr="00E2630C">
        <w:rPr>
          <w:rFonts w:ascii="Times New Roman" w:eastAsia="Times New Roman" w:hAnsi="Times New Roman" w:cs="Times New Roman"/>
          <w:color w:val="000000" w:themeColor="text1"/>
          <w:sz w:val="24"/>
          <w:szCs w:val="24"/>
        </w:rPr>
        <w:t>.</w:t>
      </w:r>
    </w:p>
    <w:p w14:paraId="40584B4E"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Aganah, G. A. (2008). </w:t>
      </w:r>
      <w:r w:rsidRPr="00E2630C">
        <w:rPr>
          <w:rFonts w:ascii="Times New Roman" w:eastAsia="Times New Roman" w:hAnsi="Times New Roman" w:cs="Times New Roman"/>
          <w:i/>
          <w:iCs/>
          <w:color w:val="000000" w:themeColor="text1"/>
          <w:sz w:val="24"/>
          <w:szCs w:val="24"/>
        </w:rPr>
        <w:t>The effects of chieftaincy conflicts on local development: The case of the Bawku East Municipality</w:t>
      </w:r>
      <w:r w:rsidRPr="00E2630C">
        <w:rPr>
          <w:rFonts w:ascii="Times New Roman" w:eastAsia="Times New Roman" w:hAnsi="Times New Roman" w:cs="Times New Roman"/>
          <w:color w:val="000000" w:themeColor="text1"/>
          <w:sz w:val="24"/>
          <w:szCs w:val="24"/>
        </w:rPr>
        <w:t>. Universitetet i Tromsø.</w:t>
      </w:r>
    </w:p>
    <w:p w14:paraId="164DC7D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Agbevade, A. (2018). Local Economic Development Strategies and Challenges: A Comparative Empirical Evidence from Ghana’s Local Governance System. </w:t>
      </w:r>
      <w:r w:rsidRPr="00E2630C">
        <w:rPr>
          <w:rFonts w:ascii="Times New Roman" w:eastAsia="Times New Roman" w:hAnsi="Times New Roman" w:cs="Times New Roman"/>
          <w:i/>
          <w:iCs/>
          <w:color w:val="000000" w:themeColor="text1"/>
          <w:sz w:val="24"/>
          <w:szCs w:val="24"/>
        </w:rPr>
        <w:t>Journal of Public Administration and Governance</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8</w:t>
      </w:r>
      <w:r w:rsidRPr="00E2630C">
        <w:rPr>
          <w:rFonts w:ascii="Times New Roman" w:eastAsia="Times New Roman" w:hAnsi="Times New Roman" w:cs="Times New Roman"/>
          <w:color w:val="000000" w:themeColor="text1"/>
          <w:sz w:val="24"/>
          <w:szCs w:val="24"/>
        </w:rPr>
        <w:t>(4), 110. https://doi.org/10.5296/jpag.v8i4.13894</w:t>
      </w:r>
    </w:p>
    <w:p w14:paraId="40F7D75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Agyeman, L. O. (2021). Understanding the causes and dynamics of conflicts in Ghana: Insights from Bawku Traditional Area. </w:t>
      </w:r>
      <w:r w:rsidRPr="00E2630C">
        <w:rPr>
          <w:rFonts w:ascii="Times New Roman" w:eastAsia="Times New Roman" w:hAnsi="Times New Roman" w:cs="Times New Roman"/>
          <w:i/>
          <w:iCs/>
          <w:color w:val="000000" w:themeColor="text1"/>
          <w:sz w:val="24"/>
          <w:szCs w:val="24"/>
        </w:rPr>
        <w:t>Ghana Journal of Development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18</w:t>
      </w:r>
      <w:r w:rsidRPr="00E2630C">
        <w:rPr>
          <w:rFonts w:ascii="Times New Roman" w:eastAsia="Times New Roman" w:hAnsi="Times New Roman" w:cs="Times New Roman"/>
          <w:color w:val="000000" w:themeColor="text1"/>
          <w:sz w:val="24"/>
          <w:szCs w:val="24"/>
        </w:rPr>
        <w:t>(2), 97–116. https://doi.org/10.4314/gjds.v18i2.5</w:t>
      </w:r>
    </w:p>
    <w:p w14:paraId="7F0D482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Ahmad, H. R. (2022). Hovering Clouds of Arsenals across the Globe: Taking into Account Intermediate Range Nuclear Forces Treaty. </w:t>
      </w:r>
      <w:r w:rsidRPr="00E2630C">
        <w:rPr>
          <w:rFonts w:ascii="Times New Roman" w:eastAsia="Times New Roman" w:hAnsi="Times New Roman" w:cs="Times New Roman"/>
          <w:i/>
          <w:iCs/>
          <w:color w:val="000000" w:themeColor="text1"/>
          <w:sz w:val="24"/>
          <w:szCs w:val="24"/>
        </w:rPr>
        <w:t>IUB Journal of Social Sciences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w:t>
      </w:r>
      <w:r w:rsidRPr="00E2630C">
        <w:rPr>
          <w:rFonts w:ascii="Times New Roman" w:eastAsia="Times New Roman" w:hAnsi="Times New Roman" w:cs="Times New Roman"/>
          <w:color w:val="000000" w:themeColor="text1"/>
          <w:sz w:val="24"/>
          <w:szCs w:val="24"/>
        </w:rPr>
        <w:t>(1), 24--37.</w:t>
      </w:r>
    </w:p>
    <w:p w14:paraId="3B96ADD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Aikins, K. S. (2011). </w:t>
      </w:r>
      <w:r w:rsidRPr="00E2630C">
        <w:rPr>
          <w:rFonts w:ascii="Times New Roman" w:eastAsia="Times New Roman" w:hAnsi="Times New Roman" w:cs="Times New Roman"/>
          <w:i/>
          <w:iCs/>
          <w:color w:val="000000" w:themeColor="text1"/>
          <w:sz w:val="24"/>
          <w:szCs w:val="24"/>
        </w:rPr>
        <w:t>Can local governments be effective? Case studies of post-Independence Ghana</w:t>
      </w:r>
      <w:r w:rsidRPr="00E2630C">
        <w:rPr>
          <w:rFonts w:ascii="Times New Roman" w:eastAsia="Times New Roman" w:hAnsi="Times New Roman" w:cs="Times New Roman"/>
          <w:color w:val="000000" w:themeColor="text1"/>
          <w:sz w:val="24"/>
          <w:szCs w:val="24"/>
        </w:rPr>
        <w:t xml:space="preserve"> [Doctoral dissertation]. University of Kansas.</w:t>
      </w:r>
    </w:p>
    <w:p w14:paraId="1E9782F2"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Akinrinde, O. O. (2020). Social injustice, corruption and Nigeria’s national security quest: A theoretical discourse. </w:t>
      </w:r>
      <w:r w:rsidRPr="00E2630C">
        <w:rPr>
          <w:rFonts w:ascii="Times New Roman" w:eastAsia="Times New Roman" w:hAnsi="Times New Roman" w:cs="Times New Roman"/>
          <w:i/>
          <w:iCs/>
          <w:color w:val="000000" w:themeColor="text1"/>
          <w:sz w:val="24"/>
          <w:szCs w:val="24"/>
        </w:rPr>
        <w:t>Global Journal of Sociology: Current Issues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10</w:t>
      </w:r>
      <w:r w:rsidRPr="00E2630C">
        <w:rPr>
          <w:rFonts w:ascii="Times New Roman" w:eastAsia="Times New Roman" w:hAnsi="Times New Roman" w:cs="Times New Roman"/>
          <w:color w:val="000000" w:themeColor="text1"/>
          <w:sz w:val="24"/>
          <w:szCs w:val="24"/>
        </w:rPr>
        <w:t>(2), 63–70. https://doi.org/10.18844/gjs.v10i2.4997</w:t>
      </w:r>
    </w:p>
    <w:p w14:paraId="35874B17"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Akpor, O. B., Otohinoyi, D., Olaolu, D., &amp; Aderiye, B. (2014). Pollutants in wastewater effluents: impacts and remediation processes. </w:t>
      </w:r>
      <w:r w:rsidRPr="00E2630C">
        <w:rPr>
          <w:rFonts w:ascii="Times New Roman" w:eastAsia="Times New Roman" w:hAnsi="Times New Roman" w:cs="Times New Roman"/>
          <w:i/>
          <w:iCs/>
          <w:color w:val="000000" w:themeColor="text1"/>
          <w:sz w:val="24"/>
          <w:szCs w:val="24"/>
        </w:rPr>
        <w:t>International Journal of Environmental Research and Earth Science</w:t>
      </w:r>
      <w:r w:rsidRPr="00E2630C">
        <w:rPr>
          <w:rFonts w:ascii="Times New Roman" w:eastAsia="Times New Roman" w:hAnsi="Times New Roman" w:cs="Times New Roman"/>
          <w:color w:val="000000" w:themeColor="text1"/>
          <w:sz w:val="24"/>
          <w:szCs w:val="24"/>
        </w:rPr>
        <w:t>, 050--059.</w:t>
      </w:r>
    </w:p>
    <w:p w14:paraId="22588EA5"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Alhassan, I. A. (2017). Land-use conflicts between settler farmers and nomadic Fulani herdsmen in the Kwahu north district, Ghana. </w:t>
      </w:r>
      <w:r w:rsidRPr="00E2630C">
        <w:rPr>
          <w:rFonts w:ascii="Times New Roman" w:eastAsia="Times New Roman" w:hAnsi="Times New Roman" w:cs="Times New Roman"/>
          <w:i/>
          <w:iCs/>
          <w:color w:val="000000" w:themeColor="text1"/>
          <w:sz w:val="24"/>
          <w:szCs w:val="24"/>
        </w:rPr>
        <w:t>Alhassan, Ishaq Akmey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w:t>
      </w:r>
      <w:r w:rsidRPr="00E2630C">
        <w:rPr>
          <w:rFonts w:ascii="Times New Roman" w:eastAsia="Times New Roman" w:hAnsi="Times New Roman" w:cs="Times New Roman"/>
          <w:color w:val="000000" w:themeColor="text1"/>
          <w:sz w:val="24"/>
          <w:szCs w:val="24"/>
        </w:rPr>
        <w:t>(2), 127--154.</w:t>
      </w:r>
    </w:p>
    <w:p w14:paraId="3A6508E3"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Alkire, S. (2003). A Conceptual Framework for Human Security. </w:t>
      </w:r>
      <w:r w:rsidRPr="00E2630C">
        <w:rPr>
          <w:rFonts w:ascii="Times New Roman" w:eastAsia="Times New Roman" w:hAnsi="Times New Roman" w:cs="Times New Roman"/>
          <w:i/>
          <w:iCs/>
          <w:color w:val="000000" w:themeColor="text1"/>
          <w:sz w:val="24"/>
          <w:szCs w:val="24"/>
        </w:rPr>
        <w:t>CRISE Department of International Development, University of Oxford</w:t>
      </w:r>
      <w:r w:rsidRPr="00E2630C">
        <w:rPr>
          <w:rFonts w:ascii="Times New Roman" w:eastAsia="Times New Roman" w:hAnsi="Times New Roman" w:cs="Times New Roman"/>
          <w:color w:val="000000" w:themeColor="text1"/>
          <w:sz w:val="24"/>
          <w:szCs w:val="24"/>
        </w:rPr>
        <w:t>.</w:t>
      </w:r>
    </w:p>
    <w:p w14:paraId="5112C81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Amin, Z. T. K. (2016). Human Security in Contemporary International Politics: Limitations and Challenges. </w:t>
      </w:r>
      <w:r w:rsidRPr="00E2630C">
        <w:rPr>
          <w:rFonts w:ascii="Times New Roman" w:eastAsia="Times New Roman" w:hAnsi="Times New Roman" w:cs="Times New Roman"/>
          <w:i/>
          <w:iCs/>
          <w:color w:val="000000" w:themeColor="text1"/>
          <w:sz w:val="24"/>
          <w:szCs w:val="24"/>
        </w:rPr>
        <w:t>International Journal of Social Sciences &amp; Educational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w:t>
      </w:r>
      <w:r w:rsidRPr="00E2630C">
        <w:rPr>
          <w:rFonts w:ascii="Times New Roman" w:eastAsia="Times New Roman" w:hAnsi="Times New Roman" w:cs="Times New Roman"/>
          <w:color w:val="000000" w:themeColor="text1"/>
          <w:sz w:val="24"/>
          <w:szCs w:val="24"/>
        </w:rPr>
        <w:t>(1), 1–35.</w:t>
      </w:r>
    </w:p>
    <w:p w14:paraId="58936CE7"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Anamzoya, A. S., &amp; Steve, T. (2012). Chieftaincy Succession Dispute in N anun, N orthem Ghana: Interrogating the Narratives of the Contestants. </w:t>
      </w:r>
      <w:r w:rsidRPr="00E2630C">
        <w:rPr>
          <w:rFonts w:ascii="Times New Roman" w:eastAsia="Times New Roman" w:hAnsi="Times New Roman" w:cs="Times New Roman"/>
          <w:i/>
          <w:iCs/>
          <w:color w:val="000000" w:themeColor="text1"/>
          <w:sz w:val="24"/>
          <w:szCs w:val="24"/>
        </w:rPr>
        <w:t>Ghana Journal of Geography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w:t>
      </w:r>
      <w:r w:rsidRPr="00E2630C">
        <w:rPr>
          <w:rFonts w:ascii="Times New Roman" w:eastAsia="Times New Roman" w:hAnsi="Times New Roman" w:cs="Times New Roman"/>
          <w:color w:val="000000" w:themeColor="text1"/>
          <w:sz w:val="24"/>
          <w:szCs w:val="24"/>
        </w:rPr>
        <w:t>, 83–102.</w:t>
      </w:r>
    </w:p>
    <w:p w14:paraId="2AC5C37E"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Anamzoya, A. S., &amp; Tonah, S. (2012). Chieftaincy Succession Dispute in Nanun, Northem Ghana: Interrogating the Narratives of the Contestants. </w:t>
      </w:r>
      <w:r w:rsidRPr="00E2630C">
        <w:rPr>
          <w:rFonts w:ascii="Times New Roman" w:eastAsia="Times New Roman" w:hAnsi="Times New Roman" w:cs="Times New Roman"/>
          <w:i/>
          <w:iCs/>
          <w:color w:val="000000" w:themeColor="text1"/>
          <w:sz w:val="24"/>
          <w:szCs w:val="24"/>
        </w:rPr>
        <w:t>Ghana Journal of Geography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w:t>
      </w:r>
      <w:r w:rsidRPr="00E2630C">
        <w:rPr>
          <w:rFonts w:ascii="Times New Roman" w:eastAsia="Times New Roman" w:hAnsi="Times New Roman" w:cs="Times New Roman"/>
          <w:color w:val="000000" w:themeColor="text1"/>
          <w:sz w:val="24"/>
          <w:szCs w:val="24"/>
        </w:rPr>
        <w:t>, 83--102.</w:t>
      </w:r>
    </w:p>
    <w:p w14:paraId="7FE98FFD"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Aranda, B. G. (2016). Human Rights, Economic Liberalism and Social Affairs in Post-Pinochet Chile. </w:t>
      </w:r>
      <w:r w:rsidRPr="00E2630C">
        <w:rPr>
          <w:rFonts w:ascii="Times New Roman" w:eastAsia="Times New Roman" w:hAnsi="Times New Roman" w:cs="Times New Roman"/>
          <w:i/>
          <w:iCs/>
          <w:color w:val="000000" w:themeColor="text1"/>
          <w:sz w:val="24"/>
          <w:szCs w:val="24"/>
        </w:rPr>
        <w:t>Contexto Internacional</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38</w:t>
      </w:r>
      <w:r w:rsidRPr="00E2630C">
        <w:rPr>
          <w:rFonts w:ascii="Times New Roman" w:eastAsia="Times New Roman" w:hAnsi="Times New Roman" w:cs="Times New Roman"/>
          <w:color w:val="000000" w:themeColor="text1"/>
          <w:sz w:val="24"/>
          <w:szCs w:val="24"/>
        </w:rPr>
        <w:t>(1), 133–163. https://doi.org/10.1590/S0102-8529.2016380100004</w:t>
      </w:r>
    </w:p>
    <w:p w14:paraId="3E45C73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Arezki, R., &amp; Brückner, M. (2011). </w:t>
      </w:r>
      <w:r w:rsidRPr="00E2630C">
        <w:rPr>
          <w:rFonts w:ascii="Times New Roman" w:eastAsia="Times New Roman" w:hAnsi="Times New Roman" w:cs="Times New Roman"/>
          <w:i/>
          <w:iCs/>
          <w:color w:val="000000" w:themeColor="text1"/>
          <w:sz w:val="24"/>
          <w:szCs w:val="24"/>
        </w:rPr>
        <w:t>Food Prices and Political Instability; by Rabah Arezki and Markus Brückner; IMF Working Paper 11/62; March 1, 2011</w:t>
      </w:r>
      <w:r w:rsidRPr="00E2630C">
        <w:rPr>
          <w:rFonts w:ascii="Times New Roman" w:eastAsia="Times New Roman" w:hAnsi="Times New Roman" w:cs="Times New Roman"/>
          <w:color w:val="000000" w:themeColor="text1"/>
          <w:sz w:val="24"/>
          <w:szCs w:val="24"/>
        </w:rPr>
        <w:t>.</w:t>
      </w:r>
    </w:p>
    <w:p w14:paraId="15F9190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Asamoah, K. (2012). A qualitative study of chieftaincy and local government in Ghana. </w:t>
      </w:r>
      <w:r w:rsidRPr="00E2630C">
        <w:rPr>
          <w:rFonts w:ascii="Times New Roman" w:eastAsia="Times New Roman" w:hAnsi="Times New Roman" w:cs="Times New Roman"/>
          <w:i/>
          <w:iCs/>
          <w:color w:val="000000" w:themeColor="text1"/>
          <w:sz w:val="24"/>
          <w:szCs w:val="24"/>
        </w:rPr>
        <w:t>Journal of African Studies and Development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w:t>
      </w:r>
      <w:r w:rsidRPr="00E2630C">
        <w:rPr>
          <w:rFonts w:ascii="Times New Roman" w:eastAsia="Times New Roman" w:hAnsi="Times New Roman" w:cs="Times New Roman"/>
          <w:color w:val="000000" w:themeColor="text1"/>
          <w:sz w:val="24"/>
          <w:szCs w:val="24"/>
        </w:rPr>
        <w:t>(3), 90–95.</w:t>
      </w:r>
    </w:p>
    <w:p w14:paraId="1042A972"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Asante, E., &amp; Blewushie, H. (2021). Chieftaincy and Development: The Effutu State in Perspective. </w:t>
      </w:r>
      <w:r w:rsidRPr="00E2630C">
        <w:rPr>
          <w:rFonts w:ascii="Times New Roman" w:eastAsia="Times New Roman" w:hAnsi="Times New Roman" w:cs="Times New Roman"/>
          <w:i/>
          <w:iCs/>
          <w:color w:val="000000" w:themeColor="text1"/>
          <w:sz w:val="24"/>
          <w:szCs w:val="24"/>
        </w:rPr>
        <w:t>Sch J Arts Humanit Soc Sci</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12</w:t>
      </w:r>
      <w:r w:rsidRPr="00E2630C">
        <w:rPr>
          <w:rFonts w:ascii="Times New Roman" w:eastAsia="Times New Roman" w:hAnsi="Times New Roman" w:cs="Times New Roman"/>
          <w:color w:val="000000" w:themeColor="text1"/>
          <w:sz w:val="24"/>
          <w:szCs w:val="24"/>
        </w:rPr>
        <w:t>(1), 623–631.</w:t>
      </w:r>
    </w:p>
    <w:p w14:paraId="686B23D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Awedoba, A. K. (2006). The peoples of northern Ghana. </w:t>
      </w:r>
      <w:r w:rsidRPr="00E2630C">
        <w:rPr>
          <w:rFonts w:ascii="Times New Roman" w:eastAsia="Times New Roman" w:hAnsi="Times New Roman" w:cs="Times New Roman"/>
          <w:i/>
          <w:iCs/>
          <w:color w:val="000000" w:themeColor="text1"/>
          <w:sz w:val="24"/>
          <w:szCs w:val="24"/>
        </w:rPr>
        <w:t>Accra, Ghana: National Commission on Culture</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20</w:t>
      </w:r>
      <w:r w:rsidRPr="00E2630C">
        <w:rPr>
          <w:rFonts w:ascii="Times New Roman" w:eastAsia="Times New Roman" w:hAnsi="Times New Roman" w:cs="Times New Roman"/>
          <w:color w:val="000000" w:themeColor="text1"/>
          <w:sz w:val="24"/>
          <w:szCs w:val="24"/>
        </w:rPr>
        <w:t>(2).</w:t>
      </w:r>
    </w:p>
    <w:p w14:paraId="714B26D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Awuah-Nyamekye, S., &amp; Appiah, S. K. (2022). </w:t>
      </w:r>
      <w:r w:rsidRPr="00E2630C">
        <w:rPr>
          <w:rFonts w:ascii="Times New Roman" w:eastAsia="Times New Roman" w:hAnsi="Times New Roman" w:cs="Times New Roman"/>
          <w:i/>
          <w:iCs/>
          <w:color w:val="000000" w:themeColor="text1"/>
          <w:sz w:val="24"/>
          <w:szCs w:val="24"/>
        </w:rPr>
        <w:t>Colonial Marginalities and Post-Colonial Fragments: Inter-Faith Networking for Development in Ghana</w:t>
      </w:r>
      <w:r w:rsidRPr="00E2630C">
        <w:rPr>
          <w:rFonts w:ascii="Times New Roman" w:eastAsia="Times New Roman" w:hAnsi="Times New Roman" w:cs="Times New Roman"/>
          <w:color w:val="000000" w:themeColor="text1"/>
          <w:sz w:val="24"/>
          <w:szCs w:val="24"/>
        </w:rPr>
        <w:t xml:space="preserve"> (pp. 231–251). https://doi.org/10.1007/978-3-030-89807-6_13</w:t>
      </w:r>
    </w:p>
    <w:p w14:paraId="6B1D7B8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Baffoe, P. L. (2017). </w:t>
      </w:r>
      <w:r w:rsidRPr="00E2630C">
        <w:rPr>
          <w:rFonts w:ascii="Times New Roman" w:eastAsia="Times New Roman" w:hAnsi="Times New Roman" w:cs="Times New Roman"/>
          <w:i/>
          <w:iCs/>
          <w:color w:val="000000" w:themeColor="text1"/>
          <w:sz w:val="24"/>
          <w:szCs w:val="24"/>
        </w:rPr>
        <w:t>Traditional Authorities and Development in Ghana</w:t>
      </w:r>
      <w:r w:rsidRPr="00E2630C">
        <w:rPr>
          <w:rFonts w:ascii="Times New Roman" w:eastAsia="Times New Roman" w:hAnsi="Times New Roman" w:cs="Times New Roman"/>
          <w:color w:val="000000" w:themeColor="text1"/>
          <w:sz w:val="24"/>
          <w:szCs w:val="24"/>
        </w:rPr>
        <w:t>. Carleton University .</w:t>
      </w:r>
    </w:p>
    <w:p w14:paraId="651945F5"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Ballentine, K., &amp; Nitzschke, H. (2003). </w:t>
      </w:r>
      <w:r w:rsidRPr="00E2630C">
        <w:rPr>
          <w:rFonts w:ascii="Times New Roman" w:eastAsia="Times New Roman" w:hAnsi="Times New Roman" w:cs="Times New Roman"/>
          <w:i/>
          <w:iCs/>
          <w:color w:val="000000" w:themeColor="text1"/>
          <w:sz w:val="24"/>
          <w:szCs w:val="24"/>
        </w:rPr>
        <w:t>Beyond greed and grievance: Policy lessons from studies in the political economy of armed conflict</w:t>
      </w:r>
      <w:r w:rsidRPr="00E2630C">
        <w:rPr>
          <w:rFonts w:ascii="Times New Roman" w:eastAsia="Times New Roman" w:hAnsi="Times New Roman" w:cs="Times New Roman"/>
          <w:color w:val="000000" w:themeColor="text1"/>
          <w:sz w:val="24"/>
          <w:szCs w:val="24"/>
        </w:rPr>
        <w:t>. International Peace Academy New York.</w:t>
      </w:r>
    </w:p>
    <w:p w14:paraId="159DA657"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Beall, J., &amp; Ngonyama, M. (2009). Indigenous institutions, traditional leaders and elite coalitions for development: The case of Greater Durban, South Africa. </w:t>
      </w:r>
      <w:r w:rsidRPr="00E2630C">
        <w:rPr>
          <w:rFonts w:ascii="Times New Roman" w:eastAsia="Times New Roman" w:hAnsi="Times New Roman" w:cs="Times New Roman"/>
          <w:i/>
          <w:iCs/>
          <w:color w:val="000000" w:themeColor="text1"/>
          <w:sz w:val="24"/>
          <w:szCs w:val="24"/>
        </w:rPr>
        <w:t>Crisis States Research Centre, London School of Economics and Political Science</w:t>
      </w:r>
      <w:r w:rsidRPr="00E2630C">
        <w:rPr>
          <w:rFonts w:ascii="Times New Roman" w:eastAsia="Times New Roman" w:hAnsi="Times New Roman" w:cs="Times New Roman"/>
          <w:color w:val="000000" w:themeColor="text1"/>
          <w:sz w:val="24"/>
          <w:szCs w:val="24"/>
        </w:rPr>
        <w:t>.</w:t>
      </w:r>
    </w:p>
    <w:p w14:paraId="5B658E4F" w14:textId="77777777" w:rsidR="008B773C" w:rsidRPr="001B7AD4" w:rsidRDefault="00CD3724" w:rsidP="001B7AD4">
      <w:pPr>
        <w:autoSpaceDE w:val="0"/>
        <w:autoSpaceDN w:val="0"/>
        <w:ind w:left="450" w:hanging="480"/>
        <w:jc w:val="both"/>
        <w:rPr>
          <w:rStyle w:val="Hyperlink"/>
          <w:rFonts w:ascii="Times New Roman" w:eastAsia="Times New Roman" w:hAnsi="Times New Roman" w:cs="Times New Roman"/>
          <w:color w:val="000000" w:themeColor="text1"/>
          <w:sz w:val="24"/>
          <w:szCs w:val="24"/>
          <w:u w:val="none"/>
        </w:rPr>
      </w:pPr>
      <w:r w:rsidRPr="00E2630C">
        <w:rPr>
          <w:rFonts w:ascii="Times New Roman" w:eastAsia="Times New Roman" w:hAnsi="Times New Roman" w:cs="Times New Roman"/>
          <w:color w:val="000000" w:themeColor="text1"/>
          <w:sz w:val="24"/>
          <w:szCs w:val="24"/>
        </w:rPr>
        <w:t xml:space="preserve">Beehner, L. (2018). State-building, Military Modernization and Cross-border Ethnic Violence in Myanmar. </w:t>
      </w:r>
      <w:r w:rsidRPr="00E2630C">
        <w:rPr>
          <w:rFonts w:ascii="Times New Roman" w:eastAsia="Times New Roman" w:hAnsi="Times New Roman" w:cs="Times New Roman"/>
          <w:i/>
          <w:iCs/>
          <w:color w:val="000000" w:themeColor="text1"/>
          <w:sz w:val="24"/>
          <w:szCs w:val="24"/>
        </w:rPr>
        <w:t>Journal of Asian Security and International Affairs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5</w:t>
      </w:r>
      <w:r w:rsidRPr="00E2630C">
        <w:rPr>
          <w:rFonts w:ascii="Times New Roman" w:eastAsia="Times New Roman" w:hAnsi="Times New Roman" w:cs="Times New Roman"/>
          <w:color w:val="000000" w:themeColor="text1"/>
          <w:sz w:val="24"/>
          <w:szCs w:val="24"/>
        </w:rPr>
        <w:t xml:space="preserve">(1), </w:t>
      </w:r>
      <w:r w:rsidRPr="001B7AD4">
        <w:rPr>
          <w:rFonts w:ascii="Times New Roman" w:eastAsia="Times New Roman" w:hAnsi="Times New Roman" w:cs="Times New Roman"/>
          <w:color w:val="000000" w:themeColor="text1"/>
          <w:sz w:val="24"/>
          <w:szCs w:val="24"/>
        </w:rPr>
        <w:t xml:space="preserve">1–30. </w:t>
      </w:r>
      <w:hyperlink r:id="rId11" w:history="1">
        <w:r w:rsidR="008B773C" w:rsidRPr="001B7AD4">
          <w:rPr>
            <w:rStyle w:val="Hyperlink"/>
            <w:rFonts w:ascii="Times New Roman" w:eastAsia="Times New Roman" w:hAnsi="Times New Roman" w:cs="Times New Roman"/>
            <w:color w:val="000000" w:themeColor="text1"/>
            <w:sz w:val="24"/>
            <w:szCs w:val="24"/>
            <w:u w:val="none"/>
          </w:rPr>
          <w:t>https://doi.org/10.1177/2347797017748464</w:t>
        </w:r>
      </w:hyperlink>
    </w:p>
    <w:p w14:paraId="22CD1AA9" w14:textId="5AADA450" w:rsidR="009F784A" w:rsidRDefault="009F784A" w:rsidP="001B7AD4">
      <w:pPr>
        <w:spacing w:line="360" w:lineRule="auto"/>
        <w:ind w:left="450" w:hanging="720"/>
        <w:jc w:val="both"/>
        <w:rPr>
          <w:rFonts w:ascii="Times New Roman" w:hAnsi="Times New Roman" w:cs="Times New Roman"/>
          <w:sz w:val="24"/>
          <w:szCs w:val="24"/>
        </w:rPr>
      </w:pPr>
      <w:r w:rsidRPr="00E2630C">
        <w:rPr>
          <w:rFonts w:ascii="Times New Roman" w:hAnsi="Times New Roman" w:cs="Times New Roman"/>
          <w:sz w:val="24"/>
          <w:szCs w:val="24"/>
        </w:rPr>
        <w:t xml:space="preserve">Bernard, H. R. (2002). </w:t>
      </w:r>
      <w:r w:rsidRPr="00E2630C">
        <w:rPr>
          <w:rFonts w:ascii="Times New Roman" w:hAnsi="Times New Roman" w:cs="Times New Roman"/>
          <w:i/>
          <w:sz w:val="24"/>
          <w:szCs w:val="24"/>
        </w:rPr>
        <w:t>Research methods in anthropology: Qualitative and quantitative approaches</w:t>
      </w:r>
      <w:r w:rsidRPr="00E2630C">
        <w:rPr>
          <w:rFonts w:ascii="Times New Roman" w:hAnsi="Times New Roman" w:cs="Times New Roman"/>
          <w:sz w:val="24"/>
          <w:szCs w:val="24"/>
        </w:rPr>
        <w:t xml:space="preserve"> (3rd ed.). AltaMira Press.</w:t>
      </w:r>
    </w:p>
    <w:p w14:paraId="528585BA" w14:textId="77777777" w:rsidR="001B7AD4" w:rsidRPr="00E2630C" w:rsidRDefault="001B7AD4" w:rsidP="001B7AD4">
      <w:pPr>
        <w:spacing w:line="360" w:lineRule="auto"/>
        <w:ind w:left="450" w:hanging="720"/>
        <w:jc w:val="both"/>
        <w:rPr>
          <w:rFonts w:ascii="Times New Roman" w:hAnsi="Times New Roman" w:cs="Times New Roman"/>
          <w:sz w:val="24"/>
          <w:szCs w:val="24"/>
        </w:rPr>
      </w:pPr>
    </w:p>
    <w:p w14:paraId="2DEF3C70" w14:textId="5C054BAA" w:rsidR="008B773C" w:rsidRPr="00E2630C" w:rsidRDefault="008B773C" w:rsidP="001B7AD4">
      <w:pPr>
        <w:autoSpaceDE w:val="0"/>
        <w:autoSpaceDN w:val="0"/>
        <w:ind w:left="691" w:hanging="72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shd w:val="clear" w:color="auto" w:fill="FFFFFF"/>
        </w:rPr>
        <w:lastRenderedPageBreak/>
        <w:t>Bernard, S. A., Gray, T. W., Buist, M. D., Jones, B. M., Silvester, W., Gutteridge, G., &amp; Smith, K. (2002). Treatment of comatose survivors of out-of-hospital cardiac arrest with induced hypothermia.</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New England journal of medicine</w:t>
      </w:r>
      <w:r w:rsidRPr="00E2630C">
        <w:rPr>
          <w:rFonts w:ascii="Times New Roman" w:hAnsi="Times New Roman" w:cs="Times New Roman"/>
          <w:color w:val="000000" w:themeColor="text1"/>
          <w:sz w:val="24"/>
          <w:szCs w:val="24"/>
          <w:shd w:val="clear" w:color="auto" w:fill="FFFFFF"/>
        </w:rPr>
        <w:t>,</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346</w:t>
      </w:r>
      <w:r w:rsidRPr="00E2630C">
        <w:rPr>
          <w:rFonts w:ascii="Times New Roman" w:hAnsi="Times New Roman" w:cs="Times New Roman"/>
          <w:color w:val="000000" w:themeColor="text1"/>
          <w:sz w:val="24"/>
          <w:szCs w:val="24"/>
          <w:shd w:val="clear" w:color="auto" w:fill="FFFFFF"/>
        </w:rPr>
        <w:t>(8), 557-563.</w:t>
      </w:r>
    </w:p>
    <w:p w14:paraId="7FBDE8E7"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Belden, C. (2010a). </w:t>
      </w:r>
      <w:r w:rsidRPr="00E2630C">
        <w:rPr>
          <w:rFonts w:ascii="Times New Roman" w:eastAsia="Times New Roman" w:hAnsi="Times New Roman" w:cs="Times New Roman"/>
          <w:i/>
          <w:iCs/>
          <w:color w:val="000000" w:themeColor="text1"/>
          <w:sz w:val="24"/>
          <w:szCs w:val="24"/>
        </w:rPr>
        <w:t>Examining Relationships between Customary and State Institutions in Ghana’s Decentralized System</w:t>
      </w:r>
      <w:r w:rsidRPr="00E2630C">
        <w:rPr>
          <w:rFonts w:ascii="Times New Roman" w:eastAsia="Times New Roman" w:hAnsi="Times New Roman" w:cs="Times New Roman"/>
          <w:color w:val="000000" w:themeColor="text1"/>
          <w:sz w:val="24"/>
          <w:szCs w:val="24"/>
        </w:rPr>
        <w:t>. www.ifpri.org/pubs/otherpubs.htm#dp.</w:t>
      </w:r>
    </w:p>
    <w:p w14:paraId="339CF0F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Belden, C. (2010b). </w:t>
      </w:r>
      <w:r w:rsidRPr="00E2630C">
        <w:rPr>
          <w:rFonts w:ascii="Times New Roman" w:eastAsia="Times New Roman" w:hAnsi="Times New Roman" w:cs="Times New Roman"/>
          <w:i/>
          <w:iCs/>
          <w:color w:val="000000" w:themeColor="text1"/>
          <w:sz w:val="24"/>
          <w:szCs w:val="24"/>
        </w:rPr>
        <w:t>Examining relationships between customary and state institutions in Ghana’s decentralized system</w:t>
      </w:r>
      <w:r w:rsidRPr="00E2630C">
        <w:rPr>
          <w:rFonts w:ascii="Times New Roman" w:eastAsia="Times New Roman" w:hAnsi="Times New Roman" w:cs="Times New Roman"/>
          <w:color w:val="000000" w:themeColor="text1"/>
          <w:sz w:val="24"/>
          <w:szCs w:val="24"/>
        </w:rPr>
        <w:t xml:space="preserve"> (1030).</w:t>
      </w:r>
    </w:p>
    <w:p w14:paraId="466BCD31" w14:textId="77777777" w:rsidR="008B773C"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Bellamy, A. J. (2017). East Asia’s other miracle: explaining the decline of mass atrocities. </w:t>
      </w:r>
      <w:r w:rsidRPr="00E2630C">
        <w:rPr>
          <w:rFonts w:ascii="Times New Roman" w:eastAsia="Times New Roman" w:hAnsi="Times New Roman" w:cs="Times New Roman"/>
          <w:i/>
          <w:iCs/>
          <w:color w:val="000000" w:themeColor="text1"/>
          <w:sz w:val="24"/>
          <w:szCs w:val="24"/>
        </w:rPr>
        <w:t>Oxford University Press</w:t>
      </w:r>
      <w:r w:rsidRPr="00E2630C">
        <w:rPr>
          <w:rFonts w:ascii="Times New Roman" w:eastAsia="Times New Roman" w:hAnsi="Times New Roman" w:cs="Times New Roman"/>
          <w:color w:val="000000" w:themeColor="text1"/>
          <w:sz w:val="24"/>
          <w:szCs w:val="24"/>
        </w:rPr>
        <w:t>.</w:t>
      </w:r>
    </w:p>
    <w:p w14:paraId="0C73A02A" w14:textId="5E8CD647" w:rsidR="008B773C" w:rsidRPr="00E2630C" w:rsidRDefault="008B773C"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shd w:val="clear" w:color="auto" w:fill="FFFFFF"/>
        </w:rPr>
        <w:t>Boafo-Arthur, K. (2006). Rawlings’ former presidency: a threat to democracy in Ghana?.</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Leadership Change and Former Presidents in African Politics</w:t>
      </w:r>
      <w:r w:rsidRPr="00E2630C">
        <w:rPr>
          <w:rFonts w:ascii="Times New Roman" w:hAnsi="Times New Roman" w:cs="Times New Roman"/>
          <w:color w:val="000000" w:themeColor="text1"/>
          <w:sz w:val="24"/>
          <w:szCs w:val="24"/>
          <w:shd w:val="clear" w:color="auto" w:fill="FFFFFF"/>
        </w:rPr>
        <w:t>,</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256</w:t>
      </w:r>
      <w:r w:rsidRPr="00E2630C">
        <w:rPr>
          <w:rFonts w:ascii="Times New Roman" w:hAnsi="Times New Roman" w:cs="Times New Roman"/>
          <w:color w:val="000000" w:themeColor="text1"/>
          <w:sz w:val="24"/>
          <w:szCs w:val="24"/>
          <w:shd w:val="clear" w:color="auto" w:fill="FFFFFF"/>
        </w:rPr>
        <w:t>.</w:t>
      </w:r>
    </w:p>
    <w:p w14:paraId="73ED185B"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Boafo-Arthur, K. (2003). Chieftaincy in Ghana: Challenges and prospects in the 21st century. </w:t>
      </w:r>
      <w:r w:rsidRPr="00E2630C">
        <w:rPr>
          <w:rFonts w:ascii="Times New Roman" w:eastAsia="Times New Roman" w:hAnsi="Times New Roman" w:cs="Times New Roman"/>
          <w:i/>
          <w:iCs/>
          <w:color w:val="000000" w:themeColor="text1"/>
          <w:sz w:val="24"/>
          <w:szCs w:val="24"/>
        </w:rPr>
        <w:t>African and Asian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w:t>
      </w:r>
      <w:r w:rsidRPr="00E2630C">
        <w:rPr>
          <w:rFonts w:ascii="Times New Roman" w:eastAsia="Times New Roman" w:hAnsi="Times New Roman" w:cs="Times New Roman"/>
          <w:color w:val="000000" w:themeColor="text1"/>
          <w:sz w:val="24"/>
          <w:szCs w:val="24"/>
        </w:rPr>
        <w:t>(2), 125–153.</w:t>
      </w:r>
    </w:p>
    <w:p w14:paraId="69CC5F9B"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Boateng, K. K., &amp; Afranie, S. (2020). Chieftaincy: An anachronistic institution within a democratic dispensation? The case of a traditional political system in Ghana. </w:t>
      </w:r>
      <w:r w:rsidRPr="00E2630C">
        <w:rPr>
          <w:rFonts w:ascii="Times New Roman" w:eastAsia="Times New Roman" w:hAnsi="Times New Roman" w:cs="Times New Roman"/>
          <w:i/>
          <w:iCs/>
          <w:color w:val="000000" w:themeColor="text1"/>
          <w:sz w:val="24"/>
          <w:szCs w:val="24"/>
        </w:rPr>
        <w:t>Ghana Journal of Development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17</w:t>
      </w:r>
      <w:r w:rsidRPr="00E2630C">
        <w:rPr>
          <w:rFonts w:ascii="Times New Roman" w:eastAsia="Times New Roman" w:hAnsi="Times New Roman" w:cs="Times New Roman"/>
          <w:color w:val="000000" w:themeColor="text1"/>
          <w:sz w:val="24"/>
          <w:szCs w:val="24"/>
        </w:rPr>
        <w:t>(1), 25–47.</w:t>
      </w:r>
    </w:p>
    <w:p w14:paraId="607CA396"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Bob-Milliar, G. M. (2009). Chieftaincy, diaspora, and development: The institution of Nk suohene in Ghana. </w:t>
      </w:r>
      <w:r w:rsidRPr="00E2630C">
        <w:rPr>
          <w:rFonts w:ascii="Times New Roman" w:eastAsia="Times New Roman" w:hAnsi="Times New Roman" w:cs="Times New Roman"/>
          <w:i/>
          <w:iCs/>
          <w:color w:val="000000" w:themeColor="text1"/>
          <w:sz w:val="24"/>
          <w:szCs w:val="24"/>
        </w:rPr>
        <w:t>African Affairs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108</w:t>
      </w:r>
      <w:r w:rsidRPr="00E2630C">
        <w:rPr>
          <w:rFonts w:ascii="Times New Roman" w:eastAsia="Times New Roman" w:hAnsi="Times New Roman" w:cs="Times New Roman"/>
          <w:color w:val="000000" w:themeColor="text1"/>
          <w:sz w:val="24"/>
          <w:szCs w:val="24"/>
        </w:rPr>
        <w:t>(433), 541–558.</w:t>
      </w:r>
    </w:p>
    <w:p w14:paraId="529480C1" w14:textId="77777777" w:rsidR="008B773C"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Boege, V. (2011). Potential and limits of traditional approaches in peacebuilding. </w:t>
      </w:r>
      <w:r w:rsidRPr="00E2630C">
        <w:rPr>
          <w:rFonts w:ascii="Times New Roman" w:eastAsia="Times New Roman" w:hAnsi="Times New Roman" w:cs="Times New Roman"/>
          <w:i/>
          <w:iCs/>
          <w:color w:val="000000" w:themeColor="text1"/>
          <w:sz w:val="24"/>
          <w:szCs w:val="24"/>
        </w:rPr>
        <w:t>Berghof Handbook II: Advancing Conflict Transformation</w:t>
      </w:r>
      <w:r w:rsidRPr="00E2630C">
        <w:rPr>
          <w:rFonts w:ascii="Times New Roman" w:eastAsia="Times New Roman" w:hAnsi="Times New Roman" w:cs="Times New Roman"/>
          <w:color w:val="000000" w:themeColor="text1"/>
          <w:sz w:val="24"/>
          <w:szCs w:val="24"/>
        </w:rPr>
        <w:t>, 431–457.</w:t>
      </w:r>
    </w:p>
    <w:p w14:paraId="3E4DC8EF" w14:textId="77777777" w:rsidR="008B773C" w:rsidRPr="00E2630C" w:rsidRDefault="008B773C"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shd w:val="clear" w:color="auto" w:fill="FFFFFF"/>
        </w:rPr>
        <w:t>Burton, J. W., &amp; Dukes, F. (1990).</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Conflict: practices in management, settlement, and resolution</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color w:val="000000" w:themeColor="text1"/>
          <w:sz w:val="24"/>
          <w:szCs w:val="24"/>
          <w:shd w:val="clear" w:color="auto" w:fill="FFFFFF"/>
        </w:rPr>
        <w:t>(Vol. 4). London: Macmillan.</w:t>
      </w:r>
    </w:p>
    <w:p w14:paraId="5D09C974" w14:textId="22C444B7" w:rsidR="008B773C" w:rsidRPr="00E2630C" w:rsidRDefault="008B773C" w:rsidP="001B7AD4">
      <w:pPr>
        <w:autoSpaceDE w:val="0"/>
        <w:autoSpaceDN w:val="0"/>
        <w:ind w:left="450" w:hanging="480"/>
        <w:jc w:val="both"/>
        <w:rPr>
          <w:rFonts w:ascii="Times New Roman" w:hAnsi="Times New Roman" w:cs="Times New Roman"/>
          <w:color w:val="000000" w:themeColor="text1"/>
          <w:sz w:val="24"/>
          <w:szCs w:val="24"/>
          <w:shd w:val="clear" w:color="auto" w:fill="FFFFFF"/>
        </w:rPr>
      </w:pPr>
      <w:r w:rsidRPr="00E2630C">
        <w:rPr>
          <w:rFonts w:ascii="Times New Roman" w:hAnsi="Times New Roman" w:cs="Times New Roman"/>
          <w:color w:val="000000" w:themeColor="text1"/>
          <w:sz w:val="24"/>
          <w:szCs w:val="24"/>
          <w:shd w:val="clear" w:color="auto" w:fill="FFFFFF"/>
        </w:rPr>
        <w:t>Bukari, K. N. (2016). A concomitant of conflict and consensus: Case of a chieftaincy succession in Ghana.</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Peace and Conflict studies</w:t>
      </w:r>
      <w:r w:rsidRPr="00E2630C">
        <w:rPr>
          <w:rFonts w:ascii="Times New Roman" w:hAnsi="Times New Roman" w:cs="Times New Roman"/>
          <w:color w:val="000000" w:themeColor="text1"/>
          <w:sz w:val="24"/>
          <w:szCs w:val="24"/>
          <w:shd w:val="clear" w:color="auto" w:fill="FFFFFF"/>
        </w:rPr>
        <w:t>,</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23</w:t>
      </w:r>
      <w:r w:rsidRPr="00E2630C">
        <w:rPr>
          <w:rFonts w:ascii="Times New Roman" w:hAnsi="Times New Roman" w:cs="Times New Roman"/>
          <w:color w:val="000000" w:themeColor="text1"/>
          <w:sz w:val="24"/>
          <w:szCs w:val="24"/>
          <w:shd w:val="clear" w:color="auto" w:fill="FFFFFF"/>
        </w:rPr>
        <w:t>(1), 5.</w:t>
      </w:r>
    </w:p>
    <w:p w14:paraId="1840F190"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Brion, C., &amp; Ampah-Mensah, A. (2021). Changing cultural norms through education: voices from Ghanaian women principals. </w:t>
      </w:r>
      <w:r w:rsidRPr="00E2630C">
        <w:rPr>
          <w:rFonts w:ascii="Times New Roman" w:eastAsia="Times New Roman" w:hAnsi="Times New Roman" w:cs="Times New Roman"/>
          <w:i/>
          <w:iCs/>
          <w:color w:val="000000" w:themeColor="text1"/>
          <w:sz w:val="24"/>
          <w:szCs w:val="24"/>
        </w:rPr>
        <w:t>International Journal of Educational Management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35</w:t>
      </w:r>
      <w:r w:rsidRPr="00E2630C">
        <w:rPr>
          <w:rFonts w:ascii="Times New Roman" w:eastAsia="Times New Roman" w:hAnsi="Times New Roman" w:cs="Times New Roman"/>
          <w:color w:val="000000" w:themeColor="text1"/>
          <w:sz w:val="24"/>
          <w:szCs w:val="24"/>
        </w:rPr>
        <w:t>(7), 1458–1475.</w:t>
      </w:r>
    </w:p>
    <w:p w14:paraId="0E7FE101"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Brobbey, S. A. (2008). The law of chieftaincy in Ghana: Incorporating customary arbitration, contempt of court, judicial review. </w:t>
      </w:r>
      <w:r w:rsidRPr="00E2630C">
        <w:rPr>
          <w:rFonts w:ascii="Times New Roman" w:eastAsia="Times New Roman" w:hAnsi="Times New Roman" w:cs="Times New Roman"/>
          <w:i/>
          <w:iCs/>
          <w:color w:val="000000" w:themeColor="text1"/>
          <w:sz w:val="24"/>
          <w:szCs w:val="24"/>
        </w:rPr>
        <w:t>Advanced Legal Publications</w:t>
      </w:r>
      <w:r w:rsidRPr="00E2630C">
        <w:rPr>
          <w:rFonts w:ascii="Times New Roman" w:eastAsia="Times New Roman" w:hAnsi="Times New Roman" w:cs="Times New Roman"/>
          <w:color w:val="000000" w:themeColor="text1"/>
          <w:sz w:val="24"/>
          <w:szCs w:val="24"/>
        </w:rPr>
        <w:t>.</w:t>
      </w:r>
    </w:p>
    <w:p w14:paraId="5AE7A5F9" w14:textId="77777777" w:rsidR="00E6470D" w:rsidRPr="00E2630C" w:rsidRDefault="00E6470D" w:rsidP="001B7AD4">
      <w:pPr>
        <w:autoSpaceDE w:val="0"/>
        <w:autoSpaceDN w:val="0"/>
        <w:ind w:left="450" w:hanging="480"/>
        <w:jc w:val="both"/>
        <w:rPr>
          <w:rFonts w:ascii="Times New Roman" w:eastAsia="Times New Roman" w:hAnsi="Times New Roman" w:cs="Times New Roman"/>
          <w:color w:val="000000" w:themeColor="text1"/>
          <w:sz w:val="24"/>
          <w:szCs w:val="24"/>
          <w:lang w:val="en-US"/>
        </w:rPr>
      </w:pPr>
      <w:r w:rsidRPr="00E2630C">
        <w:rPr>
          <w:rFonts w:ascii="Times New Roman" w:eastAsia="Times New Roman" w:hAnsi="Times New Roman" w:cs="Times New Roman"/>
          <w:color w:val="000000" w:themeColor="text1"/>
          <w:sz w:val="24"/>
          <w:szCs w:val="24"/>
          <w:lang w:val="en-US"/>
        </w:rPr>
        <w:t xml:space="preserve">Brown, O., Halle, M., Moreno, S.P. and Winkler, S.  2007. </w:t>
      </w:r>
      <w:r w:rsidRPr="00E2630C">
        <w:rPr>
          <w:rFonts w:ascii="Times New Roman" w:eastAsia="Times New Roman" w:hAnsi="Times New Roman" w:cs="Times New Roman"/>
          <w:i/>
          <w:color w:val="000000" w:themeColor="text1"/>
          <w:sz w:val="24"/>
          <w:szCs w:val="24"/>
          <w:lang w:val="en-US"/>
        </w:rPr>
        <w:t>Trade, Aid and Security: An</w:t>
      </w:r>
      <w:r w:rsidRPr="00E2630C">
        <w:rPr>
          <w:rFonts w:ascii="Times New Roman" w:eastAsia="Times New Roman" w:hAnsi="Times New Roman" w:cs="Times New Roman"/>
          <w:i/>
          <w:color w:val="000000" w:themeColor="text1"/>
          <w:sz w:val="24"/>
          <w:szCs w:val="24"/>
          <w:u w:val="single"/>
          <w:lang w:val="en-US"/>
        </w:rPr>
        <w:t xml:space="preserve"> </w:t>
      </w:r>
      <w:r w:rsidRPr="00E2630C">
        <w:rPr>
          <w:rFonts w:ascii="Times New Roman" w:eastAsia="Times New Roman" w:hAnsi="Times New Roman" w:cs="Times New Roman"/>
          <w:i/>
          <w:color w:val="000000" w:themeColor="text1"/>
          <w:sz w:val="24"/>
          <w:szCs w:val="24"/>
          <w:lang w:val="en-US"/>
        </w:rPr>
        <w:t>Agenda for Peace and Development</w:t>
      </w:r>
      <w:r w:rsidRPr="00E2630C">
        <w:rPr>
          <w:rFonts w:ascii="Times New Roman" w:eastAsia="Times New Roman" w:hAnsi="Times New Roman" w:cs="Times New Roman"/>
          <w:color w:val="000000" w:themeColor="text1"/>
          <w:sz w:val="24"/>
          <w:szCs w:val="24"/>
          <w:lang w:val="en-US"/>
        </w:rPr>
        <w:t xml:space="preserve"> (eds</w:t>
      </w:r>
      <w:r w:rsidRPr="00E2630C">
        <w:rPr>
          <w:rFonts w:ascii="Times New Roman" w:eastAsia="Times New Roman" w:hAnsi="Times New Roman" w:cs="Times New Roman"/>
          <w:color w:val="000000" w:themeColor="text1"/>
          <w:sz w:val="24"/>
          <w:szCs w:val="24"/>
          <w:u w:val="single"/>
          <w:lang w:val="en-US"/>
        </w:rPr>
        <w:t>)</w:t>
      </w:r>
      <w:r w:rsidRPr="00E2630C">
        <w:rPr>
          <w:rFonts w:ascii="Times New Roman" w:eastAsia="Times New Roman" w:hAnsi="Times New Roman" w:cs="Times New Roman"/>
          <w:color w:val="000000" w:themeColor="text1"/>
          <w:sz w:val="24"/>
          <w:szCs w:val="24"/>
          <w:lang w:val="en-US"/>
        </w:rPr>
        <w:t>. London: Sterling, VA</w:t>
      </w:r>
    </w:p>
    <w:p w14:paraId="03D72DA8"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Brundenius, C. (2013). Reflections on the Cuban model and the reform process. In </w:t>
      </w:r>
      <w:r w:rsidRPr="00E2630C">
        <w:rPr>
          <w:rFonts w:ascii="Times New Roman" w:eastAsia="Times New Roman" w:hAnsi="Times New Roman" w:cs="Times New Roman"/>
          <w:i/>
          <w:iCs/>
          <w:color w:val="000000" w:themeColor="text1"/>
          <w:sz w:val="24"/>
          <w:szCs w:val="24"/>
        </w:rPr>
        <w:t>No more free lunch: Reflections on the Cuban economic reform process and challenges for transformation</w:t>
      </w:r>
      <w:r w:rsidRPr="00E2630C">
        <w:rPr>
          <w:rFonts w:ascii="Times New Roman" w:eastAsia="Times New Roman" w:hAnsi="Times New Roman" w:cs="Times New Roman"/>
          <w:color w:val="000000" w:themeColor="text1"/>
          <w:sz w:val="24"/>
          <w:szCs w:val="24"/>
        </w:rPr>
        <w:t xml:space="preserve"> (pp. 243--249). Springer.</w:t>
      </w:r>
    </w:p>
    <w:p w14:paraId="70FF4498"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Bukari, F. I. M., Kendie, S. B., Sulemana, M., &amp; Galaa, S. Z. (2016). The Effects of Chieftaincy and Land Conflicts on the Socio-political Development of Northern Ghana. </w:t>
      </w:r>
      <w:r w:rsidRPr="00E2630C">
        <w:rPr>
          <w:rFonts w:ascii="Times New Roman" w:eastAsia="Times New Roman" w:hAnsi="Times New Roman" w:cs="Times New Roman"/>
          <w:i/>
          <w:iCs/>
          <w:color w:val="000000" w:themeColor="text1"/>
          <w:sz w:val="24"/>
          <w:szCs w:val="24"/>
        </w:rPr>
        <w:t>International Journal of Social Science Research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5</w:t>
      </w:r>
      <w:r w:rsidRPr="00E2630C">
        <w:rPr>
          <w:rFonts w:ascii="Times New Roman" w:eastAsia="Times New Roman" w:hAnsi="Times New Roman" w:cs="Times New Roman"/>
          <w:color w:val="000000" w:themeColor="text1"/>
          <w:sz w:val="24"/>
          <w:szCs w:val="24"/>
        </w:rPr>
        <w:t>(1), 101. https://doi.org/10.5296/ijssr.v5i1.11008</w:t>
      </w:r>
    </w:p>
    <w:p w14:paraId="0BF76EC3"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Bukari, K. N. (2016). A concomitant of conflict and consensus: case of a chieftaincy succession in Ghana. </w:t>
      </w:r>
      <w:r w:rsidRPr="00E2630C">
        <w:rPr>
          <w:rFonts w:ascii="Times New Roman" w:eastAsia="Times New Roman" w:hAnsi="Times New Roman" w:cs="Times New Roman"/>
          <w:i/>
          <w:iCs/>
          <w:color w:val="000000" w:themeColor="text1"/>
          <w:sz w:val="24"/>
          <w:szCs w:val="24"/>
        </w:rPr>
        <w:t>Peace and Conflict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23</w:t>
      </w:r>
      <w:r w:rsidRPr="00E2630C">
        <w:rPr>
          <w:rFonts w:ascii="Times New Roman" w:eastAsia="Times New Roman" w:hAnsi="Times New Roman" w:cs="Times New Roman"/>
          <w:color w:val="000000" w:themeColor="text1"/>
          <w:sz w:val="24"/>
          <w:szCs w:val="24"/>
        </w:rPr>
        <w:t>(1), 1–5.</w:t>
      </w:r>
    </w:p>
    <w:p w14:paraId="2E60E5E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Bukari, K. N., Osei-Kufuor, P., &amp; Bukari, S. (2021). Chieftaincy Conflicts in Northern Ghana: A Constellation of Actors and Politics. </w:t>
      </w:r>
      <w:r w:rsidRPr="00E2630C">
        <w:rPr>
          <w:rFonts w:ascii="Times New Roman" w:eastAsia="Times New Roman" w:hAnsi="Times New Roman" w:cs="Times New Roman"/>
          <w:i/>
          <w:iCs/>
          <w:color w:val="000000" w:themeColor="text1"/>
          <w:sz w:val="24"/>
          <w:szCs w:val="24"/>
        </w:rPr>
        <w:t>African Security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14</w:t>
      </w:r>
      <w:r w:rsidRPr="00E2630C">
        <w:rPr>
          <w:rFonts w:ascii="Times New Roman" w:eastAsia="Times New Roman" w:hAnsi="Times New Roman" w:cs="Times New Roman"/>
          <w:color w:val="000000" w:themeColor="text1"/>
          <w:sz w:val="24"/>
          <w:szCs w:val="24"/>
        </w:rPr>
        <w:t>(2), 156–185. https://doi.org/10.1080/19392206.2021.1932244</w:t>
      </w:r>
    </w:p>
    <w:p w14:paraId="566108E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Buzan, B., &amp; Hansen, L. (2020). Defining--redefining security. In </w:t>
      </w:r>
      <w:r w:rsidRPr="00E2630C">
        <w:rPr>
          <w:rFonts w:ascii="Times New Roman" w:eastAsia="Times New Roman" w:hAnsi="Times New Roman" w:cs="Times New Roman"/>
          <w:i/>
          <w:iCs/>
          <w:color w:val="000000" w:themeColor="text1"/>
          <w:sz w:val="24"/>
          <w:szCs w:val="24"/>
        </w:rPr>
        <w:t>Oxford Research Encyclopedia of International Studies</w:t>
      </w:r>
      <w:r w:rsidRPr="00E2630C">
        <w:rPr>
          <w:rFonts w:ascii="Times New Roman" w:eastAsia="Times New Roman" w:hAnsi="Times New Roman" w:cs="Times New Roman"/>
          <w:color w:val="000000" w:themeColor="text1"/>
          <w:sz w:val="24"/>
          <w:szCs w:val="24"/>
        </w:rPr>
        <w:t>.</w:t>
      </w:r>
    </w:p>
    <w:p w14:paraId="639EE63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Cammack, P. (2017). The UNDP, the world bank and human development through the world market. </w:t>
      </w:r>
      <w:r w:rsidRPr="00E2630C">
        <w:rPr>
          <w:rFonts w:ascii="Times New Roman" w:eastAsia="Times New Roman" w:hAnsi="Times New Roman" w:cs="Times New Roman"/>
          <w:i/>
          <w:iCs/>
          <w:color w:val="000000" w:themeColor="text1"/>
          <w:sz w:val="24"/>
          <w:szCs w:val="24"/>
        </w:rPr>
        <w:t>Development Policy Review</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35</w:t>
      </w:r>
      <w:r w:rsidRPr="00E2630C">
        <w:rPr>
          <w:rFonts w:ascii="Times New Roman" w:eastAsia="Times New Roman" w:hAnsi="Times New Roman" w:cs="Times New Roman"/>
          <w:color w:val="000000" w:themeColor="text1"/>
          <w:sz w:val="24"/>
          <w:szCs w:val="24"/>
        </w:rPr>
        <w:t>(1), 3–21. https://doi.org/10.1111/dpr.12198</w:t>
      </w:r>
    </w:p>
    <w:p w14:paraId="61F2F8E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Campion, B., &amp; Acheampong, E. (2014a). The Chieftaincy Institution in Ghana: Causers and Arbitrators of Conflicts in Industrial Jatropha Investments. </w:t>
      </w:r>
      <w:r w:rsidRPr="00E2630C">
        <w:rPr>
          <w:rFonts w:ascii="Times New Roman" w:eastAsia="Times New Roman" w:hAnsi="Times New Roman" w:cs="Times New Roman"/>
          <w:i/>
          <w:iCs/>
          <w:color w:val="000000" w:themeColor="text1"/>
          <w:sz w:val="24"/>
          <w:szCs w:val="24"/>
        </w:rPr>
        <w:t>Sustainability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6</w:t>
      </w:r>
      <w:r w:rsidRPr="00E2630C">
        <w:rPr>
          <w:rFonts w:ascii="Times New Roman" w:eastAsia="Times New Roman" w:hAnsi="Times New Roman" w:cs="Times New Roman"/>
          <w:color w:val="000000" w:themeColor="text1"/>
          <w:sz w:val="24"/>
          <w:szCs w:val="24"/>
        </w:rPr>
        <w:t>(9), 6332–6350. https://doi.org/10.3390/su6096332</w:t>
      </w:r>
    </w:p>
    <w:p w14:paraId="41440B8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Campion, B., &amp; Acheampong, E. (2014b). The Chieftaincy Institution in Ghana: Causers and Arbitrators of Conflicts in Industrial Jatropha Investments. </w:t>
      </w:r>
      <w:r w:rsidRPr="00E2630C">
        <w:rPr>
          <w:rFonts w:ascii="Times New Roman" w:eastAsia="Times New Roman" w:hAnsi="Times New Roman" w:cs="Times New Roman"/>
          <w:i/>
          <w:iCs/>
          <w:color w:val="000000" w:themeColor="text1"/>
          <w:sz w:val="24"/>
          <w:szCs w:val="24"/>
        </w:rPr>
        <w:t>Sustainability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6</w:t>
      </w:r>
      <w:r w:rsidRPr="00E2630C">
        <w:rPr>
          <w:rFonts w:ascii="Times New Roman" w:eastAsia="Times New Roman" w:hAnsi="Times New Roman" w:cs="Times New Roman"/>
          <w:color w:val="000000" w:themeColor="text1"/>
          <w:sz w:val="24"/>
          <w:szCs w:val="24"/>
        </w:rPr>
        <w:t>(9), 6332–6350. https://doi.org/10.3390/su6096332</w:t>
      </w:r>
    </w:p>
    <w:p w14:paraId="6A7B8180"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Carlsen, A., Rudningen, G., &amp; Mortensen, T. F. (2014). Playing the Cards. </w:t>
      </w:r>
      <w:r w:rsidRPr="00E2630C">
        <w:rPr>
          <w:rFonts w:ascii="Times New Roman" w:eastAsia="Times New Roman" w:hAnsi="Times New Roman" w:cs="Times New Roman"/>
          <w:i/>
          <w:iCs/>
          <w:color w:val="000000" w:themeColor="text1"/>
          <w:sz w:val="24"/>
          <w:szCs w:val="24"/>
        </w:rPr>
        <w:t>Journal of Management Inquiry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23</w:t>
      </w:r>
      <w:r w:rsidRPr="00E2630C">
        <w:rPr>
          <w:rFonts w:ascii="Times New Roman" w:eastAsia="Times New Roman" w:hAnsi="Times New Roman" w:cs="Times New Roman"/>
          <w:color w:val="000000" w:themeColor="text1"/>
          <w:sz w:val="24"/>
          <w:szCs w:val="24"/>
        </w:rPr>
        <w:t>(3), 294–313. https://doi.org/10.1177/1056492613511152</w:t>
      </w:r>
    </w:p>
    <w:p w14:paraId="1F23F992"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Chandramohan, M. (2018). </w:t>
      </w:r>
      <w:r w:rsidRPr="00E2630C">
        <w:rPr>
          <w:rFonts w:ascii="Times New Roman" w:eastAsia="Times New Roman" w:hAnsi="Times New Roman" w:cs="Times New Roman"/>
          <w:i/>
          <w:iCs/>
          <w:color w:val="000000" w:themeColor="text1"/>
          <w:sz w:val="24"/>
          <w:szCs w:val="24"/>
        </w:rPr>
        <w:t>Scalable analysis for malware and vulnerability detection in binaries</w:t>
      </w:r>
      <w:r w:rsidRPr="00E2630C">
        <w:rPr>
          <w:rFonts w:ascii="Times New Roman" w:eastAsia="Times New Roman" w:hAnsi="Times New Roman" w:cs="Times New Roman"/>
          <w:color w:val="000000" w:themeColor="text1"/>
          <w:sz w:val="24"/>
          <w:szCs w:val="24"/>
        </w:rPr>
        <w:t>. NanyangTechnologicalUniversity.</w:t>
      </w:r>
    </w:p>
    <w:p w14:paraId="422A295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Cheka, C. (2021). 4 - Traditional Authority at the Crossroads of Governance in Republican Cameroon. </w:t>
      </w:r>
      <w:r w:rsidRPr="00E2630C">
        <w:rPr>
          <w:rFonts w:ascii="Times New Roman" w:eastAsia="Times New Roman" w:hAnsi="Times New Roman" w:cs="Times New Roman"/>
          <w:i/>
          <w:iCs/>
          <w:color w:val="000000" w:themeColor="text1"/>
          <w:sz w:val="24"/>
          <w:szCs w:val="24"/>
        </w:rPr>
        <w:t>Africa Development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33</w:t>
      </w:r>
      <w:r w:rsidRPr="00E2630C">
        <w:rPr>
          <w:rFonts w:ascii="Times New Roman" w:eastAsia="Times New Roman" w:hAnsi="Times New Roman" w:cs="Times New Roman"/>
          <w:color w:val="000000" w:themeColor="text1"/>
          <w:sz w:val="24"/>
          <w:szCs w:val="24"/>
        </w:rPr>
        <w:t>(2). https://doi.org/10.4314/ad.v33i2.57284</w:t>
      </w:r>
    </w:p>
    <w:p w14:paraId="668187A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Chen, Y., Tessier, S., Cavers, C., Xu, X., &amp; Monero, F. (2005). A survey of crop residue burning practices in Manitoba. </w:t>
      </w:r>
      <w:r w:rsidRPr="00E2630C">
        <w:rPr>
          <w:rFonts w:ascii="Times New Roman" w:eastAsia="Times New Roman" w:hAnsi="Times New Roman" w:cs="Times New Roman"/>
          <w:i/>
          <w:iCs/>
          <w:color w:val="000000" w:themeColor="text1"/>
          <w:sz w:val="24"/>
          <w:szCs w:val="24"/>
        </w:rPr>
        <w:t>Applied Engineering in Agriculture</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21</w:t>
      </w:r>
      <w:r w:rsidRPr="00E2630C">
        <w:rPr>
          <w:rFonts w:ascii="Times New Roman" w:eastAsia="Times New Roman" w:hAnsi="Times New Roman" w:cs="Times New Roman"/>
          <w:color w:val="000000" w:themeColor="text1"/>
          <w:sz w:val="24"/>
          <w:szCs w:val="24"/>
        </w:rPr>
        <w:t>(3), 317--323.</w:t>
      </w:r>
    </w:p>
    <w:p w14:paraId="34266CC3" w14:textId="18BDC085" w:rsidR="009F784A" w:rsidRPr="00E2630C" w:rsidRDefault="009F784A" w:rsidP="001B7AD4">
      <w:pPr>
        <w:autoSpaceDE w:val="0"/>
        <w:autoSpaceDN w:val="0"/>
        <w:spacing w:line="360" w:lineRule="auto"/>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Chronic Poverty Research Centre (CPRC). (2007). </w:t>
      </w:r>
      <w:r w:rsidRPr="00E2630C">
        <w:rPr>
          <w:rFonts w:ascii="Times New Roman" w:hAnsi="Times New Roman" w:cs="Times New Roman"/>
          <w:i/>
          <w:sz w:val="24"/>
          <w:szCs w:val="24"/>
        </w:rPr>
        <w:t xml:space="preserve">Chronic poverty report 2008-09: Escaping </w:t>
      </w:r>
      <w:r w:rsidRPr="00E2630C">
        <w:rPr>
          <w:rFonts w:ascii="Times New Roman" w:hAnsi="Times New Roman" w:cs="Times New Roman"/>
          <w:i/>
          <w:sz w:val="24"/>
          <w:szCs w:val="24"/>
        </w:rPr>
        <w:tab/>
        <w:t>poverty traps</w:t>
      </w:r>
      <w:r w:rsidRPr="00E2630C">
        <w:rPr>
          <w:rFonts w:ascii="Times New Roman" w:hAnsi="Times New Roman" w:cs="Times New Roman"/>
          <w:sz w:val="24"/>
          <w:szCs w:val="24"/>
        </w:rPr>
        <w:t xml:space="preserve">. Chronic Poverty Research Centre. </w:t>
      </w:r>
      <w:r w:rsidRPr="00E2630C">
        <w:rPr>
          <w:rFonts w:ascii="Times New Roman" w:eastAsia="Times New Roman" w:hAnsi="Times New Roman" w:cs="Times New Roman"/>
          <w:i/>
          <w:iCs/>
          <w:color w:val="000000" w:themeColor="text1"/>
          <w:sz w:val="24"/>
          <w:szCs w:val="24"/>
        </w:rPr>
        <w:t>108</w:t>
      </w:r>
      <w:r w:rsidRPr="00E2630C">
        <w:rPr>
          <w:rFonts w:ascii="Times New Roman" w:eastAsia="Times New Roman" w:hAnsi="Times New Roman" w:cs="Times New Roman"/>
          <w:color w:val="000000" w:themeColor="text1"/>
          <w:sz w:val="24"/>
          <w:szCs w:val="24"/>
        </w:rPr>
        <w:t>(433), 541–558.</w:t>
      </w:r>
    </w:p>
    <w:p w14:paraId="359FC30F" w14:textId="77777777" w:rsidR="009F784A"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Clark, T., Foster, L., Bryman, A., &amp; Sloan, L. (2021). </w:t>
      </w:r>
      <w:r w:rsidRPr="00E2630C">
        <w:rPr>
          <w:rFonts w:ascii="Times New Roman" w:eastAsia="Times New Roman" w:hAnsi="Times New Roman" w:cs="Times New Roman"/>
          <w:i/>
          <w:iCs/>
          <w:color w:val="000000" w:themeColor="text1"/>
          <w:sz w:val="24"/>
          <w:szCs w:val="24"/>
        </w:rPr>
        <w:t>Bryman’s social research methods</w:t>
      </w:r>
      <w:r w:rsidRPr="00E2630C">
        <w:rPr>
          <w:rFonts w:ascii="Times New Roman" w:eastAsia="Times New Roman" w:hAnsi="Times New Roman" w:cs="Times New Roman"/>
          <w:color w:val="000000" w:themeColor="text1"/>
          <w:sz w:val="24"/>
          <w:szCs w:val="24"/>
        </w:rPr>
        <w:t>. Oxford university press.</w:t>
      </w:r>
    </w:p>
    <w:p w14:paraId="131489FF" w14:textId="63473FF4" w:rsidR="009F784A" w:rsidRPr="00E2630C" w:rsidRDefault="009F784A"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lastRenderedPageBreak/>
        <w:t xml:space="preserve">Clara, M. (2018). </w:t>
      </w:r>
      <w:r w:rsidRPr="00E2630C">
        <w:rPr>
          <w:rFonts w:ascii="Times New Roman" w:hAnsi="Times New Roman" w:cs="Times New Roman"/>
          <w:i/>
          <w:sz w:val="24"/>
          <w:szCs w:val="24"/>
        </w:rPr>
        <w:t>Feminist philosophy and the politics of resentment</w:t>
      </w:r>
      <w:r w:rsidRPr="00E2630C">
        <w:rPr>
          <w:rFonts w:ascii="Times New Roman" w:hAnsi="Times New Roman" w:cs="Times New Roman"/>
          <w:sz w:val="24"/>
          <w:szCs w:val="24"/>
        </w:rPr>
        <w:t xml:space="preserve">. Springer. </w:t>
      </w:r>
      <w:r w:rsidRPr="00E2630C">
        <w:rPr>
          <w:rFonts w:ascii="Times New Roman" w:hAnsi="Times New Roman" w:cs="Times New Roman"/>
          <w:i/>
          <w:iCs/>
          <w:color w:val="000000" w:themeColor="text1"/>
          <w:sz w:val="24"/>
          <w:szCs w:val="24"/>
        </w:rPr>
        <w:t>24</w:t>
      </w:r>
      <w:r w:rsidRPr="00E2630C">
        <w:rPr>
          <w:rFonts w:ascii="Times New Roman" w:hAnsi="Times New Roman" w:cs="Times New Roman"/>
          <w:color w:val="000000" w:themeColor="text1"/>
          <w:sz w:val="24"/>
          <w:szCs w:val="24"/>
          <w:shd w:val="clear" w:color="auto" w:fill="FFFFFF"/>
        </w:rPr>
        <w:t>(9), 1649-1658.</w:t>
      </w:r>
    </w:p>
    <w:p w14:paraId="79EBB15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Cohen, M. J., &amp; Stanczak, D. E. (2000). On the Reliability, Validity, and Cognitive Structure of the Thurstone Word Fluency Test. </w:t>
      </w:r>
      <w:r w:rsidRPr="00E2630C">
        <w:rPr>
          <w:rFonts w:ascii="Times New Roman" w:eastAsia="Times New Roman" w:hAnsi="Times New Roman" w:cs="Times New Roman"/>
          <w:i/>
          <w:iCs/>
          <w:color w:val="000000" w:themeColor="text1"/>
          <w:sz w:val="24"/>
          <w:szCs w:val="24"/>
        </w:rPr>
        <w:t>Archives of Clinical Neuropsychology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15</w:t>
      </w:r>
      <w:r w:rsidRPr="00E2630C">
        <w:rPr>
          <w:rFonts w:ascii="Times New Roman" w:eastAsia="Times New Roman" w:hAnsi="Times New Roman" w:cs="Times New Roman"/>
          <w:color w:val="000000" w:themeColor="text1"/>
          <w:sz w:val="24"/>
          <w:szCs w:val="24"/>
        </w:rPr>
        <w:t>(3), 267–279. https://doi.org/10.1093/arclin/15.3.267</w:t>
      </w:r>
    </w:p>
    <w:p w14:paraId="74503E97" w14:textId="1C531C1B" w:rsidR="00DD112B"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Creswell, J. W., &amp; Clark, V. P. (2011). Mixed methods research. </w:t>
      </w:r>
      <w:r w:rsidRPr="00E2630C">
        <w:rPr>
          <w:rFonts w:ascii="Times New Roman" w:eastAsia="Times New Roman" w:hAnsi="Times New Roman" w:cs="Times New Roman"/>
          <w:i/>
          <w:iCs/>
          <w:color w:val="000000" w:themeColor="text1"/>
          <w:sz w:val="24"/>
          <w:szCs w:val="24"/>
        </w:rPr>
        <w:t>SAGE Publications</w:t>
      </w:r>
      <w:r w:rsidRPr="00E2630C">
        <w:rPr>
          <w:rFonts w:ascii="Times New Roman" w:eastAsia="Times New Roman" w:hAnsi="Times New Roman" w:cs="Times New Roman"/>
          <w:color w:val="000000" w:themeColor="text1"/>
          <w:sz w:val="24"/>
          <w:szCs w:val="24"/>
        </w:rPr>
        <w:t>.</w:t>
      </w:r>
    </w:p>
    <w:p w14:paraId="2AC0C772" w14:textId="449A7390" w:rsidR="00CD3724" w:rsidRPr="001B7AD4"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Crook, R. C., Asante, K., &amp; Brobbey, V. (2010). </w:t>
      </w:r>
      <w:r w:rsidRPr="00E2630C">
        <w:rPr>
          <w:rFonts w:ascii="Times New Roman" w:eastAsia="Times New Roman" w:hAnsi="Times New Roman" w:cs="Times New Roman"/>
          <w:i/>
          <w:iCs/>
          <w:color w:val="000000" w:themeColor="text1"/>
          <w:sz w:val="24"/>
          <w:szCs w:val="24"/>
        </w:rPr>
        <w:t xml:space="preserve">Popular concepts of justice and </w:t>
      </w:r>
      <w:r w:rsidRPr="001B7AD4">
        <w:rPr>
          <w:rFonts w:ascii="Times New Roman" w:eastAsia="Times New Roman" w:hAnsi="Times New Roman" w:cs="Times New Roman"/>
          <w:i/>
          <w:iCs/>
          <w:color w:val="000000" w:themeColor="text1"/>
          <w:sz w:val="24"/>
          <w:szCs w:val="24"/>
        </w:rPr>
        <w:t>fairness in Ghana: testing the legitimacy of new or hybrid forms of state justice</w:t>
      </w:r>
      <w:r w:rsidRPr="001B7AD4">
        <w:rPr>
          <w:rFonts w:ascii="Times New Roman" w:eastAsia="Times New Roman" w:hAnsi="Times New Roman" w:cs="Times New Roman"/>
          <w:color w:val="000000" w:themeColor="text1"/>
          <w:sz w:val="24"/>
          <w:szCs w:val="24"/>
        </w:rPr>
        <w:t xml:space="preserve">. </w:t>
      </w:r>
      <w:hyperlink r:id="rId12" w:history="1">
        <w:r w:rsidRPr="001B7AD4">
          <w:rPr>
            <w:rStyle w:val="Hyperlink"/>
            <w:rFonts w:ascii="Times New Roman" w:eastAsia="Times New Roman" w:hAnsi="Times New Roman" w:cs="Times New Roman"/>
            <w:color w:val="000000" w:themeColor="text1"/>
            <w:sz w:val="24"/>
            <w:szCs w:val="24"/>
            <w:u w:val="none"/>
          </w:rPr>
          <w:t>http://ssrn.com/abstract=2353309https://ssrn.com/abstract=2353309Electroniccopyavailableat:http://ssrn.com/abstract=2353309www.odi.org.uk</w:t>
        </w:r>
      </w:hyperlink>
    </w:p>
    <w:p w14:paraId="290C5269" w14:textId="77777777" w:rsidR="009F784A" w:rsidRPr="001B7AD4" w:rsidRDefault="00CD3724" w:rsidP="001B7AD4">
      <w:pPr>
        <w:autoSpaceDE w:val="0"/>
        <w:autoSpaceDN w:val="0"/>
        <w:ind w:left="450" w:hanging="480"/>
        <w:jc w:val="both"/>
        <w:rPr>
          <w:rFonts w:ascii="Times New Roman" w:hAnsi="Times New Roman" w:cs="Times New Roman"/>
          <w:color w:val="000000" w:themeColor="text1"/>
          <w:sz w:val="24"/>
          <w:szCs w:val="24"/>
        </w:rPr>
      </w:pPr>
      <w:r w:rsidRPr="001B7AD4">
        <w:rPr>
          <w:rFonts w:ascii="Times New Roman" w:hAnsi="Times New Roman" w:cs="Times New Roman"/>
          <w:color w:val="000000" w:themeColor="text1"/>
          <w:sz w:val="24"/>
          <w:szCs w:val="24"/>
        </w:rPr>
        <w:t xml:space="preserve">Daily Graphic (2014). </w:t>
      </w:r>
      <w:hyperlink r:id="rId13" w:history="1">
        <w:r w:rsidRPr="001B7AD4">
          <w:rPr>
            <w:rStyle w:val="Hyperlink"/>
            <w:rFonts w:ascii="Times New Roman" w:hAnsi="Times New Roman" w:cs="Times New Roman"/>
            <w:color w:val="000000" w:themeColor="text1"/>
            <w:sz w:val="24"/>
            <w:szCs w:val="24"/>
            <w:u w:val="none"/>
          </w:rPr>
          <w:t>www.graphic.com.gh/daily-graphic-editorials.html</w:t>
        </w:r>
      </w:hyperlink>
      <w:r w:rsidRPr="001B7AD4">
        <w:rPr>
          <w:rFonts w:ascii="Times New Roman" w:hAnsi="Times New Roman" w:cs="Times New Roman"/>
          <w:color w:val="000000" w:themeColor="text1"/>
          <w:sz w:val="24"/>
          <w:szCs w:val="24"/>
        </w:rPr>
        <w:t>.</w:t>
      </w:r>
    </w:p>
    <w:p w14:paraId="31FF42E7" w14:textId="30A1BDFC" w:rsidR="009F784A" w:rsidRPr="00E2630C" w:rsidRDefault="009F784A" w:rsidP="001B7AD4">
      <w:pPr>
        <w:autoSpaceDE w:val="0"/>
        <w:autoSpaceDN w:val="0"/>
        <w:ind w:left="450" w:hanging="480"/>
        <w:jc w:val="both"/>
        <w:rPr>
          <w:rFonts w:ascii="Times New Roman" w:hAnsi="Times New Roman" w:cs="Times New Roman"/>
          <w:color w:val="000000" w:themeColor="text1"/>
          <w:sz w:val="24"/>
          <w:szCs w:val="24"/>
        </w:rPr>
      </w:pPr>
      <w:r w:rsidRPr="001B7AD4">
        <w:rPr>
          <w:rFonts w:ascii="Times New Roman" w:hAnsi="Times New Roman" w:cs="Times New Roman"/>
          <w:sz w:val="24"/>
          <w:szCs w:val="24"/>
        </w:rPr>
        <w:t xml:space="preserve">Daily Graphic. (2015, July 10). </w:t>
      </w:r>
      <w:r w:rsidRPr="001B7AD4">
        <w:rPr>
          <w:rFonts w:ascii="Times New Roman" w:hAnsi="Times New Roman" w:cs="Times New Roman"/>
          <w:i/>
          <w:sz w:val="24"/>
          <w:szCs w:val="24"/>
        </w:rPr>
        <w:t>Government reforms in Ghana’s public sector</w:t>
      </w:r>
      <w:r w:rsidRPr="001B7AD4">
        <w:rPr>
          <w:rFonts w:ascii="Times New Roman" w:hAnsi="Times New Roman" w:cs="Times New Roman"/>
          <w:sz w:val="24"/>
          <w:szCs w:val="24"/>
        </w:rPr>
        <w:t>. Daily</w:t>
      </w:r>
      <w:r w:rsidRPr="00E2630C">
        <w:rPr>
          <w:rFonts w:ascii="Times New Roman" w:hAnsi="Times New Roman" w:cs="Times New Roman"/>
          <w:sz w:val="24"/>
          <w:szCs w:val="24"/>
        </w:rPr>
        <w:t xml:space="preserve"> Graphic.</w:t>
      </w:r>
    </w:p>
    <w:p w14:paraId="4358C58E"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Dalinpuo, E., &amp; Nassè, T. B. (2020). Social protection and children vunerability in Africa: an evidence from the Wa and Jirapa municipalities in Ghana. </w:t>
      </w:r>
      <w:r w:rsidRPr="00E2630C">
        <w:rPr>
          <w:rFonts w:ascii="Times New Roman" w:eastAsia="Times New Roman" w:hAnsi="Times New Roman" w:cs="Times New Roman"/>
          <w:i/>
          <w:iCs/>
          <w:color w:val="000000" w:themeColor="text1"/>
          <w:sz w:val="24"/>
          <w:szCs w:val="24"/>
        </w:rPr>
        <w:t>International Journal of Management &amp; Entrepreneurship Research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w:t>
      </w:r>
      <w:r w:rsidRPr="00E2630C">
        <w:rPr>
          <w:rFonts w:ascii="Times New Roman" w:eastAsia="Times New Roman" w:hAnsi="Times New Roman" w:cs="Times New Roman"/>
          <w:color w:val="000000" w:themeColor="text1"/>
          <w:sz w:val="24"/>
          <w:szCs w:val="24"/>
        </w:rPr>
        <w:t>(1), 22–42. https://doi.org/10.51594/ijmer.v2i1.108</w:t>
      </w:r>
    </w:p>
    <w:p w14:paraId="3F9FA08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Dankwa, S., Kumi, E., Owulah, F. T., &amp; Eshun, I. (2021). Dynamics of the Chieftaincy Succession Conflict in the Akuapem Traditional Area of Ghana. . </w:t>
      </w:r>
      <w:r w:rsidRPr="00E2630C">
        <w:rPr>
          <w:rFonts w:ascii="Times New Roman" w:eastAsia="Times New Roman" w:hAnsi="Times New Roman" w:cs="Times New Roman"/>
          <w:i/>
          <w:iCs/>
          <w:color w:val="000000" w:themeColor="text1"/>
          <w:sz w:val="24"/>
          <w:szCs w:val="24"/>
        </w:rPr>
        <w:t>. International Journal of African Society, Cultures and Traditions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9</w:t>
      </w:r>
      <w:r w:rsidRPr="00E2630C">
        <w:rPr>
          <w:rFonts w:ascii="Times New Roman" w:eastAsia="Times New Roman" w:hAnsi="Times New Roman" w:cs="Times New Roman"/>
          <w:color w:val="000000" w:themeColor="text1"/>
          <w:sz w:val="24"/>
          <w:szCs w:val="24"/>
        </w:rPr>
        <w:t>(1), 48–76.</w:t>
      </w:r>
    </w:p>
    <w:p w14:paraId="69DDD02D"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Dawda, T. D., &amp; Dapilah, F. (2013). Challenges of the Collaboration between Formal Local Government Actors and the Chieftaincy Institution in Ghana: Lessons from the Sissala East District of the Upper West Region of Ghana. In </w:t>
      </w:r>
      <w:r w:rsidRPr="00E2630C">
        <w:rPr>
          <w:rFonts w:ascii="Times New Roman" w:eastAsia="Times New Roman" w:hAnsi="Times New Roman" w:cs="Times New Roman"/>
          <w:i/>
          <w:iCs/>
          <w:color w:val="000000" w:themeColor="text1"/>
          <w:sz w:val="24"/>
          <w:szCs w:val="24"/>
        </w:rPr>
        <w:t>International Journal of Humanities and Social Science</w:t>
      </w:r>
      <w:r w:rsidRPr="00E2630C">
        <w:rPr>
          <w:rFonts w:ascii="Times New Roman" w:eastAsia="Times New Roman" w:hAnsi="Times New Roman" w:cs="Times New Roman"/>
          <w:color w:val="000000" w:themeColor="text1"/>
          <w:sz w:val="24"/>
          <w:szCs w:val="24"/>
        </w:rPr>
        <w:t xml:space="preserve"> (Vol. 3, Issue 12). www.ijhssnet.com</w:t>
      </w:r>
    </w:p>
    <w:p w14:paraId="7D884195"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Derouen, J. K., &amp; Heo, U. (2004). Reward, punishment or inducement? US economic and military aid, 1946–1996. </w:t>
      </w:r>
      <w:r w:rsidRPr="00E2630C">
        <w:rPr>
          <w:rFonts w:ascii="Times New Roman" w:eastAsia="Times New Roman" w:hAnsi="Times New Roman" w:cs="Times New Roman"/>
          <w:i/>
          <w:iCs/>
          <w:color w:val="000000" w:themeColor="text1"/>
          <w:sz w:val="24"/>
          <w:szCs w:val="24"/>
        </w:rPr>
        <w:t>Defence and Peace Economics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15</w:t>
      </w:r>
      <w:r w:rsidRPr="00E2630C">
        <w:rPr>
          <w:rFonts w:ascii="Times New Roman" w:eastAsia="Times New Roman" w:hAnsi="Times New Roman" w:cs="Times New Roman"/>
          <w:color w:val="000000" w:themeColor="text1"/>
          <w:sz w:val="24"/>
          <w:szCs w:val="24"/>
        </w:rPr>
        <w:t>(5), 453–470. https://doi.org/10.1080/1024269042000222392</w:t>
      </w:r>
    </w:p>
    <w:p w14:paraId="4AE80E1C" w14:textId="77777777" w:rsidR="00DB5C13" w:rsidRPr="00E2630C" w:rsidRDefault="00DB5C13"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De Vos, A.S. (2002). Research at the Grass Roots for the Social and Human Services Professions. Pretoria: Van Schaik Publishers. </w:t>
      </w:r>
    </w:p>
    <w:p w14:paraId="6F48FF44" w14:textId="43721FD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Donkor, J. (2023). </w:t>
      </w:r>
      <w:r w:rsidRPr="00E2630C">
        <w:rPr>
          <w:rFonts w:ascii="Times New Roman" w:eastAsia="Times New Roman" w:hAnsi="Times New Roman" w:cs="Times New Roman"/>
          <w:i/>
          <w:iCs/>
          <w:color w:val="000000" w:themeColor="text1"/>
          <w:sz w:val="24"/>
          <w:szCs w:val="24"/>
        </w:rPr>
        <w:t>Assessing the dynamics, causes and socio-economic impact of ethnic conflicts in the Northern Region of Ghana</w:t>
      </w:r>
      <w:r w:rsidRPr="00E2630C">
        <w:rPr>
          <w:rFonts w:ascii="Times New Roman" w:eastAsia="Times New Roman" w:hAnsi="Times New Roman" w:cs="Times New Roman"/>
          <w:color w:val="000000" w:themeColor="text1"/>
          <w:sz w:val="24"/>
          <w:szCs w:val="24"/>
        </w:rPr>
        <w:t>. ISCTE - University Institute of Lisbon.</w:t>
      </w:r>
    </w:p>
    <w:p w14:paraId="08EEBAA0" w14:textId="77777777" w:rsidR="008B773C"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Earle, T. (2011). Chiefs, chieftaincies, chiefdoms, and chiefly confederacies: Power in the evolution of political systems. </w:t>
      </w:r>
      <w:r w:rsidRPr="00E2630C">
        <w:rPr>
          <w:rFonts w:ascii="Times New Roman" w:eastAsia="Times New Roman" w:hAnsi="Times New Roman" w:cs="Times New Roman"/>
          <w:i/>
          <w:iCs/>
          <w:color w:val="000000" w:themeColor="text1"/>
          <w:sz w:val="24"/>
          <w:szCs w:val="24"/>
        </w:rPr>
        <w:t xml:space="preserve">Social Evolution &amp; History </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10</w:t>
      </w:r>
      <w:r w:rsidRPr="00E2630C">
        <w:rPr>
          <w:rFonts w:ascii="Times New Roman" w:eastAsia="Times New Roman" w:hAnsi="Times New Roman" w:cs="Times New Roman"/>
          <w:color w:val="000000" w:themeColor="text1"/>
          <w:sz w:val="24"/>
          <w:szCs w:val="24"/>
        </w:rPr>
        <w:t>(1), 27–54.</w:t>
      </w:r>
    </w:p>
    <w:p w14:paraId="60CDDF4C" w14:textId="77777777" w:rsidR="00450081" w:rsidRPr="00E2630C" w:rsidRDefault="008B773C" w:rsidP="001B7AD4">
      <w:pPr>
        <w:autoSpaceDE w:val="0"/>
        <w:autoSpaceDN w:val="0"/>
        <w:ind w:left="450" w:hanging="480"/>
        <w:jc w:val="both"/>
        <w:rPr>
          <w:rFonts w:ascii="Times New Roman" w:hAnsi="Times New Roman" w:cs="Times New Roman"/>
          <w:color w:val="000000" w:themeColor="text1"/>
          <w:sz w:val="24"/>
          <w:szCs w:val="24"/>
          <w:shd w:val="clear" w:color="auto" w:fill="FFFFFF"/>
        </w:rPr>
      </w:pPr>
      <w:r w:rsidRPr="00E2630C">
        <w:rPr>
          <w:rFonts w:ascii="Times New Roman" w:hAnsi="Times New Roman" w:cs="Times New Roman"/>
          <w:color w:val="000000" w:themeColor="text1"/>
          <w:sz w:val="24"/>
          <w:szCs w:val="24"/>
          <w:shd w:val="clear" w:color="auto" w:fill="FFFFFF"/>
        </w:rPr>
        <w:lastRenderedPageBreak/>
        <w:t>Ernstorfer, A., Stockman, A. S., &amp; de Weijer, F. (2023). Peace responsiveness: a paradigm shift to deliver on conflict sensitivity and sustaining peace.</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Development in Practice</w:t>
      </w:r>
      <w:r w:rsidRPr="00E2630C">
        <w:rPr>
          <w:rFonts w:ascii="Times New Roman" w:hAnsi="Times New Roman" w:cs="Times New Roman"/>
          <w:color w:val="000000" w:themeColor="text1"/>
          <w:sz w:val="24"/>
          <w:szCs w:val="24"/>
          <w:shd w:val="clear" w:color="auto" w:fill="FFFFFF"/>
        </w:rPr>
        <w:t>,</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33</w:t>
      </w:r>
      <w:r w:rsidRPr="00E2630C">
        <w:rPr>
          <w:rFonts w:ascii="Times New Roman" w:hAnsi="Times New Roman" w:cs="Times New Roman"/>
          <w:color w:val="000000" w:themeColor="text1"/>
          <w:sz w:val="24"/>
          <w:szCs w:val="24"/>
          <w:shd w:val="clear" w:color="auto" w:fill="FFFFFF"/>
        </w:rPr>
        <w:t>(5), 584-598.</w:t>
      </w:r>
    </w:p>
    <w:p w14:paraId="5DEA9026" w14:textId="54FC4970" w:rsidR="00450081" w:rsidRPr="00E2630C" w:rsidRDefault="00450081" w:rsidP="001B7AD4">
      <w:pPr>
        <w:autoSpaceDE w:val="0"/>
        <w:autoSpaceDN w:val="0"/>
        <w:ind w:left="450" w:hanging="480"/>
        <w:jc w:val="both"/>
        <w:rPr>
          <w:rFonts w:ascii="Times New Roman" w:hAnsi="Times New Roman" w:cs="Times New Roman"/>
          <w:color w:val="000000" w:themeColor="text1"/>
          <w:sz w:val="24"/>
          <w:szCs w:val="24"/>
          <w:shd w:val="clear" w:color="auto" w:fill="FFFFFF"/>
        </w:rPr>
      </w:pPr>
      <w:r w:rsidRPr="00E2630C">
        <w:rPr>
          <w:rFonts w:ascii="Times New Roman" w:hAnsi="Times New Roman" w:cs="Times New Roman"/>
          <w:sz w:val="24"/>
          <w:szCs w:val="24"/>
        </w:rPr>
        <w:t xml:space="preserve">Economic Commission for Africa (ECA). (2007). </w:t>
      </w:r>
      <w:r w:rsidRPr="00E2630C">
        <w:rPr>
          <w:rFonts w:ascii="Times New Roman" w:hAnsi="Times New Roman" w:cs="Times New Roman"/>
          <w:i/>
          <w:sz w:val="24"/>
          <w:szCs w:val="24"/>
        </w:rPr>
        <w:t>Relevance of African traditional institutions of governance</w:t>
      </w:r>
      <w:r w:rsidRPr="00E2630C">
        <w:rPr>
          <w:rFonts w:ascii="Times New Roman" w:hAnsi="Times New Roman" w:cs="Times New Roman"/>
          <w:sz w:val="24"/>
          <w:szCs w:val="24"/>
        </w:rPr>
        <w:t xml:space="preserve">. United Nations Economic Commission for Africa. </w:t>
      </w:r>
      <w:r w:rsidRPr="00E2630C">
        <w:rPr>
          <w:rFonts w:ascii="Times New Roman" w:hAnsi="Times New Roman" w:cs="Times New Roman"/>
          <w:i/>
          <w:iCs/>
          <w:color w:val="000000" w:themeColor="text1"/>
          <w:sz w:val="24"/>
          <w:szCs w:val="24"/>
        </w:rPr>
        <w:t>23</w:t>
      </w:r>
      <w:r w:rsidRPr="00E2630C">
        <w:rPr>
          <w:rFonts w:ascii="Times New Roman" w:hAnsi="Times New Roman" w:cs="Times New Roman"/>
          <w:color w:val="000000" w:themeColor="text1"/>
          <w:sz w:val="24"/>
          <w:szCs w:val="24"/>
          <w:shd w:val="clear" w:color="auto" w:fill="FFFFFF"/>
        </w:rPr>
        <w:t>(1), 5.</w:t>
      </w:r>
    </w:p>
    <w:p w14:paraId="66DC9938"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ECA. (2007). </w:t>
      </w:r>
      <w:r w:rsidRPr="00E2630C">
        <w:rPr>
          <w:rFonts w:ascii="Times New Roman" w:eastAsia="Times New Roman" w:hAnsi="Times New Roman" w:cs="Times New Roman"/>
          <w:i/>
          <w:iCs/>
          <w:color w:val="000000" w:themeColor="text1"/>
          <w:sz w:val="24"/>
          <w:szCs w:val="24"/>
        </w:rPr>
        <w:t xml:space="preserve">Economic Commission for Africa Report </w:t>
      </w:r>
      <w:r w:rsidRPr="00E2630C">
        <w:rPr>
          <w:rFonts w:ascii="Times New Roman" w:eastAsia="Times New Roman" w:hAnsi="Times New Roman" w:cs="Times New Roman"/>
          <w:color w:val="000000" w:themeColor="text1"/>
          <w:sz w:val="24"/>
          <w:szCs w:val="24"/>
        </w:rPr>
        <w:t>.</w:t>
      </w:r>
    </w:p>
    <w:p w14:paraId="37EEE9BD"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Egbuta, U. (2018). Understanding the herder-farmer conflict in Nigeria. </w:t>
      </w:r>
      <w:r w:rsidRPr="00E2630C">
        <w:rPr>
          <w:rFonts w:ascii="Times New Roman" w:eastAsia="Times New Roman" w:hAnsi="Times New Roman" w:cs="Times New Roman"/>
          <w:i/>
          <w:iCs/>
          <w:color w:val="000000" w:themeColor="text1"/>
          <w:sz w:val="24"/>
          <w:szCs w:val="24"/>
        </w:rPr>
        <w:t>Conflict Trends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2018</w:t>
      </w:r>
      <w:r w:rsidRPr="00E2630C">
        <w:rPr>
          <w:rFonts w:ascii="Times New Roman" w:eastAsia="Times New Roman" w:hAnsi="Times New Roman" w:cs="Times New Roman"/>
          <w:color w:val="000000" w:themeColor="text1"/>
          <w:sz w:val="24"/>
          <w:szCs w:val="24"/>
        </w:rPr>
        <w:t>(3), 40–48.</w:t>
      </w:r>
    </w:p>
    <w:p w14:paraId="6389BCD1"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Ersado, L. (2005). Child Labor and Schooling Decisions in Urban and Rural Areas: Comparative Evidence from Nepal, Peru, and Zimbabwe. </w:t>
      </w:r>
      <w:r w:rsidRPr="00E2630C">
        <w:rPr>
          <w:rFonts w:ascii="Times New Roman" w:eastAsia="Times New Roman" w:hAnsi="Times New Roman" w:cs="Times New Roman"/>
          <w:i/>
          <w:iCs/>
          <w:color w:val="000000" w:themeColor="text1"/>
          <w:sz w:val="24"/>
          <w:szCs w:val="24"/>
        </w:rPr>
        <w:t>World Development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33</w:t>
      </w:r>
      <w:r w:rsidRPr="00E2630C">
        <w:rPr>
          <w:rFonts w:ascii="Times New Roman" w:eastAsia="Times New Roman" w:hAnsi="Times New Roman" w:cs="Times New Roman"/>
          <w:color w:val="000000" w:themeColor="text1"/>
          <w:sz w:val="24"/>
          <w:szCs w:val="24"/>
        </w:rPr>
        <w:t>(3), 455–480. https://doi.org/10.1016/j.worlddev.2004.09.009</w:t>
      </w:r>
    </w:p>
    <w:p w14:paraId="361D90DE"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FAO. (2017). The State of Food and Agriculture 2017. </w:t>
      </w:r>
      <w:r w:rsidRPr="00E2630C">
        <w:rPr>
          <w:rFonts w:ascii="Times New Roman" w:eastAsia="Times New Roman" w:hAnsi="Times New Roman" w:cs="Times New Roman"/>
          <w:i/>
          <w:iCs/>
          <w:color w:val="000000" w:themeColor="text1"/>
          <w:sz w:val="24"/>
          <w:szCs w:val="24"/>
        </w:rPr>
        <w:t>Food and Agriculture Organization of the United Nations</w:t>
      </w:r>
      <w:r w:rsidRPr="00E2630C">
        <w:rPr>
          <w:rFonts w:ascii="Times New Roman" w:eastAsia="Times New Roman" w:hAnsi="Times New Roman" w:cs="Times New Roman"/>
          <w:color w:val="000000" w:themeColor="text1"/>
          <w:sz w:val="24"/>
          <w:szCs w:val="24"/>
        </w:rPr>
        <w:t>.</w:t>
      </w:r>
    </w:p>
    <w:p w14:paraId="274B608D"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Fearon, J. D. (2017). Civil War &amp;amp; the Current International System. </w:t>
      </w:r>
      <w:r w:rsidRPr="00E2630C">
        <w:rPr>
          <w:rFonts w:ascii="Times New Roman" w:eastAsia="Times New Roman" w:hAnsi="Times New Roman" w:cs="Times New Roman"/>
          <w:i/>
          <w:iCs/>
          <w:color w:val="000000" w:themeColor="text1"/>
          <w:sz w:val="24"/>
          <w:szCs w:val="24"/>
        </w:rPr>
        <w:t>Daedalus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146</w:t>
      </w:r>
      <w:r w:rsidRPr="00E2630C">
        <w:rPr>
          <w:rFonts w:ascii="Times New Roman" w:eastAsia="Times New Roman" w:hAnsi="Times New Roman" w:cs="Times New Roman"/>
          <w:color w:val="000000" w:themeColor="text1"/>
          <w:sz w:val="24"/>
          <w:szCs w:val="24"/>
        </w:rPr>
        <w:t>(4), 18–32. https://doi.org/10.1162/DAED_a_00456</w:t>
      </w:r>
    </w:p>
    <w:p w14:paraId="11C3DB2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Fernández-Aballí, A. (2016). Advocacy for Whom? Influence for What? Abuse of Discursive Power in International NGO Online Campaigns. </w:t>
      </w:r>
      <w:r w:rsidRPr="00E2630C">
        <w:rPr>
          <w:rFonts w:ascii="Times New Roman" w:eastAsia="Times New Roman" w:hAnsi="Times New Roman" w:cs="Times New Roman"/>
          <w:i/>
          <w:iCs/>
          <w:color w:val="000000" w:themeColor="text1"/>
          <w:sz w:val="24"/>
          <w:szCs w:val="24"/>
        </w:rPr>
        <w:t>American Behavioral Scientist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60</w:t>
      </w:r>
      <w:r w:rsidRPr="00E2630C">
        <w:rPr>
          <w:rFonts w:ascii="Times New Roman" w:eastAsia="Times New Roman" w:hAnsi="Times New Roman" w:cs="Times New Roman"/>
          <w:color w:val="000000" w:themeColor="text1"/>
          <w:sz w:val="24"/>
          <w:szCs w:val="24"/>
        </w:rPr>
        <w:t>(3), 360–377. https://doi.org/10.1177/0002764215613407</w:t>
      </w:r>
    </w:p>
    <w:p w14:paraId="41982637" w14:textId="77777777" w:rsidR="00450081"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Fierke, K. M. (2015). Critical methodology and constructivism. In </w:t>
      </w:r>
      <w:r w:rsidRPr="00E2630C">
        <w:rPr>
          <w:rFonts w:ascii="Times New Roman" w:eastAsia="Times New Roman" w:hAnsi="Times New Roman" w:cs="Times New Roman"/>
          <w:i/>
          <w:iCs/>
          <w:color w:val="000000" w:themeColor="text1"/>
          <w:sz w:val="24"/>
          <w:szCs w:val="24"/>
        </w:rPr>
        <w:t>Constructing international relations: The next generation</w:t>
      </w:r>
      <w:r w:rsidR="00450081" w:rsidRPr="00E2630C">
        <w:rPr>
          <w:rFonts w:ascii="Times New Roman" w:eastAsia="Times New Roman" w:hAnsi="Times New Roman" w:cs="Times New Roman"/>
          <w:color w:val="000000" w:themeColor="text1"/>
          <w:sz w:val="24"/>
          <w:szCs w:val="24"/>
        </w:rPr>
        <w:t xml:space="preserve"> (pp. 115--135). Routledge.</w:t>
      </w:r>
    </w:p>
    <w:p w14:paraId="05C164F2" w14:textId="77777777" w:rsidR="00450081" w:rsidRPr="00E2630C" w:rsidRDefault="00450081" w:rsidP="001B7AD4">
      <w:pPr>
        <w:autoSpaceDE w:val="0"/>
        <w:autoSpaceDN w:val="0"/>
        <w:ind w:left="450" w:hanging="480"/>
        <w:jc w:val="both"/>
        <w:rPr>
          <w:rFonts w:ascii="Times New Roman" w:hAnsi="Times New Roman" w:cs="Times New Roman"/>
          <w:sz w:val="24"/>
          <w:szCs w:val="24"/>
        </w:rPr>
      </w:pPr>
      <w:r w:rsidRPr="00E2630C">
        <w:rPr>
          <w:rFonts w:ascii="Times New Roman" w:hAnsi="Times New Roman" w:cs="Times New Roman"/>
          <w:sz w:val="24"/>
          <w:szCs w:val="24"/>
        </w:rPr>
        <w:t xml:space="preserve">Fischer, F. (2015). </w:t>
      </w:r>
      <w:r w:rsidRPr="00E2630C">
        <w:rPr>
          <w:rFonts w:ascii="Times New Roman" w:hAnsi="Times New Roman" w:cs="Times New Roman"/>
          <w:i/>
          <w:sz w:val="24"/>
          <w:szCs w:val="24"/>
        </w:rPr>
        <w:t>Critical policy studies</w:t>
      </w:r>
      <w:r w:rsidRPr="00E2630C">
        <w:rPr>
          <w:rFonts w:ascii="Times New Roman" w:hAnsi="Times New Roman" w:cs="Times New Roman"/>
          <w:sz w:val="24"/>
          <w:szCs w:val="24"/>
        </w:rPr>
        <w:t>. Oxford University Press.</w:t>
      </w:r>
    </w:p>
    <w:p w14:paraId="3FFD4F65" w14:textId="29B67BEE" w:rsidR="00450081" w:rsidRPr="00E2630C" w:rsidRDefault="00450081" w:rsidP="001B7AD4">
      <w:pPr>
        <w:autoSpaceDE w:val="0"/>
        <w:autoSpaceDN w:val="0"/>
        <w:ind w:left="450" w:hanging="480"/>
        <w:jc w:val="both"/>
        <w:rPr>
          <w:rFonts w:ascii="Times New Roman" w:hAnsi="Times New Roman" w:cs="Times New Roman"/>
          <w:sz w:val="24"/>
          <w:szCs w:val="24"/>
        </w:rPr>
      </w:pPr>
      <w:r w:rsidRPr="00E2630C">
        <w:rPr>
          <w:rFonts w:ascii="Times New Roman" w:hAnsi="Times New Roman" w:cs="Times New Roman"/>
          <w:sz w:val="24"/>
          <w:szCs w:val="24"/>
        </w:rPr>
        <w:t xml:space="preserve">Freedom House. (2016). </w:t>
      </w:r>
      <w:r w:rsidRPr="00E2630C">
        <w:rPr>
          <w:rFonts w:ascii="Times New Roman" w:hAnsi="Times New Roman" w:cs="Times New Roman"/>
          <w:i/>
          <w:sz w:val="24"/>
          <w:szCs w:val="24"/>
        </w:rPr>
        <w:t>Freedom in the world 2016: An annual survey of political rights and civil liberties</w:t>
      </w:r>
      <w:r w:rsidRPr="00E2630C">
        <w:rPr>
          <w:rFonts w:ascii="Times New Roman" w:hAnsi="Times New Roman" w:cs="Times New Roman"/>
          <w:sz w:val="24"/>
          <w:szCs w:val="24"/>
        </w:rPr>
        <w:t>. Freedom House.</w:t>
      </w:r>
    </w:p>
    <w:p w14:paraId="03A1531F"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Fürst, T., Raso, G., Acka, C. A., Tschannen, A. B., N’Goran, E. K., &amp; Utzinger, J. (2009). Dynamics of socioeconomic risk factors for neglected tropical diseases and malaria in an armed conflict. </w:t>
      </w:r>
      <w:r w:rsidRPr="00E2630C">
        <w:rPr>
          <w:rFonts w:ascii="Times New Roman" w:eastAsia="Times New Roman" w:hAnsi="Times New Roman" w:cs="Times New Roman"/>
          <w:i/>
          <w:iCs/>
          <w:color w:val="000000" w:themeColor="text1"/>
          <w:sz w:val="24"/>
          <w:szCs w:val="24"/>
        </w:rPr>
        <w:t>PLoS Neglected Tropical Diseases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w:t>
      </w:r>
      <w:r w:rsidRPr="00E2630C">
        <w:rPr>
          <w:rFonts w:ascii="Times New Roman" w:eastAsia="Times New Roman" w:hAnsi="Times New Roman" w:cs="Times New Roman"/>
          <w:color w:val="000000" w:themeColor="text1"/>
          <w:sz w:val="24"/>
          <w:szCs w:val="24"/>
        </w:rPr>
        <w:t>(9). https://doi.org/10.1371/journal.pntd.0000513</w:t>
      </w:r>
    </w:p>
    <w:p w14:paraId="5EFE6E21"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Fusheini, Y., Pelig-Ba, K. B., Abagale, S. A., Oseni, L. A., &amp; Author, C. (2021). Organochlorine Pesticide Residues In Soil Samples From The Nanumba North Municipality, Ghana. In </w:t>
      </w:r>
      <w:r w:rsidRPr="00E2630C">
        <w:rPr>
          <w:rFonts w:ascii="Times New Roman" w:eastAsia="Times New Roman" w:hAnsi="Times New Roman" w:cs="Times New Roman"/>
          <w:i/>
          <w:iCs/>
          <w:color w:val="000000" w:themeColor="text1"/>
          <w:sz w:val="24"/>
          <w:szCs w:val="24"/>
        </w:rPr>
        <w:t>Volatiles &amp; Essent. Oils</w:t>
      </w:r>
      <w:r w:rsidRPr="00E2630C">
        <w:rPr>
          <w:rFonts w:ascii="Times New Roman" w:eastAsia="Times New Roman" w:hAnsi="Times New Roman" w:cs="Times New Roman"/>
          <w:color w:val="000000" w:themeColor="text1"/>
          <w:sz w:val="24"/>
          <w:szCs w:val="24"/>
        </w:rPr>
        <w:t xml:space="preserve"> (Vol. 8, Issue 6). www.ghanadistrics.com</w:t>
      </w:r>
    </w:p>
    <w:p w14:paraId="61D3C5B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Gakuria, A. R. (2013). </w:t>
      </w:r>
      <w:r w:rsidRPr="00E2630C">
        <w:rPr>
          <w:rFonts w:ascii="Times New Roman" w:eastAsia="Times New Roman" w:hAnsi="Times New Roman" w:cs="Times New Roman"/>
          <w:i/>
          <w:iCs/>
          <w:color w:val="000000" w:themeColor="text1"/>
          <w:sz w:val="24"/>
          <w:szCs w:val="24"/>
        </w:rPr>
        <w:t>Natural resource based conflict among pastoralist communities in Kenya</w:t>
      </w:r>
      <w:r w:rsidRPr="00E2630C">
        <w:rPr>
          <w:rFonts w:ascii="Times New Roman" w:eastAsia="Times New Roman" w:hAnsi="Times New Roman" w:cs="Times New Roman"/>
          <w:color w:val="000000" w:themeColor="text1"/>
          <w:sz w:val="24"/>
          <w:szCs w:val="24"/>
        </w:rPr>
        <w:t>. University of Nairobi.</w:t>
      </w:r>
    </w:p>
    <w:p w14:paraId="14552CF7"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Galbraith, Jean. (2019). United States Initiates Withdrawal from Intermediate-Range Nuclear Forces Treaty. </w:t>
      </w:r>
      <w:r w:rsidRPr="00E2630C">
        <w:rPr>
          <w:rFonts w:ascii="Times New Roman" w:eastAsia="Times New Roman" w:hAnsi="Times New Roman" w:cs="Times New Roman"/>
          <w:i/>
          <w:iCs/>
          <w:color w:val="000000" w:themeColor="text1"/>
          <w:sz w:val="24"/>
          <w:szCs w:val="24"/>
        </w:rPr>
        <w:t>American Journal of International Law</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113</w:t>
      </w:r>
      <w:r w:rsidRPr="00E2630C">
        <w:rPr>
          <w:rFonts w:ascii="Times New Roman" w:eastAsia="Times New Roman" w:hAnsi="Times New Roman" w:cs="Times New Roman"/>
          <w:color w:val="000000" w:themeColor="text1"/>
          <w:sz w:val="24"/>
          <w:szCs w:val="24"/>
        </w:rPr>
        <w:t>(3), 631–634. https://doi.org/10.1017/ajil.2019.37</w:t>
      </w:r>
    </w:p>
    <w:p w14:paraId="22AAC2A5"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Gasu, J. (2020). Identity Crisis and Inter-Ethnic Conflicts in Northern and Upper East Regions of Ghana. </w:t>
      </w:r>
      <w:r w:rsidRPr="00E2630C">
        <w:rPr>
          <w:rFonts w:ascii="Times New Roman" w:eastAsia="Times New Roman" w:hAnsi="Times New Roman" w:cs="Times New Roman"/>
          <w:i/>
          <w:iCs/>
          <w:color w:val="000000" w:themeColor="text1"/>
          <w:sz w:val="24"/>
          <w:szCs w:val="24"/>
        </w:rPr>
        <w:t>Ghana Journal of Development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17</w:t>
      </w:r>
      <w:r w:rsidRPr="00E2630C">
        <w:rPr>
          <w:rFonts w:ascii="Times New Roman" w:eastAsia="Times New Roman" w:hAnsi="Times New Roman" w:cs="Times New Roman"/>
          <w:color w:val="000000" w:themeColor="text1"/>
          <w:sz w:val="24"/>
          <w:szCs w:val="24"/>
        </w:rPr>
        <w:t>(1), 68–91. https://doi.org/10.4314/gjds.v17i1.3</w:t>
      </w:r>
    </w:p>
    <w:p w14:paraId="78187FA5" w14:textId="77777777" w:rsidR="00450081" w:rsidRPr="00DD112B"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Gatdet, C. (2021). The review on the smallholder farmers’ food security and conflict in Ethiopia. </w:t>
      </w:r>
      <w:r w:rsidRPr="00E2630C">
        <w:rPr>
          <w:rFonts w:ascii="Times New Roman" w:eastAsia="Times New Roman" w:hAnsi="Times New Roman" w:cs="Times New Roman"/>
          <w:i/>
          <w:iCs/>
          <w:color w:val="000000" w:themeColor="text1"/>
          <w:sz w:val="24"/>
          <w:szCs w:val="24"/>
        </w:rPr>
        <w:t>Science Progress and Research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w:t>
      </w:r>
      <w:r w:rsidRPr="00E2630C">
        <w:rPr>
          <w:rFonts w:ascii="Times New Roman" w:eastAsia="Times New Roman" w:hAnsi="Times New Roman" w:cs="Times New Roman"/>
          <w:color w:val="000000" w:themeColor="text1"/>
          <w:sz w:val="24"/>
          <w:szCs w:val="24"/>
        </w:rPr>
        <w:t xml:space="preserve">(3), 191–196. </w:t>
      </w:r>
      <w:hyperlink r:id="rId14" w:history="1">
        <w:r w:rsidR="00450081" w:rsidRPr="00DD112B">
          <w:rPr>
            <w:rStyle w:val="Hyperlink"/>
            <w:rFonts w:ascii="Times New Roman" w:eastAsia="Times New Roman" w:hAnsi="Times New Roman" w:cs="Times New Roman"/>
            <w:color w:val="000000" w:themeColor="text1"/>
            <w:sz w:val="24"/>
            <w:szCs w:val="24"/>
            <w:u w:val="none"/>
          </w:rPr>
          <w:t>https://doi.org/10.52152/spr/2021.122</w:t>
        </w:r>
      </w:hyperlink>
    </w:p>
    <w:p w14:paraId="25EB7C16" w14:textId="5EE5DA5F" w:rsidR="00450081" w:rsidRPr="00E2630C" w:rsidRDefault="00450081"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Ghanaian Times. (2015, July 10). </w:t>
      </w:r>
      <w:r w:rsidRPr="00E2630C">
        <w:rPr>
          <w:rFonts w:ascii="Times New Roman" w:hAnsi="Times New Roman" w:cs="Times New Roman"/>
          <w:i/>
          <w:sz w:val="24"/>
          <w:szCs w:val="24"/>
        </w:rPr>
        <w:t>Challenges in the implementation of Ghana’s social protection programs</w:t>
      </w:r>
      <w:r w:rsidRPr="00E2630C">
        <w:rPr>
          <w:rFonts w:ascii="Times New Roman" w:hAnsi="Times New Roman" w:cs="Times New Roman"/>
          <w:sz w:val="24"/>
          <w:szCs w:val="24"/>
        </w:rPr>
        <w:t>. Ghanaian Times.</w:t>
      </w:r>
    </w:p>
    <w:p w14:paraId="6C4C2F51" w14:textId="77777777" w:rsidR="00450081" w:rsidRPr="00E2630C" w:rsidRDefault="00450081" w:rsidP="001B7AD4">
      <w:pPr>
        <w:pStyle w:val="NoSpacing"/>
        <w:ind w:left="450"/>
      </w:pPr>
    </w:p>
    <w:p w14:paraId="0E5D97F8"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Gauthier, D. P. (1969). </w:t>
      </w:r>
      <w:r w:rsidRPr="00E2630C">
        <w:rPr>
          <w:rFonts w:ascii="Times New Roman" w:eastAsia="Times New Roman" w:hAnsi="Times New Roman" w:cs="Times New Roman"/>
          <w:i/>
          <w:iCs/>
          <w:color w:val="000000" w:themeColor="text1"/>
          <w:sz w:val="24"/>
          <w:szCs w:val="24"/>
        </w:rPr>
        <w:t>The logic of Leviathan: the moral and political theory of Thomas Hobbes</w:t>
      </w:r>
      <w:r w:rsidRPr="00E2630C">
        <w:rPr>
          <w:rFonts w:ascii="Times New Roman" w:eastAsia="Times New Roman" w:hAnsi="Times New Roman" w:cs="Times New Roman"/>
          <w:color w:val="000000" w:themeColor="text1"/>
          <w:sz w:val="24"/>
          <w:szCs w:val="24"/>
        </w:rPr>
        <w:t>. Oxford University Press.</w:t>
      </w:r>
    </w:p>
    <w:p w14:paraId="379BAD68"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Gilad, S. (2021). Mixing Qualitative and Quantitative Methods in Pursuit of Richer Answers to Real-World Questions. </w:t>
      </w:r>
      <w:r w:rsidRPr="00E2630C">
        <w:rPr>
          <w:rFonts w:ascii="Times New Roman" w:eastAsia="Times New Roman" w:hAnsi="Times New Roman" w:cs="Times New Roman"/>
          <w:i/>
          <w:iCs/>
          <w:color w:val="000000" w:themeColor="text1"/>
          <w:sz w:val="24"/>
          <w:szCs w:val="24"/>
        </w:rPr>
        <w:t>Public Performance &amp; Management Review</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44</w:t>
      </w:r>
      <w:r w:rsidRPr="00E2630C">
        <w:rPr>
          <w:rFonts w:ascii="Times New Roman" w:eastAsia="Times New Roman" w:hAnsi="Times New Roman" w:cs="Times New Roman"/>
          <w:color w:val="000000" w:themeColor="text1"/>
          <w:sz w:val="24"/>
          <w:szCs w:val="24"/>
        </w:rPr>
        <w:t>(5), 1075–1099. https://doi.org/10.1080/15309576.2019.1694546</w:t>
      </w:r>
    </w:p>
    <w:p w14:paraId="6A583DF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Gleditsch, N. P., Wallensteen, P., Eriksson, M., Sollenberg, M., &amp; Strand, H. (2002). Armed Conflict 1946-2001: A New Dataset. </w:t>
      </w:r>
      <w:r w:rsidRPr="00E2630C">
        <w:rPr>
          <w:rFonts w:ascii="Times New Roman" w:eastAsia="Times New Roman" w:hAnsi="Times New Roman" w:cs="Times New Roman"/>
          <w:i/>
          <w:iCs/>
          <w:color w:val="000000" w:themeColor="text1"/>
          <w:sz w:val="24"/>
          <w:szCs w:val="24"/>
        </w:rPr>
        <w:t>Journal of Peace Research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39</w:t>
      </w:r>
      <w:r w:rsidRPr="00E2630C">
        <w:rPr>
          <w:rFonts w:ascii="Times New Roman" w:eastAsia="Times New Roman" w:hAnsi="Times New Roman" w:cs="Times New Roman"/>
          <w:color w:val="000000" w:themeColor="text1"/>
          <w:sz w:val="24"/>
          <w:szCs w:val="24"/>
        </w:rPr>
        <w:t>(5), 615–637. https://doi.org/10.1177/0022343302039005007</w:t>
      </w:r>
    </w:p>
    <w:p w14:paraId="564E9FC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Gordon, M. R., &amp; Lehren, A. W. (2010). US Strains to Stop Arms Flow. </w:t>
      </w:r>
      <w:r w:rsidRPr="00E2630C">
        <w:rPr>
          <w:rFonts w:ascii="Times New Roman" w:eastAsia="Times New Roman" w:hAnsi="Times New Roman" w:cs="Times New Roman"/>
          <w:i/>
          <w:iCs/>
          <w:color w:val="000000" w:themeColor="text1"/>
          <w:sz w:val="24"/>
          <w:szCs w:val="24"/>
        </w:rPr>
        <w:t>New York Times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6</w:t>
      </w:r>
      <w:r w:rsidRPr="00E2630C">
        <w:rPr>
          <w:rFonts w:ascii="Times New Roman" w:eastAsia="Times New Roman" w:hAnsi="Times New Roman" w:cs="Times New Roman"/>
          <w:color w:val="000000" w:themeColor="text1"/>
          <w:sz w:val="24"/>
          <w:szCs w:val="24"/>
        </w:rPr>
        <w:t>.</w:t>
      </w:r>
    </w:p>
    <w:p w14:paraId="2155383E"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Gregory, K. (2019). Lessons of a Failed Study: Lone Research, Media Analysis, and the Limitations of Bracketing. </w:t>
      </w:r>
      <w:r w:rsidRPr="00E2630C">
        <w:rPr>
          <w:rFonts w:ascii="Times New Roman" w:eastAsia="Times New Roman" w:hAnsi="Times New Roman" w:cs="Times New Roman"/>
          <w:i/>
          <w:iCs/>
          <w:color w:val="000000" w:themeColor="text1"/>
          <w:sz w:val="24"/>
          <w:szCs w:val="24"/>
        </w:rPr>
        <w:t>International Journal of Qualitative Methods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18</w:t>
      </w:r>
      <w:r w:rsidRPr="00E2630C">
        <w:rPr>
          <w:rFonts w:ascii="Times New Roman" w:eastAsia="Times New Roman" w:hAnsi="Times New Roman" w:cs="Times New Roman"/>
          <w:color w:val="000000" w:themeColor="text1"/>
          <w:sz w:val="24"/>
          <w:szCs w:val="24"/>
        </w:rPr>
        <w:t>, 160940691984245. https://doi.org/10.1177/1609406919842450</w:t>
      </w:r>
    </w:p>
    <w:p w14:paraId="5D5B61E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GSS. (2021). Ghana Statistical Service (GSS). </w:t>
      </w:r>
      <w:r w:rsidRPr="00E2630C">
        <w:rPr>
          <w:rFonts w:ascii="Times New Roman" w:eastAsia="Times New Roman" w:hAnsi="Times New Roman" w:cs="Times New Roman"/>
          <w:i/>
          <w:iCs/>
          <w:color w:val="000000" w:themeColor="text1"/>
          <w:sz w:val="24"/>
          <w:szCs w:val="24"/>
        </w:rPr>
        <w:t>Ghana Statistical Service, 2021</w:t>
      </w:r>
      <w:r w:rsidRPr="00E2630C">
        <w:rPr>
          <w:rFonts w:ascii="Times New Roman" w:eastAsia="Times New Roman" w:hAnsi="Times New Roman" w:cs="Times New Roman"/>
          <w:color w:val="000000" w:themeColor="text1"/>
          <w:sz w:val="24"/>
          <w:szCs w:val="24"/>
        </w:rPr>
        <w:t>.</w:t>
      </w:r>
    </w:p>
    <w:p w14:paraId="15C81B1D"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Gyader, G., Libanus, S., &amp; Baaberihin, S. (2020). Examining the effects of chieftaincy disputes in Funsi traditional area in the Upper West of Ghana. </w:t>
      </w:r>
      <w:r w:rsidRPr="00E2630C">
        <w:rPr>
          <w:rFonts w:ascii="Times New Roman" w:eastAsia="Times New Roman" w:hAnsi="Times New Roman" w:cs="Times New Roman"/>
          <w:i/>
          <w:iCs/>
          <w:color w:val="000000" w:themeColor="text1"/>
          <w:sz w:val="24"/>
          <w:szCs w:val="24"/>
        </w:rPr>
        <w:t>Journal of African Political Economy and Development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5</w:t>
      </w:r>
      <w:r w:rsidRPr="00E2630C">
        <w:rPr>
          <w:rFonts w:ascii="Times New Roman" w:eastAsia="Times New Roman" w:hAnsi="Times New Roman" w:cs="Times New Roman"/>
          <w:color w:val="000000" w:themeColor="text1"/>
          <w:sz w:val="24"/>
          <w:szCs w:val="24"/>
        </w:rPr>
        <w:t>(1), 46--69.</w:t>
      </w:r>
    </w:p>
    <w:p w14:paraId="5130DF75" w14:textId="77777777" w:rsidR="00450081"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Gyapong, S. K. (2006). The role of chieftaincy in Ghana’s democratic experiment. </w:t>
      </w:r>
      <w:r w:rsidRPr="00E2630C">
        <w:rPr>
          <w:rFonts w:ascii="Times New Roman" w:eastAsia="Times New Roman" w:hAnsi="Times New Roman" w:cs="Times New Roman"/>
          <w:i/>
          <w:iCs/>
          <w:color w:val="000000" w:themeColor="text1"/>
          <w:sz w:val="24"/>
          <w:szCs w:val="24"/>
        </w:rPr>
        <w:t>Chieftaincy in Ghana: Culture, Governance and Development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w:t>
      </w:r>
      <w:r w:rsidRPr="00E2630C">
        <w:rPr>
          <w:rFonts w:ascii="Times New Roman" w:eastAsia="Times New Roman" w:hAnsi="Times New Roman" w:cs="Times New Roman"/>
          <w:color w:val="000000" w:themeColor="text1"/>
          <w:sz w:val="24"/>
          <w:szCs w:val="24"/>
        </w:rPr>
        <w:t>, 183.</w:t>
      </w:r>
    </w:p>
    <w:p w14:paraId="6B142FAB" w14:textId="77777777" w:rsidR="00450081" w:rsidRPr="00E2630C" w:rsidRDefault="00450081"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Hafeez, K. (2012). </w:t>
      </w:r>
      <w:r w:rsidRPr="00E2630C">
        <w:rPr>
          <w:rFonts w:ascii="Times New Roman" w:hAnsi="Times New Roman" w:cs="Times New Roman"/>
          <w:i/>
          <w:sz w:val="24"/>
          <w:szCs w:val="24"/>
        </w:rPr>
        <w:t>Knowledge management strategies for business development</w:t>
      </w:r>
      <w:r w:rsidRPr="00E2630C">
        <w:rPr>
          <w:rFonts w:ascii="Times New Roman" w:hAnsi="Times New Roman" w:cs="Times New Roman"/>
          <w:sz w:val="24"/>
          <w:szCs w:val="24"/>
        </w:rPr>
        <w:t xml:space="preserve">. Palgrave Macmillan. </w:t>
      </w:r>
      <w:r w:rsidRPr="00E2630C">
        <w:rPr>
          <w:rFonts w:ascii="Times New Roman" w:eastAsia="Times New Roman" w:hAnsi="Times New Roman" w:cs="Times New Roman"/>
          <w:i/>
          <w:iCs/>
          <w:color w:val="000000" w:themeColor="text1"/>
          <w:sz w:val="24"/>
          <w:szCs w:val="24"/>
        </w:rPr>
        <w:t>23</w:t>
      </w:r>
      <w:r w:rsidRPr="00E2630C">
        <w:rPr>
          <w:rFonts w:ascii="Times New Roman" w:eastAsia="Times New Roman" w:hAnsi="Times New Roman" w:cs="Times New Roman"/>
          <w:color w:val="000000" w:themeColor="text1"/>
          <w:sz w:val="24"/>
          <w:szCs w:val="24"/>
        </w:rPr>
        <w:t>(1), 1–5.</w:t>
      </w:r>
    </w:p>
    <w:p w14:paraId="1AF585C0" w14:textId="3CDDBACD" w:rsidR="00450081" w:rsidRPr="00E2630C" w:rsidRDefault="00450081"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Hair, J. F., Black, W. C., Babin, B. J., Anderson, R. E., &amp; Tatham, R. L. (2006). </w:t>
      </w:r>
      <w:r w:rsidRPr="00E2630C">
        <w:rPr>
          <w:rFonts w:ascii="Times New Roman" w:hAnsi="Times New Roman" w:cs="Times New Roman"/>
          <w:i/>
          <w:sz w:val="24"/>
          <w:szCs w:val="24"/>
        </w:rPr>
        <w:t>Multivariate data analysis</w:t>
      </w:r>
      <w:r w:rsidRPr="00E2630C">
        <w:rPr>
          <w:rFonts w:ascii="Times New Roman" w:hAnsi="Times New Roman" w:cs="Times New Roman"/>
          <w:sz w:val="24"/>
          <w:szCs w:val="24"/>
        </w:rPr>
        <w:t xml:space="preserve"> (6th ed.). Pearson Prentice Hall.</w:t>
      </w:r>
    </w:p>
    <w:p w14:paraId="728BB9D6"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Hamourtziadou, L. (2020). Epilogue: Iraq and Its Casualties Today. In </w:t>
      </w:r>
      <w:r w:rsidRPr="00E2630C">
        <w:rPr>
          <w:rFonts w:ascii="Times New Roman" w:eastAsia="Times New Roman" w:hAnsi="Times New Roman" w:cs="Times New Roman"/>
          <w:i/>
          <w:iCs/>
          <w:color w:val="000000" w:themeColor="text1"/>
          <w:sz w:val="24"/>
          <w:szCs w:val="24"/>
        </w:rPr>
        <w:t>Body Count</w:t>
      </w:r>
      <w:r w:rsidRPr="00E2630C">
        <w:rPr>
          <w:rFonts w:ascii="Times New Roman" w:eastAsia="Times New Roman" w:hAnsi="Times New Roman" w:cs="Times New Roman"/>
          <w:color w:val="000000" w:themeColor="text1"/>
          <w:sz w:val="24"/>
          <w:szCs w:val="24"/>
        </w:rPr>
        <w:t xml:space="preserve"> (pp. 181–192). Bristol University Press. https://doi.org/10.51952/9781529206753.con001</w:t>
      </w:r>
    </w:p>
    <w:p w14:paraId="7565485D"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Hampsher-Monk, I. (2010). Democracy and Federation in the Federalist Papers. </w:t>
      </w:r>
      <w:r w:rsidRPr="00E2630C">
        <w:rPr>
          <w:rFonts w:ascii="Times New Roman" w:eastAsia="Times New Roman" w:hAnsi="Times New Roman" w:cs="Times New Roman"/>
          <w:i/>
          <w:iCs/>
          <w:color w:val="000000" w:themeColor="text1"/>
          <w:sz w:val="24"/>
          <w:szCs w:val="24"/>
        </w:rPr>
        <w:t>Federal Democracies</w:t>
      </w:r>
      <w:r w:rsidRPr="00E2630C">
        <w:rPr>
          <w:rFonts w:ascii="Times New Roman" w:eastAsia="Times New Roman" w:hAnsi="Times New Roman" w:cs="Times New Roman"/>
          <w:color w:val="000000" w:themeColor="text1"/>
          <w:sz w:val="24"/>
          <w:szCs w:val="24"/>
        </w:rPr>
        <w:t>, 29--45.</w:t>
      </w:r>
    </w:p>
    <w:p w14:paraId="148B3100" w14:textId="77777777" w:rsidR="0020104E"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Hampson, J. G. (2013). Conflict on the frontier: San rock art, spirituality, and historical narrative in the Free State Province, South Africa. In </w:t>
      </w:r>
      <w:r w:rsidRPr="00E2630C">
        <w:rPr>
          <w:rFonts w:ascii="Times New Roman" w:eastAsia="Times New Roman" w:hAnsi="Times New Roman" w:cs="Times New Roman"/>
          <w:i/>
          <w:iCs/>
          <w:color w:val="000000" w:themeColor="text1"/>
          <w:sz w:val="24"/>
          <w:szCs w:val="24"/>
        </w:rPr>
        <w:t>Rock art and sacred landscapes</w:t>
      </w:r>
      <w:r w:rsidRPr="00E2630C">
        <w:rPr>
          <w:rFonts w:ascii="Times New Roman" w:eastAsia="Times New Roman" w:hAnsi="Times New Roman" w:cs="Times New Roman"/>
          <w:color w:val="000000" w:themeColor="text1"/>
          <w:sz w:val="24"/>
          <w:szCs w:val="24"/>
        </w:rPr>
        <w:t xml:space="preserve"> (pp. 103--115). Springer.</w:t>
      </w:r>
    </w:p>
    <w:p w14:paraId="762456E7" w14:textId="77777777" w:rsidR="0020104E" w:rsidRPr="00E2630C" w:rsidRDefault="0020104E"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shd w:val="clear" w:color="auto" w:fill="FFFFFF"/>
        </w:rPr>
        <w:t>Hamourtziadou, L. (2020). Introduction: Human Security and the Emergence of Body Counts. In</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Body Count</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color w:val="000000" w:themeColor="text1"/>
          <w:sz w:val="24"/>
          <w:szCs w:val="24"/>
          <w:shd w:val="clear" w:color="auto" w:fill="FFFFFF"/>
        </w:rPr>
        <w:t>(pp. 1-16). Bristol University Press.</w:t>
      </w:r>
    </w:p>
    <w:p w14:paraId="6C40D9AC" w14:textId="7A5A4FA2" w:rsidR="0020104E" w:rsidRPr="00E2630C" w:rsidRDefault="0020104E"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shd w:val="clear" w:color="auto" w:fill="FFFFFF"/>
        </w:rPr>
        <w:t>Hair, E., Halle, T., Terry-Humen, E., Lavelle, B., &amp; Calkins, J. (2006). Children's school readiness in the ECLS-K: Predictions to academic, health, and social outcomes in first grade.</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Early Childhood Research Quarterly</w:t>
      </w:r>
      <w:r w:rsidRPr="00E2630C">
        <w:rPr>
          <w:rFonts w:ascii="Times New Roman" w:hAnsi="Times New Roman" w:cs="Times New Roman"/>
          <w:color w:val="000000" w:themeColor="text1"/>
          <w:sz w:val="24"/>
          <w:szCs w:val="24"/>
          <w:shd w:val="clear" w:color="auto" w:fill="FFFFFF"/>
        </w:rPr>
        <w:t>,</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21</w:t>
      </w:r>
      <w:r w:rsidRPr="00E2630C">
        <w:rPr>
          <w:rFonts w:ascii="Times New Roman" w:hAnsi="Times New Roman" w:cs="Times New Roman"/>
          <w:color w:val="000000" w:themeColor="text1"/>
          <w:sz w:val="24"/>
          <w:szCs w:val="24"/>
          <w:shd w:val="clear" w:color="auto" w:fill="FFFFFF"/>
        </w:rPr>
        <w:t>(4), 431-454.</w:t>
      </w:r>
    </w:p>
    <w:p w14:paraId="1F87869F"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Higazi, A. (2004). Policy levers in Ghana. </w:t>
      </w:r>
      <w:r w:rsidRPr="00E2630C">
        <w:rPr>
          <w:rFonts w:ascii="Times New Roman" w:eastAsia="Times New Roman" w:hAnsi="Times New Roman" w:cs="Times New Roman"/>
          <w:i/>
          <w:iCs/>
          <w:color w:val="000000" w:themeColor="text1"/>
          <w:sz w:val="24"/>
          <w:szCs w:val="24"/>
        </w:rPr>
        <w:t>Centre for Research on Inequality, Human Security and Ethnicity, CRISE. Queen Elizabeth House, University of Oxford. London: UK</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2004</w:t>
      </w:r>
      <w:r w:rsidRPr="00E2630C">
        <w:rPr>
          <w:rFonts w:ascii="Times New Roman" w:eastAsia="Times New Roman" w:hAnsi="Times New Roman" w:cs="Times New Roman"/>
          <w:color w:val="000000" w:themeColor="text1"/>
          <w:sz w:val="24"/>
          <w:szCs w:val="24"/>
        </w:rPr>
        <w:t>(6).</w:t>
      </w:r>
    </w:p>
    <w:p w14:paraId="2D4455D5"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Ho, J. Y. (2019). The Contemporary American Drug Overdose Epidemic in International Perspective. </w:t>
      </w:r>
      <w:r w:rsidRPr="00E2630C">
        <w:rPr>
          <w:rFonts w:ascii="Times New Roman" w:eastAsia="Times New Roman" w:hAnsi="Times New Roman" w:cs="Times New Roman"/>
          <w:i/>
          <w:iCs/>
          <w:color w:val="000000" w:themeColor="text1"/>
          <w:sz w:val="24"/>
          <w:szCs w:val="24"/>
        </w:rPr>
        <w:t>Population and Development Review</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45</w:t>
      </w:r>
      <w:r w:rsidRPr="00E2630C">
        <w:rPr>
          <w:rFonts w:ascii="Times New Roman" w:eastAsia="Times New Roman" w:hAnsi="Times New Roman" w:cs="Times New Roman"/>
          <w:color w:val="000000" w:themeColor="text1"/>
          <w:sz w:val="24"/>
          <w:szCs w:val="24"/>
        </w:rPr>
        <w:t>(1), 7–40. https://doi.org/10.1111/padr.12228</w:t>
      </w:r>
    </w:p>
    <w:p w14:paraId="319D9E9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Hobbes, T. (1998). </w:t>
      </w:r>
      <w:r w:rsidRPr="00E2630C">
        <w:rPr>
          <w:rFonts w:ascii="Times New Roman" w:eastAsia="Times New Roman" w:hAnsi="Times New Roman" w:cs="Times New Roman"/>
          <w:i/>
          <w:iCs/>
          <w:color w:val="000000" w:themeColor="text1"/>
          <w:sz w:val="24"/>
          <w:szCs w:val="24"/>
        </w:rPr>
        <w:t>Hobbes: On the citizen</w:t>
      </w:r>
      <w:r w:rsidRPr="00E2630C">
        <w:rPr>
          <w:rFonts w:ascii="Times New Roman" w:eastAsia="Times New Roman" w:hAnsi="Times New Roman" w:cs="Times New Roman"/>
          <w:color w:val="000000" w:themeColor="text1"/>
          <w:sz w:val="24"/>
          <w:szCs w:val="24"/>
        </w:rPr>
        <w:t>. Cambridge University Press.</w:t>
      </w:r>
    </w:p>
    <w:p w14:paraId="06D95136"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Hoeffler, A. (2017). What are the costs of violence? </w:t>
      </w:r>
      <w:r w:rsidRPr="00E2630C">
        <w:rPr>
          <w:rFonts w:ascii="Times New Roman" w:eastAsia="Times New Roman" w:hAnsi="Times New Roman" w:cs="Times New Roman"/>
          <w:i/>
          <w:iCs/>
          <w:color w:val="000000" w:themeColor="text1"/>
          <w:sz w:val="24"/>
          <w:szCs w:val="24"/>
        </w:rPr>
        <w:t>Politics, Philosophy &amp; Economics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16</w:t>
      </w:r>
      <w:r w:rsidRPr="00E2630C">
        <w:rPr>
          <w:rFonts w:ascii="Times New Roman" w:eastAsia="Times New Roman" w:hAnsi="Times New Roman" w:cs="Times New Roman"/>
          <w:color w:val="000000" w:themeColor="text1"/>
          <w:sz w:val="24"/>
          <w:szCs w:val="24"/>
        </w:rPr>
        <w:t>(4), 422–445. https://doi.org/10.1177/1470594X17714270</w:t>
      </w:r>
    </w:p>
    <w:p w14:paraId="5A0D35FE"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Honyenuga, B. Q., &amp; Wutoh, E. H. (2019). Ghana’s decentralized governance system: the role of Chiefs. </w:t>
      </w:r>
      <w:r w:rsidRPr="00E2630C">
        <w:rPr>
          <w:rFonts w:ascii="Times New Roman" w:eastAsia="Times New Roman" w:hAnsi="Times New Roman" w:cs="Times New Roman"/>
          <w:i/>
          <w:iCs/>
          <w:color w:val="000000" w:themeColor="text1"/>
          <w:sz w:val="24"/>
          <w:szCs w:val="24"/>
        </w:rPr>
        <w:t>International Journal of Public Leadership</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15</w:t>
      </w:r>
      <w:r w:rsidRPr="00E2630C">
        <w:rPr>
          <w:rFonts w:ascii="Times New Roman" w:eastAsia="Times New Roman" w:hAnsi="Times New Roman" w:cs="Times New Roman"/>
          <w:color w:val="000000" w:themeColor="text1"/>
          <w:sz w:val="24"/>
          <w:szCs w:val="24"/>
        </w:rPr>
        <w:t>(1), 2–18. https://doi.org/10.1108/IJPL-01-2018-0005</w:t>
      </w:r>
    </w:p>
    <w:p w14:paraId="7826D209" w14:textId="77777777" w:rsidR="00450081" w:rsidRPr="00DD112B"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Hutchful, E., Asamoah Agyekum, H., &amp; Kunbour, B. (2021). Ghana: The Military in Transition from Praetorianism to Democratic Control. In </w:t>
      </w:r>
      <w:r w:rsidRPr="00E2630C">
        <w:rPr>
          <w:rFonts w:ascii="Times New Roman" w:eastAsia="Times New Roman" w:hAnsi="Times New Roman" w:cs="Times New Roman"/>
          <w:i/>
          <w:iCs/>
          <w:color w:val="000000" w:themeColor="text1"/>
          <w:sz w:val="24"/>
          <w:szCs w:val="24"/>
        </w:rPr>
        <w:t>Oxford Research Encyclopedia of Politics</w:t>
      </w:r>
      <w:r w:rsidRPr="00E2630C">
        <w:rPr>
          <w:rFonts w:ascii="Times New Roman" w:eastAsia="Times New Roman" w:hAnsi="Times New Roman" w:cs="Times New Roman"/>
          <w:color w:val="000000" w:themeColor="text1"/>
          <w:sz w:val="24"/>
          <w:szCs w:val="24"/>
        </w:rPr>
        <w:t xml:space="preserve">. Oxford University Press. </w:t>
      </w:r>
      <w:hyperlink r:id="rId15" w:history="1">
        <w:r w:rsidR="00450081" w:rsidRPr="00DD112B">
          <w:rPr>
            <w:rStyle w:val="Hyperlink"/>
            <w:rFonts w:ascii="Times New Roman" w:eastAsia="Times New Roman" w:hAnsi="Times New Roman" w:cs="Times New Roman"/>
            <w:color w:val="000000" w:themeColor="text1"/>
            <w:sz w:val="24"/>
            <w:szCs w:val="24"/>
            <w:u w:val="none"/>
          </w:rPr>
          <w:t>https://doi.org/10.1093/acrefore/9780190228637.013.1820</w:t>
        </w:r>
      </w:hyperlink>
    </w:p>
    <w:p w14:paraId="6BB56A30" w14:textId="77777777" w:rsidR="00450081" w:rsidRPr="00E2630C" w:rsidRDefault="00450081" w:rsidP="001B7AD4">
      <w:pPr>
        <w:autoSpaceDE w:val="0"/>
        <w:autoSpaceDN w:val="0"/>
        <w:ind w:left="450" w:hanging="480"/>
        <w:jc w:val="both"/>
        <w:rPr>
          <w:rFonts w:ascii="Times New Roman" w:hAnsi="Times New Roman" w:cs="Times New Roman"/>
          <w:sz w:val="24"/>
          <w:szCs w:val="24"/>
        </w:rPr>
      </w:pPr>
      <w:r w:rsidRPr="00E2630C">
        <w:rPr>
          <w:rFonts w:ascii="Times New Roman" w:hAnsi="Times New Roman" w:cs="Times New Roman"/>
          <w:sz w:val="24"/>
          <w:szCs w:val="24"/>
        </w:rPr>
        <w:t xml:space="preserve">Human Development Report (HDR). (2021). </w:t>
      </w:r>
      <w:r w:rsidRPr="00E2630C">
        <w:rPr>
          <w:rFonts w:ascii="Times New Roman" w:hAnsi="Times New Roman" w:cs="Times New Roman"/>
          <w:i/>
          <w:sz w:val="24"/>
          <w:szCs w:val="24"/>
        </w:rPr>
        <w:t>Human development report 2021: The next frontier – Human development and the Anthropocene</w:t>
      </w:r>
      <w:r w:rsidRPr="00E2630C">
        <w:rPr>
          <w:rFonts w:ascii="Times New Roman" w:hAnsi="Times New Roman" w:cs="Times New Roman"/>
          <w:sz w:val="24"/>
          <w:szCs w:val="24"/>
        </w:rPr>
        <w:t>. United Nations Development Programme.</w:t>
      </w:r>
    </w:p>
    <w:p w14:paraId="00CDA9D6" w14:textId="11849EFE" w:rsidR="00450081" w:rsidRPr="00E2630C" w:rsidRDefault="00450081" w:rsidP="001B7AD4">
      <w:pPr>
        <w:autoSpaceDE w:val="0"/>
        <w:autoSpaceDN w:val="0"/>
        <w:ind w:left="450" w:hanging="480"/>
        <w:jc w:val="both"/>
        <w:rPr>
          <w:rFonts w:ascii="Times New Roman" w:hAnsi="Times New Roman" w:cs="Times New Roman"/>
          <w:sz w:val="24"/>
          <w:szCs w:val="24"/>
        </w:rPr>
      </w:pPr>
      <w:r w:rsidRPr="00E2630C">
        <w:rPr>
          <w:rFonts w:ascii="Times New Roman" w:hAnsi="Times New Roman" w:cs="Times New Roman"/>
          <w:sz w:val="24"/>
          <w:szCs w:val="24"/>
        </w:rPr>
        <w:t xml:space="preserve">International Criminal Court (ICC). (2019). </w:t>
      </w:r>
      <w:r w:rsidRPr="00E2630C">
        <w:rPr>
          <w:rFonts w:ascii="Times New Roman" w:hAnsi="Times New Roman" w:cs="Times New Roman"/>
          <w:i/>
          <w:sz w:val="24"/>
          <w:szCs w:val="24"/>
        </w:rPr>
        <w:t>ICC annual report on activities and challenges</w:t>
      </w:r>
      <w:r w:rsidRPr="00E2630C">
        <w:rPr>
          <w:rFonts w:ascii="Times New Roman" w:hAnsi="Times New Roman" w:cs="Times New Roman"/>
          <w:sz w:val="24"/>
          <w:szCs w:val="24"/>
        </w:rPr>
        <w:t>. International Criminal Court.</w:t>
      </w:r>
    </w:p>
    <w:p w14:paraId="446ED2E2" w14:textId="77777777" w:rsidR="00450081"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Imbusch, P., Michel, M., &amp; Fernando, C. (2011). iolence research in Latin America and the Caribbean: A literature review. </w:t>
      </w:r>
      <w:r w:rsidRPr="00E2630C">
        <w:rPr>
          <w:rFonts w:ascii="Times New Roman" w:eastAsia="Times New Roman" w:hAnsi="Times New Roman" w:cs="Times New Roman"/>
          <w:i/>
          <w:iCs/>
          <w:color w:val="000000" w:themeColor="text1"/>
          <w:sz w:val="24"/>
          <w:szCs w:val="24"/>
        </w:rPr>
        <w:t>International Journal of Conflict and Violence (IJCV)</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5</w:t>
      </w:r>
      <w:r w:rsidRPr="00E2630C">
        <w:rPr>
          <w:rFonts w:ascii="Times New Roman" w:eastAsia="Times New Roman" w:hAnsi="Times New Roman" w:cs="Times New Roman"/>
          <w:color w:val="000000" w:themeColor="text1"/>
          <w:sz w:val="24"/>
          <w:szCs w:val="24"/>
        </w:rPr>
        <w:t>(1), 87–154.</w:t>
      </w:r>
    </w:p>
    <w:p w14:paraId="3A41AD13" w14:textId="6A9CFFD7" w:rsidR="00450081" w:rsidRPr="00E2630C" w:rsidRDefault="00450081"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Interpeace. (2023). B</w:t>
      </w:r>
      <w:r w:rsidRPr="00E2630C">
        <w:rPr>
          <w:rStyle w:val="Emphasis"/>
          <w:rFonts w:ascii="Times New Roman" w:hAnsi="Times New Roman" w:cs="Times New Roman"/>
          <w:sz w:val="24"/>
          <w:szCs w:val="24"/>
        </w:rPr>
        <w:t>uilding peace from within: Strategies for resilience and conflict prevention</w:t>
      </w:r>
      <w:r w:rsidRPr="00E2630C">
        <w:rPr>
          <w:rFonts w:ascii="Times New Roman" w:hAnsi="Times New Roman" w:cs="Times New Roman"/>
          <w:sz w:val="24"/>
          <w:szCs w:val="24"/>
        </w:rPr>
        <w:t>. Interpeace.</w:t>
      </w:r>
    </w:p>
    <w:p w14:paraId="6BB14E6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Issifu, A. K. (2015). An analysis of conflicts in Ghana: The case of Dagbon chieftaincy. </w:t>
      </w:r>
      <w:r w:rsidRPr="00E2630C">
        <w:rPr>
          <w:rFonts w:ascii="Times New Roman" w:eastAsia="Times New Roman" w:hAnsi="Times New Roman" w:cs="Times New Roman"/>
          <w:i/>
          <w:iCs/>
          <w:color w:val="000000" w:themeColor="text1"/>
          <w:sz w:val="24"/>
          <w:szCs w:val="24"/>
        </w:rPr>
        <w:t>The Journal of Pan African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8</w:t>
      </w:r>
      <w:r w:rsidRPr="00E2630C">
        <w:rPr>
          <w:rFonts w:ascii="Times New Roman" w:eastAsia="Times New Roman" w:hAnsi="Times New Roman" w:cs="Times New Roman"/>
          <w:color w:val="000000" w:themeColor="text1"/>
          <w:sz w:val="24"/>
          <w:szCs w:val="24"/>
        </w:rPr>
        <w:t>(6), 28–44.</w:t>
      </w:r>
    </w:p>
    <w:p w14:paraId="0C1933F7"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Jabeen, S., Mahmood, Q., &amp; Nawab, B. (2020). High economic impacts of poor water and sanitation in various communities in Pakistan (an environmental economic perspective). </w:t>
      </w:r>
      <w:r w:rsidRPr="00E2630C">
        <w:rPr>
          <w:rFonts w:ascii="Times New Roman" w:eastAsia="Times New Roman" w:hAnsi="Times New Roman" w:cs="Times New Roman"/>
          <w:i/>
          <w:iCs/>
          <w:color w:val="000000" w:themeColor="text1"/>
          <w:sz w:val="24"/>
          <w:szCs w:val="24"/>
        </w:rPr>
        <w:t>Central Asian Journal of Environmental Science and Technology Innovation</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w:t>
      </w:r>
      <w:r w:rsidRPr="00E2630C">
        <w:rPr>
          <w:rFonts w:ascii="Times New Roman" w:eastAsia="Times New Roman" w:hAnsi="Times New Roman" w:cs="Times New Roman"/>
          <w:color w:val="000000" w:themeColor="text1"/>
          <w:sz w:val="24"/>
          <w:szCs w:val="24"/>
        </w:rPr>
        <w:t>(1), 53–60. https://doi.org/10.22034/CAJESTI.2020.01.06</w:t>
      </w:r>
    </w:p>
    <w:p w14:paraId="3DEB31EB"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Kallinen, T. (2004). </w:t>
      </w:r>
      <w:r w:rsidRPr="00E2630C">
        <w:rPr>
          <w:rFonts w:ascii="Times New Roman" w:eastAsia="Times New Roman" w:hAnsi="Times New Roman" w:cs="Times New Roman"/>
          <w:i/>
          <w:iCs/>
          <w:color w:val="000000" w:themeColor="text1"/>
          <w:sz w:val="24"/>
          <w:szCs w:val="24"/>
        </w:rPr>
        <w:t>Some Chiefs are ‘more under’ than others</w:t>
      </w:r>
      <w:r w:rsidRPr="00E2630C">
        <w:rPr>
          <w:rFonts w:ascii="Times New Roman" w:eastAsia="Times New Roman" w:hAnsi="Times New Roman" w:cs="Times New Roman"/>
          <w:color w:val="000000" w:themeColor="text1"/>
          <w:sz w:val="24"/>
          <w:szCs w:val="24"/>
        </w:rPr>
        <w:t>. University of Helsinki, .</w:t>
      </w:r>
    </w:p>
    <w:p w14:paraId="02E6DE2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Kamiński, M. A. (2019). Intelligence Sources in the Process of Collection of Information by the US Intelligence Community. </w:t>
      </w:r>
      <w:r w:rsidRPr="00E2630C">
        <w:rPr>
          <w:rFonts w:ascii="Times New Roman" w:eastAsia="Times New Roman" w:hAnsi="Times New Roman" w:cs="Times New Roman"/>
          <w:i/>
          <w:iCs/>
          <w:color w:val="000000" w:themeColor="text1"/>
          <w:sz w:val="24"/>
          <w:szCs w:val="24"/>
        </w:rPr>
        <w:t>Security Dimensions. International and National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32</w:t>
      </w:r>
      <w:r w:rsidRPr="00E2630C">
        <w:rPr>
          <w:rFonts w:ascii="Times New Roman" w:eastAsia="Times New Roman" w:hAnsi="Times New Roman" w:cs="Times New Roman"/>
          <w:color w:val="000000" w:themeColor="text1"/>
          <w:sz w:val="24"/>
          <w:szCs w:val="24"/>
        </w:rPr>
        <w:t>, 82--105.</w:t>
      </w:r>
    </w:p>
    <w:p w14:paraId="6DE4AF6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Kapur, S., &amp; Mabon, S. (2018). The Copenhagen School goes global: securitisation in the Non-West. </w:t>
      </w:r>
      <w:r w:rsidRPr="00E2630C">
        <w:rPr>
          <w:rFonts w:ascii="Times New Roman" w:eastAsia="Times New Roman" w:hAnsi="Times New Roman" w:cs="Times New Roman"/>
          <w:i/>
          <w:iCs/>
          <w:color w:val="000000" w:themeColor="text1"/>
          <w:sz w:val="24"/>
          <w:szCs w:val="24"/>
        </w:rPr>
        <w:t>Global Discourse</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8</w:t>
      </w:r>
      <w:r w:rsidRPr="00E2630C">
        <w:rPr>
          <w:rFonts w:ascii="Times New Roman" w:eastAsia="Times New Roman" w:hAnsi="Times New Roman" w:cs="Times New Roman"/>
          <w:color w:val="000000" w:themeColor="text1"/>
          <w:sz w:val="24"/>
          <w:szCs w:val="24"/>
        </w:rPr>
        <w:t>(1), 1–4. https://doi.org/10.1080/23269995.2018.1424686</w:t>
      </w:r>
    </w:p>
    <w:p w14:paraId="792A7961"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Keenan, J. (2023). Peoples of the Sahara. In </w:t>
      </w:r>
      <w:r w:rsidRPr="00E2630C">
        <w:rPr>
          <w:rFonts w:ascii="Times New Roman" w:eastAsia="Times New Roman" w:hAnsi="Times New Roman" w:cs="Times New Roman"/>
          <w:i/>
          <w:iCs/>
          <w:color w:val="000000" w:themeColor="text1"/>
          <w:sz w:val="24"/>
          <w:szCs w:val="24"/>
        </w:rPr>
        <w:t>Routledge Handbook on the Modern Maghrib</w:t>
      </w:r>
      <w:r w:rsidRPr="00E2630C">
        <w:rPr>
          <w:rFonts w:ascii="Times New Roman" w:eastAsia="Times New Roman" w:hAnsi="Times New Roman" w:cs="Times New Roman"/>
          <w:color w:val="000000" w:themeColor="text1"/>
          <w:sz w:val="24"/>
          <w:szCs w:val="24"/>
        </w:rPr>
        <w:t xml:space="preserve"> (pp. 225--253). Routledge.</w:t>
      </w:r>
    </w:p>
    <w:p w14:paraId="75C26BBC" w14:textId="77777777" w:rsidR="00450081"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Keese, Alexander. (2011). Understanding colonial chieftaincy from its final phase. </w:t>
      </w:r>
      <w:r w:rsidRPr="00E2630C">
        <w:rPr>
          <w:rFonts w:ascii="Times New Roman" w:eastAsia="Times New Roman" w:hAnsi="Times New Roman" w:cs="Times New Roman"/>
          <w:i/>
          <w:iCs/>
          <w:color w:val="000000" w:themeColor="text1"/>
          <w:sz w:val="24"/>
          <w:szCs w:val="24"/>
        </w:rPr>
        <w:t>Africana Studia</w:t>
      </w:r>
      <w:r w:rsidRPr="00E2630C">
        <w:rPr>
          <w:rFonts w:ascii="Times New Roman" w:eastAsia="Times New Roman" w:hAnsi="Times New Roman" w:cs="Times New Roman"/>
          <w:color w:val="000000" w:themeColor="text1"/>
          <w:sz w:val="24"/>
          <w:szCs w:val="24"/>
        </w:rPr>
        <w:t>, 11–28.</w:t>
      </w:r>
    </w:p>
    <w:p w14:paraId="0DA56B29" w14:textId="68398B25" w:rsidR="00450081" w:rsidRPr="00E2630C" w:rsidRDefault="00450081"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Kendie, S. B., &amp; Bukari, K. N. (2012). </w:t>
      </w:r>
      <w:r w:rsidRPr="00E2630C">
        <w:rPr>
          <w:rFonts w:ascii="Times New Roman" w:hAnsi="Times New Roman" w:cs="Times New Roman"/>
          <w:i/>
          <w:sz w:val="24"/>
          <w:szCs w:val="24"/>
        </w:rPr>
        <w:t>Conflict and peacebuilding in Ghana: The role of civil society organizations in conflict management</w:t>
      </w:r>
      <w:r w:rsidRPr="00E2630C">
        <w:rPr>
          <w:rFonts w:ascii="Times New Roman" w:hAnsi="Times New Roman" w:cs="Times New Roman"/>
          <w:sz w:val="24"/>
          <w:szCs w:val="24"/>
        </w:rPr>
        <w:t>. University for Development Studies Press.</w:t>
      </w:r>
    </w:p>
    <w:p w14:paraId="50CBF3A8"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Kester, J., &amp; Winter, J. (2017). Pentagon report: IEDs surge in Afghanistan. </w:t>
      </w:r>
      <w:r w:rsidRPr="00E2630C">
        <w:rPr>
          <w:rFonts w:ascii="Times New Roman" w:eastAsia="Times New Roman" w:hAnsi="Times New Roman" w:cs="Times New Roman"/>
          <w:i/>
          <w:iCs/>
          <w:color w:val="000000" w:themeColor="text1"/>
          <w:sz w:val="24"/>
          <w:szCs w:val="24"/>
        </w:rPr>
        <w:t>Foreign Policy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20</w:t>
      </w:r>
      <w:r w:rsidRPr="00E2630C">
        <w:rPr>
          <w:rFonts w:ascii="Times New Roman" w:eastAsia="Times New Roman" w:hAnsi="Times New Roman" w:cs="Times New Roman"/>
          <w:color w:val="000000" w:themeColor="text1"/>
          <w:sz w:val="24"/>
          <w:szCs w:val="24"/>
        </w:rPr>
        <w:t>.</w:t>
      </w:r>
    </w:p>
    <w:p w14:paraId="3B4F585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Kimble, D. P. (1963). The effects of bilateral hippocampal lesions in rats. </w:t>
      </w:r>
      <w:r w:rsidRPr="00E2630C">
        <w:rPr>
          <w:rFonts w:ascii="Times New Roman" w:eastAsia="Times New Roman" w:hAnsi="Times New Roman" w:cs="Times New Roman"/>
          <w:i/>
          <w:iCs/>
          <w:color w:val="000000" w:themeColor="text1"/>
          <w:sz w:val="24"/>
          <w:szCs w:val="24"/>
        </w:rPr>
        <w:t>Journal of Comparative and Physiological Psychology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56</w:t>
      </w:r>
      <w:r w:rsidRPr="00E2630C">
        <w:rPr>
          <w:rFonts w:ascii="Times New Roman" w:eastAsia="Times New Roman" w:hAnsi="Times New Roman" w:cs="Times New Roman"/>
          <w:color w:val="000000" w:themeColor="text1"/>
          <w:sz w:val="24"/>
          <w:szCs w:val="24"/>
        </w:rPr>
        <w:t>(2), 273.</w:t>
      </w:r>
    </w:p>
    <w:p w14:paraId="6DFDA393" w14:textId="3B69F2B4" w:rsidR="00CD3724"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Kleist, N. (2011). Modern chiefs: Tradition, development and return among traditional authorities in Ghana. </w:t>
      </w:r>
      <w:r w:rsidRPr="00E2630C">
        <w:rPr>
          <w:rFonts w:ascii="Times New Roman" w:eastAsia="Times New Roman" w:hAnsi="Times New Roman" w:cs="Times New Roman"/>
          <w:i/>
          <w:iCs/>
          <w:color w:val="000000" w:themeColor="text1"/>
          <w:sz w:val="24"/>
          <w:szCs w:val="24"/>
        </w:rPr>
        <w:t>African Affairs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110</w:t>
      </w:r>
      <w:r w:rsidRPr="00E2630C">
        <w:rPr>
          <w:rFonts w:ascii="Times New Roman" w:eastAsia="Times New Roman" w:hAnsi="Times New Roman" w:cs="Times New Roman"/>
          <w:color w:val="000000" w:themeColor="text1"/>
          <w:sz w:val="24"/>
          <w:szCs w:val="24"/>
        </w:rPr>
        <w:t>(441), 629–647.</w:t>
      </w:r>
    </w:p>
    <w:p w14:paraId="6A90B463" w14:textId="4C65215E" w:rsidR="001B7AD4" w:rsidRDefault="001B7AD4" w:rsidP="001B7AD4">
      <w:pPr>
        <w:autoSpaceDE w:val="0"/>
        <w:autoSpaceDN w:val="0"/>
        <w:ind w:left="450" w:hanging="480"/>
        <w:jc w:val="both"/>
        <w:rPr>
          <w:rFonts w:ascii="Times New Roman" w:eastAsia="Times New Roman" w:hAnsi="Times New Roman" w:cs="Times New Roman"/>
          <w:color w:val="000000" w:themeColor="text1"/>
          <w:sz w:val="24"/>
          <w:szCs w:val="24"/>
        </w:rPr>
      </w:pPr>
    </w:p>
    <w:p w14:paraId="5EBDE019" w14:textId="77777777" w:rsidR="001B7AD4" w:rsidRPr="00E2630C" w:rsidRDefault="001B7AD4" w:rsidP="001B7AD4">
      <w:pPr>
        <w:autoSpaceDE w:val="0"/>
        <w:autoSpaceDN w:val="0"/>
        <w:ind w:left="450" w:hanging="480"/>
        <w:jc w:val="both"/>
        <w:rPr>
          <w:rFonts w:ascii="Times New Roman" w:eastAsia="Times New Roman" w:hAnsi="Times New Roman" w:cs="Times New Roman"/>
          <w:color w:val="000000" w:themeColor="text1"/>
          <w:sz w:val="24"/>
          <w:szCs w:val="24"/>
        </w:rPr>
      </w:pPr>
    </w:p>
    <w:p w14:paraId="36793CA8"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Knierzinger, J. (2011). Chieftaincy and development in Ghana: From political intermediaries to neotraditional development brokers. </w:t>
      </w:r>
      <w:r w:rsidRPr="00E2630C">
        <w:rPr>
          <w:rFonts w:ascii="Times New Roman" w:eastAsia="Times New Roman" w:hAnsi="Times New Roman" w:cs="Times New Roman"/>
          <w:i/>
          <w:iCs/>
          <w:color w:val="000000" w:themeColor="text1"/>
          <w:sz w:val="24"/>
          <w:szCs w:val="24"/>
        </w:rPr>
        <w:t>Department of Anthropology and African Studies of the Johannes Gutenberg University Mainz</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124</w:t>
      </w:r>
      <w:r w:rsidRPr="00E2630C">
        <w:rPr>
          <w:rFonts w:ascii="Times New Roman" w:eastAsia="Times New Roman" w:hAnsi="Times New Roman" w:cs="Times New Roman"/>
          <w:color w:val="000000" w:themeColor="text1"/>
          <w:sz w:val="24"/>
          <w:szCs w:val="24"/>
        </w:rPr>
        <w:t>.</w:t>
      </w:r>
    </w:p>
    <w:p w14:paraId="6418D56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Koorey, S., &amp; Persi, V. L. (2020). Civil Society Coalitions and the Humanitarian Campaigns to Ban Landmines and Cluster Munitions. </w:t>
      </w:r>
      <w:r w:rsidRPr="00E2630C">
        <w:rPr>
          <w:rFonts w:ascii="Times New Roman" w:eastAsia="Times New Roman" w:hAnsi="Times New Roman" w:cs="Times New Roman"/>
          <w:i/>
          <w:iCs/>
          <w:color w:val="000000" w:themeColor="text1"/>
          <w:sz w:val="24"/>
          <w:szCs w:val="24"/>
        </w:rPr>
        <w:t>Human Rights in War</w:t>
      </w:r>
      <w:r w:rsidRPr="00E2630C">
        <w:rPr>
          <w:rFonts w:ascii="Times New Roman" w:eastAsia="Times New Roman" w:hAnsi="Times New Roman" w:cs="Times New Roman"/>
          <w:color w:val="000000" w:themeColor="text1"/>
          <w:sz w:val="24"/>
          <w:szCs w:val="24"/>
        </w:rPr>
        <w:t>, 1--18.</w:t>
      </w:r>
    </w:p>
    <w:p w14:paraId="27C0424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Krause, D., Isak, S., &amp; Göran, L. (2019). Why Is There So Little Shia–Sunni Dialogue? Understanding the Deficit of Intra-Muslim Dialogue and Interreligious Peacemaking †. </w:t>
      </w:r>
      <w:r w:rsidRPr="00E2630C">
        <w:rPr>
          <w:rFonts w:ascii="Times New Roman" w:eastAsia="Times New Roman" w:hAnsi="Times New Roman" w:cs="Times New Roman"/>
          <w:i/>
          <w:iCs/>
          <w:color w:val="000000" w:themeColor="text1"/>
          <w:sz w:val="24"/>
          <w:szCs w:val="24"/>
        </w:rPr>
        <w:t>Religions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10</w:t>
      </w:r>
      <w:r w:rsidRPr="00E2630C">
        <w:rPr>
          <w:rFonts w:ascii="Times New Roman" w:eastAsia="Times New Roman" w:hAnsi="Times New Roman" w:cs="Times New Roman"/>
          <w:color w:val="000000" w:themeColor="text1"/>
          <w:sz w:val="24"/>
          <w:szCs w:val="24"/>
        </w:rPr>
        <w:t>(10), 567. https://doi.org/10.3390/rel10100567</w:t>
      </w:r>
    </w:p>
    <w:p w14:paraId="15BBD140"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Kriesberg, L. (2011). The state of the art on conflict transformation. </w:t>
      </w:r>
      <w:r w:rsidRPr="00E2630C">
        <w:rPr>
          <w:rFonts w:ascii="Times New Roman" w:eastAsia="Times New Roman" w:hAnsi="Times New Roman" w:cs="Times New Roman"/>
          <w:i/>
          <w:iCs/>
          <w:color w:val="000000" w:themeColor="text1"/>
          <w:sz w:val="24"/>
          <w:szCs w:val="24"/>
        </w:rPr>
        <w:t>Berghof Forschungszentrum Fur Konstruktive Konfliktbearbeitung</w:t>
      </w:r>
      <w:r w:rsidRPr="00E2630C">
        <w:rPr>
          <w:rFonts w:ascii="Times New Roman" w:eastAsia="Times New Roman" w:hAnsi="Times New Roman" w:cs="Times New Roman"/>
          <w:color w:val="000000" w:themeColor="text1"/>
          <w:sz w:val="24"/>
          <w:szCs w:val="24"/>
        </w:rPr>
        <w:t>.</w:t>
      </w:r>
    </w:p>
    <w:p w14:paraId="615738D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Kumekpor, T. (2002). Research Methods and Techniques of Social Research. </w:t>
      </w:r>
      <w:r w:rsidRPr="00E2630C">
        <w:rPr>
          <w:rFonts w:ascii="Times New Roman" w:eastAsia="Times New Roman" w:hAnsi="Times New Roman" w:cs="Times New Roman"/>
          <w:i/>
          <w:iCs/>
          <w:color w:val="000000" w:themeColor="text1"/>
          <w:sz w:val="24"/>
          <w:szCs w:val="24"/>
        </w:rPr>
        <w:t xml:space="preserve">SonLife Printing Press and Services. </w:t>
      </w:r>
      <w:r w:rsidRPr="00E2630C">
        <w:rPr>
          <w:rFonts w:ascii="Times New Roman" w:eastAsia="Times New Roman" w:hAnsi="Times New Roman" w:cs="Times New Roman"/>
          <w:color w:val="000000" w:themeColor="text1"/>
          <w:sz w:val="24"/>
          <w:szCs w:val="24"/>
        </w:rPr>
        <w:t>.</w:t>
      </w:r>
    </w:p>
    <w:p w14:paraId="6A2CCA4D" w14:textId="13F8D45D"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Kurtus, R. (2022). Theory of Security</w:t>
      </w:r>
      <w:r w:rsidR="00DD112B" w:rsidRPr="00E2630C">
        <w:rPr>
          <w:rFonts w:ascii="Times New Roman" w:eastAsia="Times New Roman" w:hAnsi="Times New Roman" w:cs="Times New Roman"/>
          <w:color w:val="000000" w:themeColor="text1"/>
          <w:sz w:val="24"/>
          <w:szCs w:val="24"/>
        </w:rPr>
        <w: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School for Champion.</w:t>
      </w:r>
    </w:p>
    <w:p w14:paraId="5359D446"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Lewis, J. I. (2018). When decentralization leads to recentralization: Subnational state transformation in Uganda. </w:t>
      </w:r>
      <w:r w:rsidRPr="00E2630C">
        <w:rPr>
          <w:rFonts w:ascii="Times New Roman" w:eastAsia="Times New Roman" w:hAnsi="Times New Roman" w:cs="Times New Roman"/>
          <w:i/>
          <w:iCs/>
          <w:color w:val="000000" w:themeColor="text1"/>
          <w:sz w:val="24"/>
          <w:szCs w:val="24"/>
        </w:rPr>
        <w:t>Federalism and Decentralization in Sub-Saharan Africa</w:t>
      </w:r>
      <w:r w:rsidRPr="00E2630C">
        <w:rPr>
          <w:rFonts w:ascii="Times New Roman" w:eastAsia="Times New Roman" w:hAnsi="Times New Roman" w:cs="Times New Roman"/>
          <w:color w:val="000000" w:themeColor="text1"/>
          <w:sz w:val="24"/>
          <w:szCs w:val="24"/>
        </w:rPr>
        <w:t>, 37–54.</w:t>
      </w:r>
    </w:p>
    <w:p w14:paraId="38315546"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Lis-Balchin, M. (2012). Lavender. In </w:t>
      </w:r>
      <w:r w:rsidRPr="00E2630C">
        <w:rPr>
          <w:rFonts w:ascii="Times New Roman" w:eastAsia="Times New Roman" w:hAnsi="Times New Roman" w:cs="Times New Roman"/>
          <w:i/>
          <w:iCs/>
          <w:color w:val="000000" w:themeColor="text1"/>
          <w:sz w:val="24"/>
          <w:szCs w:val="24"/>
        </w:rPr>
        <w:t>Handbook of herbs and spices</w:t>
      </w:r>
      <w:r w:rsidRPr="00E2630C">
        <w:rPr>
          <w:rFonts w:ascii="Times New Roman" w:eastAsia="Times New Roman" w:hAnsi="Times New Roman" w:cs="Times New Roman"/>
          <w:color w:val="000000" w:themeColor="text1"/>
          <w:sz w:val="24"/>
          <w:szCs w:val="24"/>
        </w:rPr>
        <w:t xml:space="preserve"> (pp. 329--347). 329--347.</w:t>
      </w:r>
    </w:p>
    <w:p w14:paraId="57A14215"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Maarouf, H. (2019). Pragmatism as a Supportive Paradigm for the Mixed Research Approach: Conceptualizing the Ontological, Epistemological, and Axiological Stances of Pragmatism. </w:t>
      </w:r>
      <w:r w:rsidRPr="00E2630C">
        <w:rPr>
          <w:rFonts w:ascii="Times New Roman" w:eastAsia="Times New Roman" w:hAnsi="Times New Roman" w:cs="Times New Roman"/>
          <w:i/>
          <w:iCs/>
          <w:color w:val="000000" w:themeColor="text1"/>
          <w:sz w:val="24"/>
          <w:szCs w:val="24"/>
        </w:rPr>
        <w:t>International Business Research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12</w:t>
      </w:r>
      <w:r w:rsidRPr="00E2630C">
        <w:rPr>
          <w:rFonts w:ascii="Times New Roman" w:eastAsia="Times New Roman" w:hAnsi="Times New Roman" w:cs="Times New Roman"/>
          <w:color w:val="000000" w:themeColor="text1"/>
          <w:sz w:val="24"/>
          <w:szCs w:val="24"/>
        </w:rPr>
        <w:t>(9), 1. https://doi.org/10.5539/ibr.v12n9p1</w:t>
      </w:r>
    </w:p>
    <w:p w14:paraId="60710FCB"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Majeed, M., Gyimah, P., &amp; Sadik, A. (2023). Sustainability of Indigenous Butchery Business in Ghana. In </w:t>
      </w:r>
      <w:r w:rsidRPr="00E2630C">
        <w:rPr>
          <w:rFonts w:ascii="Times New Roman" w:eastAsia="Times New Roman" w:hAnsi="Times New Roman" w:cs="Times New Roman"/>
          <w:i/>
          <w:iCs/>
          <w:color w:val="000000" w:themeColor="text1"/>
          <w:sz w:val="24"/>
          <w:szCs w:val="24"/>
        </w:rPr>
        <w:t>Casebook of Indigenous Business Practices in Africa</w:t>
      </w:r>
      <w:r w:rsidRPr="00E2630C">
        <w:rPr>
          <w:rFonts w:ascii="Times New Roman" w:eastAsia="Times New Roman" w:hAnsi="Times New Roman" w:cs="Times New Roman"/>
          <w:color w:val="000000" w:themeColor="text1"/>
          <w:sz w:val="24"/>
          <w:szCs w:val="24"/>
        </w:rPr>
        <w:t xml:space="preserve"> (pp. 53--69). Emerald Publishing Limited.</w:t>
      </w:r>
    </w:p>
    <w:p w14:paraId="6C77DBB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Majumdar, M. (2001). Child Labour as a Human Security Problem: Evidence from India. </w:t>
      </w:r>
      <w:r w:rsidRPr="00E2630C">
        <w:rPr>
          <w:rFonts w:ascii="Times New Roman" w:eastAsia="Times New Roman" w:hAnsi="Times New Roman" w:cs="Times New Roman"/>
          <w:i/>
          <w:iCs/>
          <w:color w:val="000000" w:themeColor="text1"/>
          <w:sz w:val="24"/>
          <w:szCs w:val="24"/>
        </w:rPr>
        <w:t>Oxford Development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29</w:t>
      </w:r>
      <w:r w:rsidRPr="00E2630C">
        <w:rPr>
          <w:rFonts w:ascii="Times New Roman" w:eastAsia="Times New Roman" w:hAnsi="Times New Roman" w:cs="Times New Roman"/>
          <w:color w:val="000000" w:themeColor="text1"/>
          <w:sz w:val="24"/>
          <w:szCs w:val="24"/>
        </w:rPr>
        <w:t>(3), 279–304. https://doi.org/10.1080/13600810120088877</w:t>
      </w:r>
    </w:p>
    <w:p w14:paraId="4D354782"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Malnes, R. (1993). The Hobbesian theory of international conflict. </w:t>
      </w:r>
      <w:r w:rsidRPr="00E2630C">
        <w:rPr>
          <w:rFonts w:ascii="Times New Roman" w:eastAsia="Times New Roman" w:hAnsi="Times New Roman" w:cs="Times New Roman"/>
          <w:i/>
          <w:iCs/>
          <w:color w:val="000000" w:themeColor="text1"/>
          <w:sz w:val="24"/>
          <w:szCs w:val="24"/>
        </w:rPr>
        <w:t>Scandinavian University Press</w:t>
      </w:r>
      <w:r w:rsidRPr="00E2630C">
        <w:rPr>
          <w:rFonts w:ascii="Times New Roman" w:eastAsia="Times New Roman" w:hAnsi="Times New Roman" w:cs="Times New Roman"/>
          <w:color w:val="000000" w:themeColor="text1"/>
          <w:sz w:val="24"/>
          <w:szCs w:val="24"/>
        </w:rPr>
        <w:t>.</w:t>
      </w:r>
    </w:p>
    <w:p w14:paraId="10053772"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Manboah-Rockson, J. (2007). Chiefs in Post-Colonial Ghana: exploring different elements of the identity, inequalities and conflicts nexus in the Northern Region. </w:t>
      </w:r>
      <w:r w:rsidRPr="00E2630C">
        <w:rPr>
          <w:rFonts w:ascii="Times New Roman" w:eastAsia="Times New Roman" w:hAnsi="Times New Roman" w:cs="Times New Roman"/>
          <w:i/>
          <w:iCs/>
          <w:color w:val="000000" w:themeColor="text1"/>
          <w:sz w:val="24"/>
          <w:szCs w:val="24"/>
        </w:rPr>
        <w:t>Texas Southern University</w:t>
      </w:r>
      <w:r w:rsidRPr="00E2630C">
        <w:rPr>
          <w:rFonts w:ascii="Times New Roman" w:eastAsia="Times New Roman" w:hAnsi="Times New Roman" w:cs="Times New Roman"/>
          <w:color w:val="000000" w:themeColor="text1"/>
          <w:sz w:val="24"/>
          <w:szCs w:val="24"/>
        </w:rPr>
        <w:t>.</w:t>
      </w:r>
    </w:p>
    <w:p w14:paraId="332CD580"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Marfo, S., Halidu, M., &amp; Aminu, A. (2019). Chieftaincy Conflicts and Food and Livestock Production Challenges: An Examination of the Situation in Bimbilla, Ghana. </w:t>
      </w:r>
      <w:r w:rsidRPr="00E2630C">
        <w:rPr>
          <w:rFonts w:ascii="Times New Roman" w:eastAsia="Times New Roman" w:hAnsi="Times New Roman" w:cs="Times New Roman"/>
          <w:i/>
          <w:iCs/>
          <w:color w:val="000000" w:themeColor="text1"/>
          <w:sz w:val="24"/>
          <w:szCs w:val="24"/>
        </w:rPr>
        <w:t>ADRRI Journal of Arts and Social Sciences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16</w:t>
      </w:r>
      <w:r w:rsidRPr="00E2630C">
        <w:rPr>
          <w:rFonts w:ascii="Times New Roman" w:eastAsia="Times New Roman" w:hAnsi="Times New Roman" w:cs="Times New Roman"/>
          <w:color w:val="000000" w:themeColor="text1"/>
          <w:sz w:val="24"/>
          <w:szCs w:val="24"/>
        </w:rPr>
        <w:t>(7), 11–34.</w:t>
      </w:r>
    </w:p>
    <w:p w14:paraId="5A07551B"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Marfo, S., Halidu, M., &amp; Hamza, M. (2022). Beyond arms investment: Interrogating the silent drivers of protracted chieftaincy conflicts in Ghana. </w:t>
      </w:r>
      <w:r w:rsidRPr="00E2630C">
        <w:rPr>
          <w:rFonts w:ascii="Times New Roman" w:eastAsia="Times New Roman" w:hAnsi="Times New Roman" w:cs="Times New Roman"/>
          <w:i/>
          <w:iCs/>
          <w:color w:val="000000" w:themeColor="text1"/>
          <w:sz w:val="24"/>
          <w:szCs w:val="24"/>
        </w:rPr>
        <w:t>African Journal of Political Science and International Relations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16</w:t>
      </w:r>
      <w:r w:rsidRPr="00E2630C">
        <w:rPr>
          <w:rFonts w:ascii="Times New Roman" w:eastAsia="Times New Roman" w:hAnsi="Times New Roman" w:cs="Times New Roman"/>
          <w:color w:val="000000" w:themeColor="text1"/>
          <w:sz w:val="24"/>
          <w:szCs w:val="24"/>
        </w:rPr>
        <w:t>(1), 1–11. https://doi.org/10.5897/AJPSIR2021.1371</w:t>
      </w:r>
    </w:p>
    <w:p w14:paraId="6658E331"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Marfo, S., &amp; Musah, H. (2018). Examining the Position of the Chieftaincy Institution in Modern Political System of Ghana. </w:t>
      </w:r>
      <w:r w:rsidRPr="00E2630C">
        <w:rPr>
          <w:rFonts w:ascii="Times New Roman" w:eastAsia="Times New Roman" w:hAnsi="Times New Roman" w:cs="Times New Roman"/>
          <w:i/>
          <w:iCs/>
          <w:color w:val="000000" w:themeColor="text1"/>
          <w:sz w:val="24"/>
          <w:szCs w:val="24"/>
        </w:rPr>
        <w:t>Journal of Sociology and Social Work</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6</w:t>
      </w:r>
      <w:r w:rsidRPr="00E2630C">
        <w:rPr>
          <w:rFonts w:ascii="Times New Roman" w:eastAsia="Times New Roman" w:hAnsi="Times New Roman" w:cs="Times New Roman"/>
          <w:color w:val="000000" w:themeColor="text1"/>
          <w:sz w:val="24"/>
          <w:szCs w:val="24"/>
        </w:rPr>
        <w:t>(1). https://doi.org/10.15640/jssw.v6n1a8</w:t>
      </w:r>
    </w:p>
    <w:p w14:paraId="5F470316" w14:textId="77777777" w:rsidR="00A71B75" w:rsidRPr="00E2630C" w:rsidRDefault="00B2764D"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Marfo, S and Osei, B. (2015). Re-thinking child health security: An introspection of exclusive breastfeeding practice in Yonso Area Council. </w:t>
      </w:r>
      <w:r w:rsidRPr="00E2630C">
        <w:rPr>
          <w:rFonts w:ascii="Times New Roman" w:eastAsia="Times New Roman" w:hAnsi="Times New Roman" w:cs="Times New Roman"/>
          <w:i/>
          <w:color w:val="000000" w:themeColor="text1"/>
          <w:sz w:val="24"/>
          <w:szCs w:val="24"/>
        </w:rPr>
        <w:t xml:space="preserve">European Journal of Research in Social Sciences, </w:t>
      </w:r>
      <w:r w:rsidRPr="00E2630C">
        <w:rPr>
          <w:rFonts w:ascii="Times New Roman" w:eastAsia="Times New Roman" w:hAnsi="Times New Roman" w:cs="Times New Roman"/>
          <w:color w:val="000000" w:themeColor="text1"/>
          <w:sz w:val="24"/>
          <w:szCs w:val="24"/>
        </w:rPr>
        <w:t>3(6): 53</w:t>
      </w:r>
      <w:r w:rsidR="00BB0AC4" w:rsidRPr="00E2630C">
        <w:rPr>
          <w:rFonts w:ascii="Times New Roman" w:eastAsia="Times New Roman" w:hAnsi="Times New Roman" w:cs="Times New Roman"/>
          <w:color w:val="000000" w:themeColor="text1"/>
          <w:sz w:val="24"/>
          <w:szCs w:val="24"/>
        </w:rPr>
        <w:t>-</w:t>
      </w:r>
      <w:r w:rsidRPr="00E2630C">
        <w:rPr>
          <w:rFonts w:ascii="Times New Roman" w:eastAsia="Times New Roman" w:hAnsi="Times New Roman" w:cs="Times New Roman"/>
          <w:color w:val="000000" w:themeColor="text1"/>
          <w:sz w:val="24"/>
          <w:szCs w:val="24"/>
        </w:rPr>
        <w:t>62.</w:t>
      </w:r>
    </w:p>
    <w:p w14:paraId="7C5282EB" w14:textId="424E40E1" w:rsidR="0020104E" w:rsidRPr="00E2630C" w:rsidRDefault="0020104E"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shd w:val="clear" w:color="auto" w:fill="FFFFFF"/>
        </w:rPr>
        <w:t>Merriam, S. B., &amp; Tisdell, E. J. (2009). Dealing with validity, reliability, and ethics.</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Qualitative research: A guide to design and implementation</w:t>
      </w:r>
      <w:r w:rsidRPr="00E2630C">
        <w:rPr>
          <w:rFonts w:ascii="Times New Roman" w:hAnsi="Times New Roman" w:cs="Times New Roman"/>
          <w:color w:val="000000" w:themeColor="text1"/>
          <w:sz w:val="24"/>
          <w:szCs w:val="24"/>
          <w:shd w:val="clear" w:color="auto" w:fill="FFFFFF"/>
        </w:rPr>
        <w:t>, 209-235.</w:t>
      </w:r>
    </w:p>
    <w:p w14:paraId="7B10CEB3" w14:textId="6CD691A8"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Matimbwa, H., &amp; Mwalimu, W. (2019a). Factors Leading to Conflicts Between Farmers and Pastoralists in Tanzania: Evidence From Kambala Village in Morogoro. </w:t>
      </w:r>
      <w:r w:rsidRPr="00E2630C">
        <w:rPr>
          <w:rFonts w:ascii="Times New Roman" w:eastAsia="Times New Roman" w:hAnsi="Times New Roman" w:cs="Times New Roman"/>
          <w:i/>
          <w:iCs/>
          <w:color w:val="000000" w:themeColor="text1"/>
          <w:sz w:val="24"/>
          <w:szCs w:val="24"/>
        </w:rPr>
        <w:t>Journal of Business Management and Economic Research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w:t>
      </w:r>
      <w:r w:rsidRPr="00E2630C">
        <w:rPr>
          <w:rFonts w:ascii="Times New Roman" w:eastAsia="Times New Roman" w:hAnsi="Times New Roman" w:cs="Times New Roman"/>
          <w:color w:val="000000" w:themeColor="text1"/>
          <w:sz w:val="24"/>
          <w:szCs w:val="24"/>
        </w:rPr>
        <w:t>(8), 26–39. https://doi.org/10.29226/tr1001.2019.146</w:t>
      </w:r>
    </w:p>
    <w:p w14:paraId="4ED6AB8D"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Matimbwa, H., &amp; Mwalimu, W. (2019b). Factors Leading to Conflicts Between Farmers and Pastoralists in Tanzania: Evidence From Kambala Village in Morogoro. </w:t>
      </w:r>
      <w:r w:rsidRPr="00E2630C">
        <w:rPr>
          <w:rFonts w:ascii="Times New Roman" w:eastAsia="Times New Roman" w:hAnsi="Times New Roman" w:cs="Times New Roman"/>
          <w:i/>
          <w:iCs/>
          <w:color w:val="000000" w:themeColor="text1"/>
          <w:sz w:val="24"/>
          <w:szCs w:val="24"/>
        </w:rPr>
        <w:t>Journal of Business Management and Economic Research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w:t>
      </w:r>
      <w:r w:rsidRPr="00E2630C">
        <w:rPr>
          <w:rFonts w:ascii="Times New Roman" w:eastAsia="Times New Roman" w:hAnsi="Times New Roman" w:cs="Times New Roman"/>
          <w:color w:val="000000" w:themeColor="text1"/>
          <w:sz w:val="24"/>
          <w:szCs w:val="24"/>
        </w:rPr>
        <w:t>(8), 26–39. https://doi.org/10.29226/TR1001.2019.146</w:t>
      </w:r>
    </w:p>
    <w:p w14:paraId="1C802A40"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Matović, N., &amp; Ovesni, K. (2023). Interaction of quantitative and qualitative methodology in mixed methods research: integration and/or combination. </w:t>
      </w:r>
      <w:r w:rsidRPr="00E2630C">
        <w:rPr>
          <w:rFonts w:ascii="Times New Roman" w:eastAsia="Times New Roman" w:hAnsi="Times New Roman" w:cs="Times New Roman"/>
          <w:i/>
          <w:iCs/>
          <w:color w:val="000000" w:themeColor="text1"/>
          <w:sz w:val="24"/>
          <w:szCs w:val="24"/>
        </w:rPr>
        <w:t>International Journal of Social Research Methodology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26</w:t>
      </w:r>
      <w:r w:rsidRPr="00E2630C">
        <w:rPr>
          <w:rFonts w:ascii="Times New Roman" w:eastAsia="Times New Roman" w:hAnsi="Times New Roman" w:cs="Times New Roman"/>
          <w:color w:val="000000" w:themeColor="text1"/>
          <w:sz w:val="24"/>
          <w:szCs w:val="24"/>
        </w:rPr>
        <w:t>(1), 51–65. https://doi.org/10.1080/13645579.2021.1964857</w:t>
      </w:r>
    </w:p>
    <w:p w14:paraId="7BE18D8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Mauthner, N. S. (2020). Research philosophies and why they matter. </w:t>
      </w:r>
      <w:r w:rsidRPr="00E2630C">
        <w:rPr>
          <w:rFonts w:ascii="Times New Roman" w:eastAsia="Times New Roman" w:hAnsi="Times New Roman" w:cs="Times New Roman"/>
          <w:i/>
          <w:iCs/>
          <w:color w:val="000000" w:themeColor="text1"/>
          <w:sz w:val="24"/>
          <w:szCs w:val="24"/>
        </w:rPr>
        <w:t>How to Keep Your Doctorate on Track: Insights from Students’ and Supervisors’ Experiences</w:t>
      </w:r>
      <w:r w:rsidRPr="00E2630C">
        <w:rPr>
          <w:rFonts w:ascii="Times New Roman" w:eastAsia="Times New Roman" w:hAnsi="Times New Roman" w:cs="Times New Roman"/>
          <w:color w:val="000000" w:themeColor="text1"/>
          <w:sz w:val="24"/>
          <w:szCs w:val="24"/>
        </w:rPr>
        <w:t>, 1–76.</w:t>
      </w:r>
    </w:p>
    <w:p w14:paraId="35B5A285" w14:textId="77777777" w:rsidR="00450081"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Mawuko-Yevugah, Lord, &amp; Attipoe, H. A. (2021). Chieftaincy and traditional authority in modern democratic Ghana. </w:t>
      </w:r>
      <w:r w:rsidRPr="00E2630C">
        <w:rPr>
          <w:rFonts w:ascii="Times New Roman" w:eastAsia="Times New Roman" w:hAnsi="Times New Roman" w:cs="Times New Roman"/>
          <w:i/>
          <w:iCs/>
          <w:color w:val="000000" w:themeColor="text1"/>
          <w:sz w:val="24"/>
          <w:szCs w:val="24"/>
        </w:rPr>
        <w:t>South African Journal of Philosophy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40</w:t>
      </w:r>
      <w:r w:rsidR="00450081" w:rsidRPr="00E2630C">
        <w:rPr>
          <w:rFonts w:ascii="Times New Roman" w:eastAsia="Times New Roman" w:hAnsi="Times New Roman" w:cs="Times New Roman"/>
          <w:color w:val="000000" w:themeColor="text1"/>
          <w:sz w:val="24"/>
          <w:szCs w:val="24"/>
        </w:rPr>
        <w:t>(3), 319–335.</w:t>
      </w:r>
    </w:p>
    <w:p w14:paraId="31DF0C56" w14:textId="271E31BD" w:rsidR="00450081" w:rsidRPr="00E2630C" w:rsidRDefault="00450081"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Mbah, M. (2013). </w:t>
      </w:r>
      <w:r w:rsidRPr="00E2630C">
        <w:rPr>
          <w:rFonts w:ascii="Times New Roman" w:hAnsi="Times New Roman" w:cs="Times New Roman"/>
          <w:i/>
          <w:sz w:val="24"/>
          <w:szCs w:val="24"/>
        </w:rPr>
        <w:t>African perspectives on governance and development</w:t>
      </w:r>
      <w:r w:rsidRPr="00E2630C">
        <w:rPr>
          <w:rFonts w:ascii="Times New Roman" w:hAnsi="Times New Roman" w:cs="Times New Roman"/>
          <w:sz w:val="24"/>
          <w:szCs w:val="24"/>
        </w:rPr>
        <w:t>. Interpeace.</w:t>
      </w:r>
    </w:p>
    <w:p w14:paraId="7C9DE9C8"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Mbowura, C. K. (2014). Inter-Ethnic Conflicts and their Impact on National Development, Integration and Social Cohesion: A Study of the Nawuri-Gonja Conflict in Northern Ghana. In </w:t>
      </w:r>
      <w:r w:rsidRPr="00E2630C">
        <w:rPr>
          <w:rFonts w:ascii="Times New Roman" w:eastAsia="Times New Roman" w:hAnsi="Times New Roman" w:cs="Times New Roman"/>
          <w:i/>
          <w:iCs/>
          <w:color w:val="000000" w:themeColor="text1"/>
          <w:sz w:val="24"/>
          <w:szCs w:val="24"/>
        </w:rPr>
        <w:t>International Journal of Humanities and Social Science</w:t>
      </w:r>
      <w:r w:rsidRPr="00E2630C">
        <w:rPr>
          <w:rFonts w:ascii="Times New Roman" w:eastAsia="Times New Roman" w:hAnsi="Times New Roman" w:cs="Times New Roman"/>
          <w:color w:val="000000" w:themeColor="text1"/>
          <w:sz w:val="24"/>
          <w:szCs w:val="24"/>
        </w:rPr>
        <w:t xml:space="preserve"> (Vol. 4, Issue 7). www.ijhssnet.com</w:t>
      </w:r>
    </w:p>
    <w:p w14:paraId="300B228C" w14:textId="77777777" w:rsidR="00450081"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McCandless, E., &amp; Karbo, T. (2011). Synopses of major concepts. </w:t>
      </w:r>
      <w:r w:rsidRPr="00E2630C">
        <w:rPr>
          <w:rFonts w:ascii="Times New Roman" w:eastAsia="Times New Roman" w:hAnsi="Times New Roman" w:cs="Times New Roman"/>
          <w:i/>
          <w:iCs/>
          <w:color w:val="000000" w:themeColor="text1"/>
          <w:sz w:val="24"/>
          <w:szCs w:val="24"/>
        </w:rPr>
        <w:t>Peace, Conflict, and Development in Africa: A Reader</w:t>
      </w:r>
      <w:r w:rsidRPr="00E2630C">
        <w:rPr>
          <w:rFonts w:ascii="Times New Roman" w:eastAsia="Times New Roman" w:hAnsi="Times New Roman" w:cs="Times New Roman"/>
          <w:color w:val="000000" w:themeColor="text1"/>
          <w:sz w:val="24"/>
          <w:szCs w:val="24"/>
        </w:rPr>
        <w:t>.</w:t>
      </w:r>
    </w:p>
    <w:p w14:paraId="7CB444D2" w14:textId="77777777" w:rsidR="00450081" w:rsidRPr="00E2630C" w:rsidRDefault="00450081"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Merriam, S. B. (2009). </w:t>
      </w:r>
      <w:r w:rsidRPr="00E2630C">
        <w:rPr>
          <w:rFonts w:ascii="Times New Roman" w:hAnsi="Times New Roman" w:cs="Times New Roman"/>
          <w:i/>
          <w:sz w:val="24"/>
          <w:szCs w:val="24"/>
        </w:rPr>
        <w:t>Qualitative research: A guide to design and implementation</w:t>
      </w:r>
      <w:r w:rsidRPr="00E2630C">
        <w:rPr>
          <w:rFonts w:ascii="Times New Roman" w:hAnsi="Times New Roman" w:cs="Times New Roman"/>
          <w:sz w:val="24"/>
          <w:szCs w:val="24"/>
        </w:rPr>
        <w:t>. Jossey-Bass.</w:t>
      </w:r>
    </w:p>
    <w:p w14:paraId="067DA486" w14:textId="77777777" w:rsidR="00450081" w:rsidRPr="00E2630C" w:rsidRDefault="00450081"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Messer, E. (2009). </w:t>
      </w:r>
      <w:r w:rsidRPr="00E2630C">
        <w:rPr>
          <w:rFonts w:ascii="Times New Roman" w:hAnsi="Times New Roman" w:cs="Times New Roman"/>
          <w:i/>
          <w:sz w:val="24"/>
          <w:szCs w:val="24"/>
        </w:rPr>
        <w:t>A human rights approach to reducing world hunger</w:t>
      </w:r>
      <w:r w:rsidRPr="00E2630C">
        <w:rPr>
          <w:rFonts w:ascii="Times New Roman" w:hAnsi="Times New Roman" w:cs="Times New Roman"/>
          <w:sz w:val="24"/>
          <w:szCs w:val="24"/>
        </w:rPr>
        <w:t>. MIT Press.</w:t>
      </w:r>
    </w:p>
    <w:p w14:paraId="08F7CCBA" w14:textId="1D1D581D" w:rsidR="00450081" w:rsidRPr="00E2630C" w:rsidRDefault="00450081"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Misawa, M. (2006). </w:t>
      </w:r>
      <w:r w:rsidRPr="00E2630C">
        <w:rPr>
          <w:rFonts w:ascii="Times New Roman" w:hAnsi="Times New Roman" w:cs="Times New Roman"/>
          <w:i/>
          <w:sz w:val="24"/>
          <w:szCs w:val="24"/>
        </w:rPr>
        <w:t>The intersection of race and sexual orientation in adult and higher education</w:t>
      </w:r>
      <w:r w:rsidRPr="00E2630C">
        <w:rPr>
          <w:rFonts w:ascii="Times New Roman" w:hAnsi="Times New Roman" w:cs="Times New Roman"/>
          <w:sz w:val="24"/>
          <w:szCs w:val="24"/>
        </w:rPr>
        <w:t>. Sage Publications.</w:t>
      </w:r>
    </w:p>
    <w:p w14:paraId="2A061819" w14:textId="77777777" w:rsidR="0020104E"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Messer, E. (2009). RISING FOOD PRICES, SOCIAL MOBILIZATIONS, AND VIOLENCE: CONCEPTUAL ISSUES IN UNDERSTANDING AND RESPONDING TO THE CONNECTIONS LINKING HUNGER AND CONFLICT. </w:t>
      </w:r>
      <w:r w:rsidRPr="00E2630C">
        <w:rPr>
          <w:rFonts w:ascii="Times New Roman" w:eastAsia="Times New Roman" w:hAnsi="Times New Roman" w:cs="Times New Roman"/>
          <w:i/>
          <w:iCs/>
          <w:color w:val="000000" w:themeColor="text1"/>
          <w:sz w:val="24"/>
          <w:szCs w:val="24"/>
        </w:rPr>
        <w:t>NAPA Bulletin</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32</w:t>
      </w:r>
      <w:r w:rsidRPr="00E2630C">
        <w:rPr>
          <w:rFonts w:ascii="Times New Roman" w:eastAsia="Times New Roman" w:hAnsi="Times New Roman" w:cs="Times New Roman"/>
          <w:color w:val="000000" w:themeColor="text1"/>
          <w:sz w:val="24"/>
          <w:szCs w:val="24"/>
        </w:rPr>
        <w:t xml:space="preserve">(1), 12–22. </w:t>
      </w:r>
      <w:hyperlink r:id="rId16" w:history="1">
        <w:r w:rsidR="0020104E" w:rsidRPr="00E2630C">
          <w:rPr>
            <w:rStyle w:val="Hyperlink"/>
            <w:rFonts w:ascii="Times New Roman" w:eastAsia="Times New Roman" w:hAnsi="Times New Roman" w:cs="Times New Roman"/>
            <w:color w:val="000000" w:themeColor="text1"/>
            <w:sz w:val="24"/>
            <w:szCs w:val="24"/>
          </w:rPr>
          <w:t>https://doi.org/10.1111/j.1556-4797.2009.01025.x</w:t>
        </w:r>
      </w:hyperlink>
    </w:p>
    <w:p w14:paraId="3F8D86E7" w14:textId="77777777" w:rsidR="0020104E" w:rsidRPr="00E2630C" w:rsidRDefault="0020104E"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shd w:val="clear" w:color="auto" w:fill="FFFFFF"/>
        </w:rPr>
        <w:t>Messer, A. E., Gallon, C. E., McKenna, W. J., Dos Remedios, C. G., &amp; Marston, S. B. (2009). The use of phosphate‐affinity SDS‐PAGE to measure the cardiac troponin I phosphorylation site distribution in human heart muscle.</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PROTEOMICS–Clinical Applications</w:t>
      </w:r>
      <w:r w:rsidRPr="00E2630C">
        <w:rPr>
          <w:rFonts w:ascii="Times New Roman" w:hAnsi="Times New Roman" w:cs="Times New Roman"/>
          <w:color w:val="000000" w:themeColor="text1"/>
          <w:sz w:val="24"/>
          <w:szCs w:val="24"/>
          <w:shd w:val="clear" w:color="auto" w:fill="FFFFFF"/>
        </w:rPr>
        <w:t>,</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3</w:t>
      </w:r>
      <w:r w:rsidRPr="00E2630C">
        <w:rPr>
          <w:rFonts w:ascii="Times New Roman" w:hAnsi="Times New Roman" w:cs="Times New Roman"/>
          <w:color w:val="000000" w:themeColor="text1"/>
          <w:sz w:val="24"/>
          <w:szCs w:val="24"/>
          <w:shd w:val="clear" w:color="auto" w:fill="FFFFFF"/>
        </w:rPr>
        <w:t>(12), 1371-1382.</w:t>
      </w:r>
    </w:p>
    <w:p w14:paraId="4D6C7D1A" w14:textId="7EC5F4AB" w:rsidR="0020104E" w:rsidRPr="00E2630C" w:rsidRDefault="0020104E"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shd w:val="clear" w:color="auto" w:fill="FFFFFF"/>
        </w:rPr>
        <w:t>Marfo, S. (2019). Chiefs as judges in modern Ghana: exploring the judicial role and challenges confronting the Ashanti regional house of chiefs.</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UDS International Journal of Development</w:t>
      </w:r>
      <w:r w:rsidRPr="00E2630C">
        <w:rPr>
          <w:rFonts w:ascii="Times New Roman" w:hAnsi="Times New Roman" w:cs="Times New Roman"/>
          <w:color w:val="000000" w:themeColor="text1"/>
          <w:sz w:val="24"/>
          <w:szCs w:val="24"/>
          <w:shd w:val="clear" w:color="auto" w:fill="FFFFFF"/>
        </w:rPr>
        <w:t>,</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6</w:t>
      </w:r>
      <w:r w:rsidRPr="00E2630C">
        <w:rPr>
          <w:rFonts w:ascii="Times New Roman" w:hAnsi="Times New Roman" w:cs="Times New Roman"/>
          <w:color w:val="000000" w:themeColor="text1"/>
          <w:sz w:val="24"/>
          <w:szCs w:val="24"/>
          <w:shd w:val="clear" w:color="auto" w:fill="FFFFFF"/>
        </w:rPr>
        <w:t>(3), 160-174.</w:t>
      </w:r>
    </w:p>
    <w:p w14:paraId="30A10560"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Mitchell, C. (2002). Beyond resolution: what does conflict transformation actually transform? </w:t>
      </w:r>
      <w:r w:rsidRPr="00E2630C">
        <w:rPr>
          <w:rFonts w:ascii="Times New Roman" w:eastAsia="Times New Roman" w:hAnsi="Times New Roman" w:cs="Times New Roman"/>
          <w:i/>
          <w:iCs/>
          <w:color w:val="000000" w:themeColor="text1"/>
          <w:sz w:val="24"/>
          <w:szCs w:val="24"/>
        </w:rPr>
        <w:t>Peace and Conflict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9</w:t>
      </w:r>
      <w:r w:rsidRPr="00E2630C">
        <w:rPr>
          <w:rFonts w:ascii="Times New Roman" w:eastAsia="Times New Roman" w:hAnsi="Times New Roman" w:cs="Times New Roman"/>
          <w:color w:val="000000" w:themeColor="text1"/>
          <w:sz w:val="24"/>
          <w:szCs w:val="24"/>
        </w:rPr>
        <w:t>(1), 1–23.</w:t>
      </w:r>
    </w:p>
    <w:p w14:paraId="2C57FF7B"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Nanumba-North District Assembly. (2015). Nanumba-North District Assembly Report, 2015. </w:t>
      </w:r>
      <w:r w:rsidRPr="00E2630C">
        <w:rPr>
          <w:rFonts w:ascii="Times New Roman" w:eastAsia="Times New Roman" w:hAnsi="Times New Roman" w:cs="Times New Roman"/>
          <w:i/>
          <w:iCs/>
          <w:color w:val="000000" w:themeColor="text1"/>
          <w:sz w:val="24"/>
          <w:szCs w:val="24"/>
        </w:rPr>
        <w:t>Ghana University Press, Accra</w:t>
      </w:r>
      <w:r w:rsidRPr="00E2630C">
        <w:rPr>
          <w:rFonts w:ascii="Times New Roman" w:eastAsia="Times New Roman" w:hAnsi="Times New Roman" w:cs="Times New Roman"/>
          <w:color w:val="000000" w:themeColor="text1"/>
          <w:sz w:val="24"/>
          <w:szCs w:val="24"/>
        </w:rPr>
        <w:t>.</w:t>
      </w:r>
    </w:p>
    <w:p w14:paraId="46F0CFB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Nassè, T. B. (2021). Marketing practices and the dark side of inequity: a qualitative research in African private companies. </w:t>
      </w:r>
      <w:r w:rsidRPr="00E2630C">
        <w:rPr>
          <w:rFonts w:ascii="Times New Roman" w:eastAsia="Times New Roman" w:hAnsi="Times New Roman" w:cs="Times New Roman"/>
          <w:i/>
          <w:iCs/>
          <w:color w:val="000000" w:themeColor="text1"/>
          <w:sz w:val="24"/>
          <w:szCs w:val="24"/>
        </w:rPr>
        <w:t>International Journal of Management &amp; Entrepreneurship Research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w:t>
      </w:r>
      <w:r w:rsidRPr="00E2630C">
        <w:rPr>
          <w:rFonts w:ascii="Times New Roman" w:eastAsia="Times New Roman" w:hAnsi="Times New Roman" w:cs="Times New Roman"/>
          <w:color w:val="000000" w:themeColor="text1"/>
          <w:sz w:val="24"/>
          <w:szCs w:val="24"/>
        </w:rPr>
        <w:t>(9), 319–325. https://doi.org/10.51594/ijmer.v3i9.257</w:t>
      </w:r>
    </w:p>
    <w:p w14:paraId="66D58929" w14:textId="77777777" w:rsidR="00450081" w:rsidRPr="00E2630C" w:rsidRDefault="00CD3724" w:rsidP="001B7AD4">
      <w:pPr>
        <w:autoSpaceDE w:val="0"/>
        <w:autoSpaceDN w:val="0"/>
        <w:ind w:left="450" w:hanging="480"/>
        <w:jc w:val="both"/>
        <w:rPr>
          <w:rStyle w:val="Hyperlink"/>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Newman, E. (2010). Critical human security studies. </w:t>
      </w:r>
      <w:r w:rsidRPr="00E2630C">
        <w:rPr>
          <w:rFonts w:ascii="Times New Roman" w:eastAsia="Times New Roman" w:hAnsi="Times New Roman" w:cs="Times New Roman"/>
          <w:i/>
          <w:iCs/>
          <w:color w:val="000000" w:themeColor="text1"/>
          <w:sz w:val="24"/>
          <w:szCs w:val="24"/>
        </w:rPr>
        <w:t>Review of International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36</w:t>
      </w:r>
      <w:r w:rsidRPr="00E2630C">
        <w:rPr>
          <w:rFonts w:ascii="Times New Roman" w:eastAsia="Times New Roman" w:hAnsi="Times New Roman" w:cs="Times New Roman"/>
          <w:color w:val="000000" w:themeColor="text1"/>
          <w:sz w:val="24"/>
          <w:szCs w:val="24"/>
        </w:rPr>
        <w:t xml:space="preserve">(1), 77–94. </w:t>
      </w:r>
      <w:hyperlink r:id="rId17" w:history="1">
        <w:r w:rsidR="0020104E" w:rsidRPr="00E2630C">
          <w:rPr>
            <w:rStyle w:val="Hyperlink"/>
            <w:rFonts w:ascii="Times New Roman" w:eastAsia="Times New Roman" w:hAnsi="Times New Roman" w:cs="Times New Roman"/>
            <w:color w:val="000000" w:themeColor="text1"/>
            <w:sz w:val="24"/>
            <w:szCs w:val="24"/>
          </w:rPr>
          <w:t>https://doi.org/10.1017/S0260210509990519</w:t>
        </w:r>
      </w:hyperlink>
    </w:p>
    <w:p w14:paraId="25E91A30" w14:textId="61C104BA" w:rsidR="00450081" w:rsidRPr="00E2630C" w:rsidRDefault="00450081" w:rsidP="001B7AD4">
      <w:pPr>
        <w:autoSpaceDE w:val="0"/>
        <w:autoSpaceDN w:val="0"/>
        <w:ind w:left="450" w:hanging="480"/>
        <w:jc w:val="both"/>
        <w:rPr>
          <w:rFonts w:ascii="Times New Roman" w:eastAsia="Times New Roman" w:hAnsi="Times New Roman" w:cs="Times New Roman"/>
          <w:color w:val="000000" w:themeColor="text1"/>
          <w:sz w:val="24"/>
          <w:szCs w:val="24"/>
          <w:u w:val="single"/>
        </w:rPr>
      </w:pPr>
      <w:r w:rsidRPr="00E2630C">
        <w:rPr>
          <w:rFonts w:ascii="Times New Roman" w:hAnsi="Times New Roman" w:cs="Times New Roman"/>
          <w:sz w:val="24"/>
          <w:szCs w:val="24"/>
        </w:rPr>
        <w:t xml:space="preserve">New Economics Foundation (Nef). (1999). </w:t>
      </w:r>
      <w:r w:rsidRPr="00E2630C">
        <w:rPr>
          <w:rFonts w:ascii="Times New Roman" w:hAnsi="Times New Roman" w:cs="Times New Roman"/>
          <w:i/>
          <w:sz w:val="24"/>
          <w:szCs w:val="24"/>
        </w:rPr>
        <w:t>Measuring real progress: Tools for sustainability assessment</w:t>
      </w:r>
      <w:r w:rsidRPr="00E2630C">
        <w:rPr>
          <w:rFonts w:ascii="Times New Roman" w:hAnsi="Times New Roman" w:cs="Times New Roman"/>
          <w:sz w:val="24"/>
          <w:szCs w:val="24"/>
        </w:rPr>
        <w:t>. New Economics Foundation.</w:t>
      </w:r>
    </w:p>
    <w:p w14:paraId="6DCDF1A5"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Nicol, H. N. (2016). Ripple effects: devolution, development and state sovereignty in the Canadian North. </w:t>
      </w:r>
      <w:r w:rsidRPr="00E2630C">
        <w:rPr>
          <w:rFonts w:ascii="Times New Roman" w:eastAsia="Times New Roman" w:hAnsi="Times New Roman" w:cs="Times New Roman"/>
          <w:i/>
          <w:iCs/>
          <w:color w:val="000000" w:themeColor="text1"/>
          <w:sz w:val="24"/>
          <w:szCs w:val="24"/>
        </w:rPr>
        <w:t>Future Security of the Global Arctic: State Policy, Economic Security and Climate</w:t>
      </w:r>
      <w:r w:rsidRPr="00E2630C">
        <w:rPr>
          <w:rFonts w:ascii="Times New Roman" w:eastAsia="Times New Roman" w:hAnsi="Times New Roman" w:cs="Times New Roman"/>
          <w:color w:val="000000" w:themeColor="text1"/>
          <w:sz w:val="24"/>
          <w:szCs w:val="24"/>
        </w:rPr>
        <w:t>, 99--120.</w:t>
      </w:r>
    </w:p>
    <w:p w14:paraId="10BC49FF"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Nkegbe, P. K., Abu, B. M., &amp; Issahaku, H. (2017). Food security in the Savannah Accelerated Development Authority Zone of Ghana: An ordered probit with household hunger scale approach. </w:t>
      </w:r>
      <w:r w:rsidRPr="00E2630C">
        <w:rPr>
          <w:rFonts w:ascii="Times New Roman" w:eastAsia="Times New Roman" w:hAnsi="Times New Roman" w:cs="Times New Roman"/>
          <w:i/>
          <w:iCs/>
          <w:color w:val="000000" w:themeColor="text1"/>
          <w:sz w:val="24"/>
          <w:szCs w:val="24"/>
        </w:rPr>
        <w:t>Agriculture and Food Security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6</w:t>
      </w:r>
      <w:r w:rsidRPr="00E2630C">
        <w:rPr>
          <w:rFonts w:ascii="Times New Roman" w:eastAsia="Times New Roman" w:hAnsi="Times New Roman" w:cs="Times New Roman"/>
          <w:color w:val="000000" w:themeColor="text1"/>
          <w:sz w:val="24"/>
          <w:szCs w:val="24"/>
        </w:rPr>
        <w:t>(1). https://doi.org/10.1186/s40066-017-0111-y</w:t>
      </w:r>
    </w:p>
    <w:p w14:paraId="1159DF4C" w14:textId="77777777" w:rsidR="00450081"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Nlerum, F. E. (2010). Effect of Green River Project on rural poverty alleviation in Bayelsa State, Nigeria. </w:t>
      </w:r>
      <w:r w:rsidRPr="00E2630C">
        <w:rPr>
          <w:rFonts w:ascii="Times New Roman" w:eastAsia="Times New Roman" w:hAnsi="Times New Roman" w:cs="Times New Roman"/>
          <w:i/>
          <w:iCs/>
          <w:color w:val="000000" w:themeColor="text1"/>
          <w:sz w:val="24"/>
          <w:szCs w:val="24"/>
        </w:rPr>
        <w:t>Journal of Sustainable Agriculture and the Environment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12</w:t>
      </w:r>
      <w:r w:rsidRPr="00E2630C">
        <w:rPr>
          <w:rFonts w:ascii="Times New Roman" w:eastAsia="Times New Roman" w:hAnsi="Times New Roman" w:cs="Times New Roman"/>
          <w:color w:val="000000" w:themeColor="text1"/>
          <w:sz w:val="24"/>
          <w:szCs w:val="24"/>
        </w:rPr>
        <w:t>(2), 107–114.</w:t>
      </w:r>
    </w:p>
    <w:p w14:paraId="4627C9E7" w14:textId="5F879A02" w:rsidR="00450081" w:rsidRPr="00E2630C" w:rsidRDefault="00450081"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Northern Regional House of Chiefs' Judicial Committee. (2012). </w:t>
      </w:r>
      <w:r w:rsidRPr="00E2630C">
        <w:rPr>
          <w:rFonts w:ascii="Times New Roman" w:hAnsi="Times New Roman" w:cs="Times New Roman"/>
          <w:i/>
          <w:sz w:val="24"/>
          <w:szCs w:val="24"/>
        </w:rPr>
        <w:t>Judicial Committee report on land disputes in Northern Ghana</w:t>
      </w:r>
      <w:r w:rsidRPr="00E2630C">
        <w:rPr>
          <w:rFonts w:ascii="Times New Roman" w:hAnsi="Times New Roman" w:cs="Times New Roman"/>
          <w:sz w:val="24"/>
          <w:szCs w:val="24"/>
        </w:rPr>
        <w:t>.</w:t>
      </w:r>
    </w:p>
    <w:p w14:paraId="1BEC26A0" w14:textId="77777777" w:rsidR="00336CA5"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Nyaaba, A. Y. (2009). </w:t>
      </w:r>
      <w:r w:rsidRPr="00E2630C">
        <w:rPr>
          <w:rFonts w:ascii="Times New Roman" w:eastAsia="Times New Roman" w:hAnsi="Times New Roman" w:cs="Times New Roman"/>
          <w:i/>
          <w:iCs/>
          <w:color w:val="000000" w:themeColor="text1"/>
          <w:sz w:val="24"/>
          <w:szCs w:val="24"/>
        </w:rPr>
        <w:t xml:space="preserve">Transformations in the Chieftaincy Institution in Northern Ghana from 1900-1969: A Case Study of Navrongo and Sakot. </w:t>
      </w:r>
      <w:r w:rsidRPr="00E2630C">
        <w:rPr>
          <w:rFonts w:ascii="Times New Roman" w:eastAsia="Times New Roman" w:hAnsi="Times New Roman" w:cs="Times New Roman"/>
          <w:color w:val="000000" w:themeColor="text1"/>
          <w:sz w:val="24"/>
          <w:szCs w:val="24"/>
        </w:rPr>
        <w:t>. Kwame Nkrumah University of Science and Technology.</w:t>
      </w:r>
    </w:p>
    <w:p w14:paraId="6444761C" w14:textId="07B95354" w:rsidR="00336CA5" w:rsidRPr="00E2630C" w:rsidRDefault="00336CA5"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Oteng-Abayie, E. (2017). </w:t>
      </w:r>
      <w:r w:rsidRPr="00E2630C">
        <w:rPr>
          <w:rFonts w:ascii="Times New Roman" w:hAnsi="Times New Roman" w:cs="Times New Roman"/>
          <w:i/>
          <w:sz w:val="24"/>
          <w:szCs w:val="24"/>
        </w:rPr>
        <w:t>Applied econometrics for researchers</w:t>
      </w:r>
      <w:r w:rsidRPr="00E2630C">
        <w:rPr>
          <w:rFonts w:ascii="Times New Roman" w:hAnsi="Times New Roman" w:cs="Times New Roman"/>
          <w:sz w:val="24"/>
          <w:szCs w:val="24"/>
        </w:rPr>
        <w:t>. University of Ghana Press.</w:t>
      </w:r>
    </w:p>
    <w:p w14:paraId="0C88D8E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Odotei, I. K. (2006). Women in male corridors of power. </w:t>
      </w:r>
      <w:r w:rsidRPr="00E2630C">
        <w:rPr>
          <w:rFonts w:ascii="Times New Roman" w:eastAsia="Times New Roman" w:hAnsi="Times New Roman" w:cs="Times New Roman"/>
          <w:i/>
          <w:iCs/>
          <w:color w:val="000000" w:themeColor="text1"/>
          <w:sz w:val="24"/>
          <w:szCs w:val="24"/>
        </w:rPr>
        <w:t>Chieftaincy in Ghana: Culture, Governance and Development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81</w:t>
      </w:r>
      <w:r w:rsidRPr="00E2630C">
        <w:rPr>
          <w:rFonts w:ascii="Times New Roman" w:eastAsia="Times New Roman" w:hAnsi="Times New Roman" w:cs="Times New Roman"/>
          <w:color w:val="000000" w:themeColor="text1"/>
          <w:sz w:val="24"/>
          <w:szCs w:val="24"/>
        </w:rPr>
        <w:t>, 145–168.</w:t>
      </w:r>
    </w:p>
    <w:p w14:paraId="78F68F20"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Oluoch, D. A. (2016). Strategies of enhancing ICT use in the delivery of management services in public secondary schools in Siaya county in Kenya. </w:t>
      </w:r>
      <w:r w:rsidRPr="00E2630C">
        <w:rPr>
          <w:rFonts w:ascii="Times New Roman" w:eastAsia="Times New Roman" w:hAnsi="Times New Roman" w:cs="Times New Roman"/>
          <w:i/>
          <w:iCs/>
          <w:color w:val="000000" w:themeColor="text1"/>
          <w:sz w:val="24"/>
          <w:szCs w:val="24"/>
        </w:rPr>
        <w:t>European Scientific Journal,</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12</w:t>
      </w:r>
      <w:r w:rsidRPr="00E2630C">
        <w:rPr>
          <w:rFonts w:ascii="Times New Roman" w:eastAsia="Times New Roman" w:hAnsi="Times New Roman" w:cs="Times New Roman"/>
          <w:color w:val="000000" w:themeColor="text1"/>
          <w:sz w:val="24"/>
          <w:szCs w:val="24"/>
        </w:rPr>
        <w:t>(28), 375-396.</w:t>
      </w:r>
    </w:p>
    <w:p w14:paraId="25DDC413"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Oluoch, J. N., Aloka, P. J. O., &amp; Odongo, B. C. (2018). Test Anxiety Beliefs as Predictor of Students’ Achievement in Chemistry in Public Secondary Schools in Kenya. </w:t>
      </w:r>
      <w:r w:rsidRPr="00E2630C">
        <w:rPr>
          <w:rFonts w:ascii="Times New Roman" w:eastAsia="Times New Roman" w:hAnsi="Times New Roman" w:cs="Times New Roman"/>
          <w:i/>
          <w:iCs/>
          <w:color w:val="000000" w:themeColor="text1"/>
          <w:sz w:val="24"/>
          <w:szCs w:val="24"/>
        </w:rPr>
        <w:t>International Journal of Psychology and Behavioral Sciences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8</w:t>
      </w:r>
      <w:r w:rsidRPr="00E2630C">
        <w:rPr>
          <w:rFonts w:ascii="Times New Roman" w:eastAsia="Times New Roman" w:hAnsi="Times New Roman" w:cs="Times New Roman"/>
          <w:color w:val="000000" w:themeColor="text1"/>
          <w:sz w:val="24"/>
          <w:szCs w:val="24"/>
        </w:rPr>
        <w:t>(4), 70–76. https://doi.org/10.5923/j.ijpbs.20180804.03</w:t>
      </w:r>
    </w:p>
    <w:p w14:paraId="461FDFC3" w14:textId="77777777" w:rsidR="0020104E"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Oteng-Ababio, M. (2016). Beyond poverty and criminalization: Splintering youth groups and ‘conflict of governmentalities’ in urban Ghana. </w:t>
      </w:r>
      <w:r w:rsidRPr="00E2630C">
        <w:rPr>
          <w:rFonts w:ascii="Times New Roman" w:eastAsia="Times New Roman" w:hAnsi="Times New Roman" w:cs="Times New Roman"/>
          <w:i/>
          <w:iCs/>
          <w:color w:val="000000" w:themeColor="text1"/>
          <w:sz w:val="24"/>
          <w:szCs w:val="24"/>
        </w:rPr>
        <w:t>Ghana Journal of Geography,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8</w:t>
      </w:r>
      <w:r w:rsidRPr="00E2630C">
        <w:rPr>
          <w:rFonts w:ascii="Times New Roman" w:eastAsia="Times New Roman" w:hAnsi="Times New Roman" w:cs="Times New Roman"/>
          <w:color w:val="000000" w:themeColor="text1"/>
          <w:sz w:val="24"/>
          <w:szCs w:val="24"/>
        </w:rPr>
        <w:t>(1), 51–78.</w:t>
      </w:r>
    </w:p>
    <w:p w14:paraId="173CD659" w14:textId="121E0919" w:rsidR="0020104E" w:rsidRPr="00E2630C" w:rsidRDefault="0020104E"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shd w:val="clear" w:color="auto" w:fill="FFFFFF"/>
        </w:rPr>
        <w:t>Oteng-Abayie, E. F. (2017). Technical efficiency and total factor productivity of rural banks in Ghana.</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Cogent Economics &amp; Finance</w:t>
      </w:r>
      <w:r w:rsidRPr="00E2630C">
        <w:rPr>
          <w:rFonts w:ascii="Times New Roman" w:hAnsi="Times New Roman" w:cs="Times New Roman"/>
          <w:color w:val="000000" w:themeColor="text1"/>
          <w:sz w:val="24"/>
          <w:szCs w:val="24"/>
          <w:shd w:val="clear" w:color="auto" w:fill="FFFFFF"/>
        </w:rPr>
        <w:t>,</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5</w:t>
      </w:r>
      <w:r w:rsidRPr="00E2630C">
        <w:rPr>
          <w:rFonts w:ascii="Times New Roman" w:hAnsi="Times New Roman" w:cs="Times New Roman"/>
          <w:color w:val="000000" w:themeColor="text1"/>
          <w:sz w:val="24"/>
          <w:szCs w:val="24"/>
          <w:shd w:val="clear" w:color="auto" w:fill="FFFFFF"/>
        </w:rPr>
        <w:t>(1), 1366088.</w:t>
      </w:r>
    </w:p>
    <w:p w14:paraId="7241B98B"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Owino, J. K. (2019). </w:t>
      </w:r>
      <w:r w:rsidRPr="00E2630C">
        <w:rPr>
          <w:rFonts w:ascii="Times New Roman" w:eastAsia="Times New Roman" w:hAnsi="Times New Roman" w:cs="Times New Roman"/>
          <w:i/>
          <w:iCs/>
          <w:color w:val="000000" w:themeColor="text1"/>
          <w:sz w:val="24"/>
          <w:szCs w:val="24"/>
        </w:rPr>
        <w:t>Politicization of Inter-ethnic Clashes in Nakuru County: the Case of Nakuru Town. 1992-2015</w:t>
      </w:r>
      <w:r w:rsidRPr="00E2630C">
        <w:rPr>
          <w:rFonts w:ascii="Times New Roman" w:eastAsia="Times New Roman" w:hAnsi="Times New Roman" w:cs="Times New Roman"/>
          <w:color w:val="000000" w:themeColor="text1"/>
          <w:sz w:val="24"/>
          <w:szCs w:val="24"/>
        </w:rPr>
        <w:t>. University of Nairobi.</w:t>
      </w:r>
    </w:p>
    <w:p w14:paraId="5E77EDD3"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Owusu-Mensah, I. (2014). Politics, chieftaincy and customary law in Ghana’s fourth republic. </w:t>
      </w:r>
      <w:r w:rsidRPr="00E2630C">
        <w:rPr>
          <w:rFonts w:ascii="Times New Roman" w:eastAsia="Times New Roman" w:hAnsi="Times New Roman" w:cs="Times New Roman"/>
          <w:i/>
          <w:iCs/>
          <w:color w:val="000000" w:themeColor="text1"/>
          <w:sz w:val="24"/>
          <w:szCs w:val="24"/>
        </w:rPr>
        <w:t>The Journal of Pan African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6</w:t>
      </w:r>
      <w:r w:rsidRPr="00E2630C">
        <w:rPr>
          <w:rFonts w:ascii="Times New Roman" w:eastAsia="Times New Roman" w:hAnsi="Times New Roman" w:cs="Times New Roman"/>
          <w:color w:val="000000" w:themeColor="text1"/>
          <w:sz w:val="24"/>
          <w:szCs w:val="24"/>
        </w:rPr>
        <w:t>(7), 261–278.</w:t>
      </w:r>
    </w:p>
    <w:p w14:paraId="39EB99E2"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Persaud, R. B. (2016). Human security. </w:t>
      </w:r>
      <w:r w:rsidRPr="00E2630C">
        <w:rPr>
          <w:rFonts w:ascii="Times New Roman" w:eastAsia="Times New Roman" w:hAnsi="Times New Roman" w:cs="Times New Roman"/>
          <w:i/>
          <w:iCs/>
          <w:color w:val="000000" w:themeColor="text1"/>
          <w:sz w:val="24"/>
          <w:szCs w:val="24"/>
        </w:rPr>
        <w:t>Contemporary Security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w:t>
      </w:r>
      <w:r w:rsidRPr="00E2630C">
        <w:rPr>
          <w:rFonts w:ascii="Times New Roman" w:eastAsia="Times New Roman" w:hAnsi="Times New Roman" w:cs="Times New Roman"/>
          <w:color w:val="000000" w:themeColor="text1"/>
          <w:sz w:val="24"/>
          <w:szCs w:val="24"/>
        </w:rPr>
        <w:t>, 139--153.</w:t>
      </w:r>
    </w:p>
    <w:p w14:paraId="1E7B51F7"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Pettersson, T., &amp; Eck, K. (2018). Organized violence, 1989–2017. </w:t>
      </w:r>
      <w:r w:rsidRPr="00E2630C">
        <w:rPr>
          <w:rFonts w:ascii="Times New Roman" w:eastAsia="Times New Roman" w:hAnsi="Times New Roman" w:cs="Times New Roman"/>
          <w:i/>
          <w:iCs/>
          <w:color w:val="000000" w:themeColor="text1"/>
          <w:sz w:val="24"/>
          <w:szCs w:val="24"/>
        </w:rPr>
        <w:t>Journal of Peace Research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55</w:t>
      </w:r>
      <w:r w:rsidRPr="00E2630C">
        <w:rPr>
          <w:rFonts w:ascii="Times New Roman" w:eastAsia="Times New Roman" w:hAnsi="Times New Roman" w:cs="Times New Roman"/>
          <w:color w:val="000000" w:themeColor="text1"/>
          <w:sz w:val="24"/>
          <w:szCs w:val="24"/>
        </w:rPr>
        <w:t>(4), 535–547. https://doi.org/10.1177/0022343318784101</w:t>
      </w:r>
    </w:p>
    <w:p w14:paraId="7C04228E"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Pettersson, T., Högbladh, S., &amp; Öberg, M. (2019). Organized violence, 1989–2018 and peace agreements. </w:t>
      </w:r>
      <w:r w:rsidRPr="00E2630C">
        <w:rPr>
          <w:rFonts w:ascii="Times New Roman" w:eastAsia="Times New Roman" w:hAnsi="Times New Roman" w:cs="Times New Roman"/>
          <w:i/>
          <w:iCs/>
          <w:color w:val="000000" w:themeColor="text1"/>
          <w:sz w:val="24"/>
          <w:szCs w:val="24"/>
        </w:rPr>
        <w:t>Journal of Peace Research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56</w:t>
      </w:r>
      <w:r w:rsidRPr="00E2630C">
        <w:rPr>
          <w:rFonts w:ascii="Times New Roman" w:eastAsia="Times New Roman" w:hAnsi="Times New Roman" w:cs="Times New Roman"/>
          <w:color w:val="000000" w:themeColor="text1"/>
          <w:sz w:val="24"/>
          <w:szCs w:val="24"/>
        </w:rPr>
        <w:t>(4), 589–603. https://doi.org/10.1177/0022343319856046</w:t>
      </w:r>
    </w:p>
    <w:p w14:paraId="45AE99C5"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Pinstrup-Andersen, P., &amp; Shimokawa, S. (2008). Do poverty and poor health and nutrition increase the risk of armed conflict onset? </w:t>
      </w:r>
      <w:r w:rsidRPr="00E2630C">
        <w:rPr>
          <w:rFonts w:ascii="Times New Roman" w:eastAsia="Times New Roman" w:hAnsi="Times New Roman" w:cs="Times New Roman"/>
          <w:i/>
          <w:iCs/>
          <w:color w:val="000000" w:themeColor="text1"/>
          <w:sz w:val="24"/>
          <w:szCs w:val="24"/>
        </w:rPr>
        <w:t>Food Policy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33</w:t>
      </w:r>
      <w:r w:rsidRPr="00E2630C">
        <w:rPr>
          <w:rFonts w:ascii="Times New Roman" w:eastAsia="Times New Roman" w:hAnsi="Times New Roman" w:cs="Times New Roman"/>
          <w:color w:val="000000" w:themeColor="text1"/>
          <w:sz w:val="24"/>
          <w:szCs w:val="24"/>
        </w:rPr>
        <w:t>(6), 513–520. https://doi.org/10.1016/j.foodpol.2008.05.003</w:t>
      </w:r>
    </w:p>
    <w:p w14:paraId="564E01E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Pinto, S. C. (2011). </w:t>
      </w:r>
      <w:r w:rsidRPr="00E2630C">
        <w:rPr>
          <w:rFonts w:ascii="Times New Roman" w:eastAsia="Times New Roman" w:hAnsi="Times New Roman" w:cs="Times New Roman"/>
          <w:i/>
          <w:iCs/>
          <w:color w:val="000000" w:themeColor="text1"/>
          <w:sz w:val="24"/>
          <w:szCs w:val="24"/>
        </w:rPr>
        <w:t>Improving health service in tribal for tribal popullations: Karnataka, Rajasthan, and Tamil Nadu</w:t>
      </w:r>
      <w:r w:rsidRPr="00E2630C">
        <w:rPr>
          <w:rFonts w:ascii="Times New Roman" w:eastAsia="Times New Roman" w:hAnsi="Times New Roman" w:cs="Times New Roman"/>
          <w:color w:val="000000" w:themeColor="text1"/>
          <w:sz w:val="24"/>
          <w:szCs w:val="24"/>
        </w:rPr>
        <w:t>.</w:t>
      </w:r>
    </w:p>
    <w:p w14:paraId="09AB742E"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Polat, S., Sen, H., Ünald, N., &amp; Yıldırım, T. (2017). The management strategies used for conflicts resolution: A study on the chief physician and the directors of health care services. </w:t>
      </w:r>
      <w:r w:rsidRPr="00E2630C">
        <w:rPr>
          <w:rFonts w:ascii="Times New Roman" w:eastAsia="Times New Roman" w:hAnsi="Times New Roman" w:cs="Times New Roman"/>
          <w:i/>
          <w:iCs/>
          <w:color w:val="000000" w:themeColor="text1"/>
          <w:sz w:val="24"/>
          <w:szCs w:val="24"/>
        </w:rPr>
        <w:t>International Journal of Medical Research &amp; Health Sciences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6</w:t>
      </w:r>
      <w:r w:rsidRPr="00E2630C">
        <w:rPr>
          <w:rFonts w:ascii="Times New Roman" w:eastAsia="Times New Roman" w:hAnsi="Times New Roman" w:cs="Times New Roman"/>
          <w:color w:val="000000" w:themeColor="text1"/>
          <w:sz w:val="24"/>
          <w:szCs w:val="24"/>
        </w:rPr>
        <w:t>(8), 105–110.</w:t>
      </w:r>
    </w:p>
    <w:p w14:paraId="1194AED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Prah, M., &amp; Yeboah, A. (2011a). Tuobodom chieftaincy conflict in Ghana: A review and analysis of media reports. </w:t>
      </w:r>
      <w:r w:rsidRPr="00E2630C">
        <w:rPr>
          <w:rFonts w:ascii="Times New Roman" w:eastAsia="Times New Roman" w:hAnsi="Times New Roman" w:cs="Times New Roman"/>
          <w:i/>
          <w:iCs/>
          <w:color w:val="000000" w:themeColor="text1"/>
          <w:sz w:val="24"/>
          <w:szCs w:val="24"/>
        </w:rPr>
        <w:t>The Journal of Pan African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w:t>
      </w:r>
      <w:r w:rsidRPr="00E2630C">
        <w:rPr>
          <w:rFonts w:ascii="Times New Roman" w:eastAsia="Times New Roman" w:hAnsi="Times New Roman" w:cs="Times New Roman"/>
          <w:color w:val="000000" w:themeColor="text1"/>
          <w:sz w:val="24"/>
          <w:szCs w:val="24"/>
        </w:rPr>
        <w:t>(3), 20–33.</w:t>
      </w:r>
    </w:p>
    <w:p w14:paraId="797E59AD" w14:textId="1B5E4354" w:rsidR="00DD112B"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Prah, M., &amp; Yeboah, A. (2011b). Tuobodom chieftaincy conflict in Ghana: A review and analysis of media reports. </w:t>
      </w:r>
      <w:r w:rsidRPr="00E2630C">
        <w:rPr>
          <w:rFonts w:ascii="Times New Roman" w:eastAsia="Times New Roman" w:hAnsi="Times New Roman" w:cs="Times New Roman"/>
          <w:i/>
          <w:iCs/>
          <w:color w:val="000000" w:themeColor="text1"/>
          <w:sz w:val="24"/>
          <w:szCs w:val="24"/>
        </w:rPr>
        <w:t>The Journal of Pan African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w:t>
      </w:r>
      <w:r w:rsidRPr="00E2630C">
        <w:rPr>
          <w:rFonts w:ascii="Times New Roman" w:eastAsia="Times New Roman" w:hAnsi="Times New Roman" w:cs="Times New Roman"/>
          <w:color w:val="000000" w:themeColor="text1"/>
          <w:sz w:val="24"/>
          <w:szCs w:val="24"/>
        </w:rPr>
        <w:t>(3), 20–33.</w:t>
      </w:r>
    </w:p>
    <w:p w14:paraId="1D661E07"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Purvis, T. E., Neuman, B. J., Riley, L. H., &amp; Skolasky, R. L. (2018). Discriminant Ability, Concurrent Validity, and Responsiveness of PROMIS Health Domains Among Patients With Lumbar Degenerative Disease Undergoing Decompression With or Without Arthrodesis. </w:t>
      </w:r>
      <w:r w:rsidRPr="00E2630C">
        <w:rPr>
          <w:rFonts w:ascii="Times New Roman" w:eastAsia="Times New Roman" w:hAnsi="Times New Roman" w:cs="Times New Roman"/>
          <w:i/>
          <w:iCs/>
          <w:color w:val="000000" w:themeColor="text1"/>
          <w:sz w:val="24"/>
          <w:szCs w:val="24"/>
        </w:rPr>
        <w:t>Spine</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43</w:t>
      </w:r>
      <w:r w:rsidRPr="00E2630C">
        <w:rPr>
          <w:rFonts w:ascii="Times New Roman" w:eastAsia="Times New Roman" w:hAnsi="Times New Roman" w:cs="Times New Roman"/>
          <w:color w:val="000000" w:themeColor="text1"/>
          <w:sz w:val="24"/>
          <w:szCs w:val="24"/>
        </w:rPr>
        <w:t>(21), 1512–1520. https://doi.org/10.1097/BRS.0000000000002661</w:t>
      </w:r>
    </w:p>
    <w:p w14:paraId="719AA471"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Raga, S., &amp; Pettinotti, L. (2022). Economic vulnerability to the Russia-Ukraine war. </w:t>
      </w:r>
      <w:r w:rsidRPr="00E2630C">
        <w:rPr>
          <w:rFonts w:ascii="Times New Roman" w:eastAsia="Times New Roman" w:hAnsi="Times New Roman" w:cs="Times New Roman"/>
          <w:i/>
          <w:iCs/>
          <w:color w:val="000000" w:themeColor="text1"/>
          <w:sz w:val="24"/>
          <w:szCs w:val="24"/>
        </w:rPr>
        <w:t>ODI Emerging Analysis. London: ODI (Https://Odi. Org/En/Publications/Economic-Vulnerability-to-Therussiaukraine-War-Which-Low-Andmiddle-Income-Countries-Are-Mostvulnerable/)</w:t>
      </w:r>
      <w:r w:rsidRPr="00E2630C">
        <w:rPr>
          <w:rFonts w:ascii="Times New Roman" w:eastAsia="Times New Roman" w:hAnsi="Times New Roman" w:cs="Times New Roman"/>
          <w:color w:val="000000" w:themeColor="text1"/>
          <w:sz w:val="24"/>
          <w:szCs w:val="24"/>
        </w:rPr>
        <w:t>.</w:t>
      </w:r>
    </w:p>
    <w:p w14:paraId="54A3823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Raineri, L. (2019). Security and informality in Libya: militarisation without military? </w:t>
      </w:r>
      <w:r w:rsidRPr="00E2630C">
        <w:rPr>
          <w:rFonts w:ascii="Times New Roman" w:eastAsia="Times New Roman" w:hAnsi="Times New Roman" w:cs="Times New Roman"/>
          <w:i/>
          <w:iCs/>
          <w:color w:val="000000" w:themeColor="text1"/>
          <w:sz w:val="24"/>
          <w:szCs w:val="24"/>
        </w:rPr>
        <w:t>Conflict, Security &amp; Development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19</w:t>
      </w:r>
      <w:r w:rsidRPr="00E2630C">
        <w:rPr>
          <w:rFonts w:ascii="Times New Roman" w:eastAsia="Times New Roman" w:hAnsi="Times New Roman" w:cs="Times New Roman"/>
          <w:color w:val="000000" w:themeColor="text1"/>
          <w:sz w:val="24"/>
          <w:szCs w:val="24"/>
        </w:rPr>
        <w:t>(6), 583–602. https://doi.org/10.1080/14678802.2019.1688962</w:t>
      </w:r>
    </w:p>
    <w:p w14:paraId="1FC6E82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Raji Alade, O. (2015). REVENUE GENERATION AS A MAJOR SOURCE OF INCOME FOR THE STATE GOVERNMENT: AN EMPIRICAL ANALYSIS OF TWO PARASTATALS. In </w:t>
      </w:r>
      <w:r w:rsidRPr="00E2630C">
        <w:rPr>
          <w:rFonts w:ascii="Times New Roman" w:eastAsia="Times New Roman" w:hAnsi="Times New Roman" w:cs="Times New Roman"/>
          <w:i/>
          <w:iCs/>
          <w:color w:val="000000" w:themeColor="text1"/>
          <w:sz w:val="24"/>
          <w:szCs w:val="24"/>
        </w:rPr>
        <w:t>International Journal of Economics, Commerce and Management United Kingdom: Vol. III</w:t>
      </w:r>
      <w:r w:rsidRPr="00E2630C">
        <w:rPr>
          <w:rFonts w:ascii="Times New Roman" w:eastAsia="Times New Roman" w:hAnsi="Times New Roman" w:cs="Times New Roman"/>
          <w:color w:val="000000" w:themeColor="text1"/>
          <w:sz w:val="24"/>
          <w:szCs w:val="24"/>
        </w:rPr>
        <w:t>. http://ijecm.co.uk/</w:t>
      </w:r>
    </w:p>
    <w:p w14:paraId="2CC5AD50"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Ramsbotham, O., Miall, H., &amp; Woodhouse, T. (2011). </w:t>
      </w:r>
      <w:r w:rsidRPr="00E2630C">
        <w:rPr>
          <w:rFonts w:ascii="Times New Roman" w:eastAsia="Times New Roman" w:hAnsi="Times New Roman" w:cs="Times New Roman"/>
          <w:i/>
          <w:iCs/>
          <w:color w:val="000000" w:themeColor="text1"/>
          <w:sz w:val="24"/>
          <w:szCs w:val="24"/>
        </w:rPr>
        <w:t>Contemporary conflict resolution</w:t>
      </w:r>
      <w:r w:rsidRPr="00E2630C">
        <w:rPr>
          <w:rFonts w:ascii="Times New Roman" w:eastAsia="Times New Roman" w:hAnsi="Times New Roman" w:cs="Times New Roman"/>
          <w:color w:val="000000" w:themeColor="text1"/>
          <w:sz w:val="24"/>
          <w:szCs w:val="24"/>
        </w:rPr>
        <w:t>. Polity.</w:t>
      </w:r>
    </w:p>
    <w:p w14:paraId="36969AE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Ray, D. I., &amp; Eizlini, G. (2011). Chiefs as development agents: Ghanaian pilot study. </w:t>
      </w:r>
      <w:r w:rsidRPr="00E2630C">
        <w:rPr>
          <w:rFonts w:ascii="Times New Roman" w:eastAsia="Times New Roman" w:hAnsi="Times New Roman" w:cs="Times New Roman"/>
          <w:i/>
          <w:iCs/>
          <w:color w:val="000000" w:themeColor="text1"/>
          <w:sz w:val="24"/>
          <w:szCs w:val="24"/>
        </w:rPr>
        <w:t>Reinventing African Chieftaincy in the Age of Aids, Gender, Governance, and Development</w:t>
      </w:r>
      <w:r w:rsidRPr="00E2630C">
        <w:rPr>
          <w:rFonts w:ascii="Times New Roman" w:eastAsia="Times New Roman" w:hAnsi="Times New Roman" w:cs="Times New Roman"/>
          <w:color w:val="000000" w:themeColor="text1"/>
          <w:sz w:val="24"/>
          <w:szCs w:val="24"/>
        </w:rPr>
        <w:t>, 1–35.</w:t>
      </w:r>
    </w:p>
    <w:p w14:paraId="4AC226CD"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Reiterer, M. (2015). The NAPCI in the Volatile Security Environment of North-East Asia: Which Role for the European Union? </w:t>
      </w:r>
      <w:r w:rsidRPr="00E2630C">
        <w:rPr>
          <w:rFonts w:ascii="Times New Roman" w:eastAsia="Times New Roman" w:hAnsi="Times New Roman" w:cs="Times New Roman"/>
          <w:i/>
          <w:iCs/>
          <w:color w:val="000000" w:themeColor="text1"/>
          <w:sz w:val="24"/>
          <w:szCs w:val="24"/>
        </w:rPr>
        <w:t>European Foreign Affairs Review</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20</w:t>
      </w:r>
      <w:r w:rsidRPr="00E2630C">
        <w:rPr>
          <w:rFonts w:ascii="Times New Roman" w:eastAsia="Times New Roman" w:hAnsi="Times New Roman" w:cs="Times New Roman"/>
          <w:color w:val="000000" w:themeColor="text1"/>
          <w:sz w:val="24"/>
          <w:szCs w:val="24"/>
        </w:rPr>
        <w:t>(4).</w:t>
      </w:r>
    </w:p>
    <w:p w14:paraId="155762DD"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Rintiswati, N., Mahendradhata, Y., Suharna, Susilawati, Purwanta, Subronto, Y., Varkevisser, C., &amp; van der Werf, M. (2009). Journeys to tuberculosis treatment: a qualitative study of patients, families and communities in Jogjakarta, Indonesia. </w:t>
      </w:r>
      <w:r w:rsidRPr="00E2630C">
        <w:rPr>
          <w:rFonts w:ascii="Times New Roman" w:eastAsia="Times New Roman" w:hAnsi="Times New Roman" w:cs="Times New Roman"/>
          <w:i/>
          <w:iCs/>
          <w:color w:val="000000" w:themeColor="text1"/>
          <w:sz w:val="24"/>
          <w:szCs w:val="24"/>
        </w:rPr>
        <w:t>BMC Public Health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9</w:t>
      </w:r>
      <w:r w:rsidRPr="00E2630C">
        <w:rPr>
          <w:rFonts w:ascii="Times New Roman" w:eastAsia="Times New Roman" w:hAnsi="Times New Roman" w:cs="Times New Roman"/>
          <w:color w:val="000000" w:themeColor="text1"/>
          <w:sz w:val="24"/>
          <w:szCs w:val="24"/>
        </w:rPr>
        <w:t>(1), 158. https://doi.org/10.1186/1471-2458-9-158</w:t>
      </w:r>
    </w:p>
    <w:p w14:paraId="54786A56"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Robert, S. A. (1999). Socioeconomic position and health: the independent contribution of community socioeconomic context. </w:t>
      </w:r>
      <w:r w:rsidRPr="00E2630C">
        <w:rPr>
          <w:rFonts w:ascii="Times New Roman" w:eastAsia="Times New Roman" w:hAnsi="Times New Roman" w:cs="Times New Roman"/>
          <w:i/>
          <w:iCs/>
          <w:color w:val="000000" w:themeColor="text1"/>
          <w:sz w:val="24"/>
          <w:szCs w:val="24"/>
        </w:rPr>
        <w:t>Annual Review of Sociology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25</w:t>
      </w:r>
      <w:r w:rsidRPr="00E2630C">
        <w:rPr>
          <w:rFonts w:ascii="Times New Roman" w:eastAsia="Times New Roman" w:hAnsi="Times New Roman" w:cs="Times New Roman"/>
          <w:color w:val="000000" w:themeColor="text1"/>
          <w:sz w:val="24"/>
          <w:szCs w:val="24"/>
        </w:rPr>
        <w:t>(1), 489--516.</w:t>
      </w:r>
    </w:p>
    <w:p w14:paraId="2A944BF8"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Ross, N. (2019). A representative peace? Opposition political parties in peace negotiations. </w:t>
      </w:r>
      <w:r w:rsidRPr="00E2630C">
        <w:rPr>
          <w:rFonts w:ascii="Times New Roman" w:eastAsia="Times New Roman" w:hAnsi="Times New Roman" w:cs="Times New Roman"/>
          <w:i/>
          <w:iCs/>
          <w:color w:val="000000" w:themeColor="text1"/>
          <w:sz w:val="24"/>
          <w:szCs w:val="24"/>
        </w:rPr>
        <w:t>International Negotiation</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24</w:t>
      </w:r>
      <w:r w:rsidRPr="00E2630C">
        <w:rPr>
          <w:rFonts w:ascii="Times New Roman" w:eastAsia="Times New Roman" w:hAnsi="Times New Roman" w:cs="Times New Roman"/>
          <w:color w:val="000000" w:themeColor="text1"/>
          <w:sz w:val="24"/>
          <w:szCs w:val="24"/>
        </w:rPr>
        <w:t>(1), 7--37.</w:t>
      </w:r>
    </w:p>
    <w:p w14:paraId="1633440F"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Russell, K., &amp; Sambanis, N. (2022). Stopping the Violence but Blocking the Peace: Dilemmas of Foreign-Imposed Nation Building After Ethnic War. </w:t>
      </w:r>
      <w:r w:rsidRPr="00E2630C">
        <w:rPr>
          <w:rFonts w:ascii="Times New Roman" w:eastAsia="Times New Roman" w:hAnsi="Times New Roman" w:cs="Times New Roman"/>
          <w:i/>
          <w:iCs/>
          <w:color w:val="000000" w:themeColor="text1"/>
          <w:sz w:val="24"/>
          <w:szCs w:val="24"/>
        </w:rPr>
        <w:t>International Organization</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76</w:t>
      </w:r>
      <w:r w:rsidRPr="00E2630C">
        <w:rPr>
          <w:rFonts w:ascii="Times New Roman" w:eastAsia="Times New Roman" w:hAnsi="Times New Roman" w:cs="Times New Roman"/>
          <w:color w:val="000000" w:themeColor="text1"/>
          <w:sz w:val="24"/>
          <w:szCs w:val="24"/>
        </w:rPr>
        <w:t>(1), 126–163. https://doi.org/10.1017/S0020818321000266</w:t>
      </w:r>
    </w:p>
    <w:p w14:paraId="47C6BA8E"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Ryan, T. (1996). Risk management and people with mental health problems. </w:t>
      </w:r>
      <w:r w:rsidRPr="00E2630C">
        <w:rPr>
          <w:rFonts w:ascii="Times New Roman" w:eastAsia="Times New Roman" w:hAnsi="Times New Roman" w:cs="Times New Roman"/>
          <w:i/>
          <w:iCs/>
          <w:color w:val="000000" w:themeColor="text1"/>
          <w:sz w:val="24"/>
          <w:szCs w:val="24"/>
        </w:rPr>
        <w:t>Good Practice in Risk Assessment and Risk Management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w:t>
      </w:r>
      <w:r w:rsidRPr="00E2630C">
        <w:rPr>
          <w:rFonts w:ascii="Times New Roman" w:eastAsia="Times New Roman" w:hAnsi="Times New Roman" w:cs="Times New Roman"/>
          <w:color w:val="000000" w:themeColor="text1"/>
          <w:sz w:val="24"/>
          <w:szCs w:val="24"/>
        </w:rPr>
        <w:t>, 93--108.</w:t>
      </w:r>
    </w:p>
    <w:p w14:paraId="2DEFC1E3"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Samuel, M., Halidu, M., &amp; Dominic, D. A. (2016). Beyond classical peace paradigm: A theoretical argument for a Glocalized Peace and Security. </w:t>
      </w:r>
      <w:r w:rsidRPr="00E2630C">
        <w:rPr>
          <w:rFonts w:ascii="Times New Roman" w:eastAsia="Times New Roman" w:hAnsi="Times New Roman" w:cs="Times New Roman"/>
          <w:i/>
          <w:iCs/>
          <w:color w:val="000000" w:themeColor="text1"/>
          <w:sz w:val="24"/>
          <w:szCs w:val="24"/>
        </w:rPr>
        <w:t>African Journal of Political Science and International Relations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10</w:t>
      </w:r>
      <w:r w:rsidRPr="00E2630C">
        <w:rPr>
          <w:rFonts w:ascii="Times New Roman" w:eastAsia="Times New Roman" w:hAnsi="Times New Roman" w:cs="Times New Roman"/>
          <w:color w:val="000000" w:themeColor="text1"/>
          <w:sz w:val="24"/>
          <w:szCs w:val="24"/>
        </w:rPr>
        <w:t>(4), 47–55. https://doi.org/10.5897/AJPSIR2015.0851</w:t>
      </w:r>
    </w:p>
    <w:p w14:paraId="61EDF54F"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Schneider, G. E. (2018). The Post-Apartheid Development Debacle in South Africa: How Mainstream Economics and the Vested Interests Preserved Apartheid Economic Structures. </w:t>
      </w:r>
      <w:r w:rsidRPr="00E2630C">
        <w:rPr>
          <w:rFonts w:ascii="Times New Roman" w:eastAsia="Times New Roman" w:hAnsi="Times New Roman" w:cs="Times New Roman"/>
          <w:i/>
          <w:iCs/>
          <w:color w:val="000000" w:themeColor="text1"/>
          <w:sz w:val="24"/>
          <w:szCs w:val="24"/>
        </w:rPr>
        <w:t>Journal of Economic Issues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52</w:t>
      </w:r>
      <w:r w:rsidRPr="00E2630C">
        <w:rPr>
          <w:rFonts w:ascii="Times New Roman" w:eastAsia="Times New Roman" w:hAnsi="Times New Roman" w:cs="Times New Roman"/>
          <w:color w:val="000000" w:themeColor="text1"/>
          <w:sz w:val="24"/>
          <w:szCs w:val="24"/>
        </w:rPr>
        <w:t>(2), 306–322. https://doi.org/10.1080/00213624.2018.1469855</w:t>
      </w:r>
    </w:p>
    <w:p w14:paraId="00E8BB5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Seidu, H. D. (2016). </w:t>
      </w:r>
      <w:r w:rsidRPr="00E2630C">
        <w:rPr>
          <w:rFonts w:ascii="Times New Roman" w:eastAsia="Times New Roman" w:hAnsi="Times New Roman" w:cs="Times New Roman"/>
          <w:i/>
          <w:iCs/>
          <w:color w:val="000000" w:themeColor="text1"/>
          <w:sz w:val="24"/>
          <w:szCs w:val="24"/>
        </w:rPr>
        <w:t>An Examination Of Chieftaincy Institution: The Role And Challenges Of Chiefs In The Socio-Economic Development Of The Dorimon Traditional Area Of The Upper West Region Of Ghana</w:t>
      </w:r>
      <w:r w:rsidRPr="00E2630C">
        <w:rPr>
          <w:rFonts w:ascii="Times New Roman" w:eastAsia="Times New Roman" w:hAnsi="Times New Roman" w:cs="Times New Roman"/>
          <w:color w:val="000000" w:themeColor="text1"/>
          <w:sz w:val="24"/>
          <w:szCs w:val="24"/>
        </w:rPr>
        <w:t>. University for Development Studies.</w:t>
      </w:r>
    </w:p>
    <w:p w14:paraId="3B13682C" w14:textId="77777777" w:rsidR="00BB0AC4" w:rsidRPr="00E2630C" w:rsidRDefault="00BB0AC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Selmon, A.C. (1994). Health longevity. Osu, Accra-Ghana: Advent Press. </w:t>
      </w:r>
    </w:p>
    <w:p w14:paraId="7B685BD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Simensen, J. (1975). The Asafo of Kwahu, Ghana: A Mass Movement for Local Reform under Colonial Rule. </w:t>
      </w:r>
      <w:r w:rsidRPr="00E2630C">
        <w:rPr>
          <w:rFonts w:ascii="Times New Roman" w:eastAsia="Times New Roman" w:hAnsi="Times New Roman" w:cs="Times New Roman"/>
          <w:i/>
          <w:iCs/>
          <w:color w:val="000000" w:themeColor="text1"/>
          <w:sz w:val="24"/>
          <w:szCs w:val="24"/>
        </w:rPr>
        <w:t>The International Journal of African Historical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8</w:t>
      </w:r>
      <w:r w:rsidRPr="00E2630C">
        <w:rPr>
          <w:rFonts w:ascii="Times New Roman" w:eastAsia="Times New Roman" w:hAnsi="Times New Roman" w:cs="Times New Roman"/>
          <w:color w:val="000000" w:themeColor="text1"/>
          <w:sz w:val="24"/>
          <w:szCs w:val="24"/>
        </w:rPr>
        <w:t>(3), 383. https://doi.org/10.2307/217151</w:t>
      </w:r>
    </w:p>
    <w:p w14:paraId="6D9903E7"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Simmons, E. (2013). Harvesting Peace: Food security, conflict, and cooperation. </w:t>
      </w:r>
      <w:r w:rsidRPr="00E2630C">
        <w:rPr>
          <w:rFonts w:ascii="Times New Roman" w:eastAsia="Times New Roman" w:hAnsi="Times New Roman" w:cs="Times New Roman"/>
          <w:i/>
          <w:iCs/>
          <w:color w:val="000000" w:themeColor="text1"/>
          <w:sz w:val="24"/>
          <w:szCs w:val="24"/>
        </w:rPr>
        <w:t>Environmental Change and Security Program Report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14</w:t>
      </w:r>
      <w:r w:rsidRPr="00E2630C">
        <w:rPr>
          <w:rFonts w:ascii="Times New Roman" w:eastAsia="Times New Roman" w:hAnsi="Times New Roman" w:cs="Times New Roman"/>
          <w:color w:val="000000" w:themeColor="text1"/>
          <w:sz w:val="24"/>
          <w:szCs w:val="24"/>
        </w:rPr>
        <w:t>(3), 1–2.</w:t>
      </w:r>
    </w:p>
    <w:p w14:paraId="22379966" w14:textId="17F2297A" w:rsidR="00CD3724" w:rsidRPr="00E2630C" w:rsidRDefault="00B2764D"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SIPRI. (2018).</w:t>
      </w:r>
      <w:r w:rsidR="00CD3724" w:rsidRPr="00E2630C">
        <w:rPr>
          <w:rFonts w:ascii="Times New Roman" w:eastAsia="Times New Roman" w:hAnsi="Times New Roman" w:cs="Times New Roman"/>
          <w:i/>
          <w:iCs/>
          <w:color w:val="000000" w:themeColor="text1"/>
          <w:sz w:val="24"/>
          <w:szCs w:val="24"/>
        </w:rPr>
        <w:t>SIPRI Yearbook 2005: Armaments, Disarmament, and International Security</w:t>
      </w:r>
      <w:r w:rsidR="00CD3724" w:rsidRPr="00E2630C">
        <w:rPr>
          <w:rFonts w:ascii="Times New Roman" w:eastAsia="Times New Roman" w:hAnsi="Times New Roman" w:cs="Times New Roman"/>
          <w:color w:val="000000" w:themeColor="text1"/>
          <w:sz w:val="24"/>
          <w:szCs w:val="24"/>
        </w:rPr>
        <w:t>. SIPRI Yearbook.</w:t>
      </w:r>
    </w:p>
    <w:p w14:paraId="4A04A7D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SIPRI. (2019). Stockholm International Peace Research Institute and others. </w:t>
      </w:r>
      <w:r w:rsidRPr="00E2630C">
        <w:rPr>
          <w:rFonts w:ascii="Times New Roman" w:eastAsia="Times New Roman" w:hAnsi="Times New Roman" w:cs="Times New Roman"/>
          <w:i/>
          <w:iCs/>
          <w:color w:val="000000" w:themeColor="text1"/>
          <w:sz w:val="24"/>
          <w:szCs w:val="24"/>
        </w:rPr>
        <w:t>SIPRI Yearbook</w:t>
      </w:r>
      <w:r w:rsidRPr="00E2630C">
        <w:rPr>
          <w:rFonts w:ascii="Times New Roman" w:eastAsia="Times New Roman" w:hAnsi="Times New Roman" w:cs="Times New Roman"/>
          <w:color w:val="000000" w:themeColor="text1"/>
          <w:sz w:val="24"/>
          <w:szCs w:val="24"/>
        </w:rPr>
        <w:t>.</w:t>
      </w:r>
    </w:p>
    <w:p w14:paraId="2FA8798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Siroky, D., &amp; Hechter, M. (2016). Ethnicity, class, and civil war: the role of hierarchy, segmentation, and cross-cutting cleavages. </w:t>
      </w:r>
      <w:r w:rsidRPr="00E2630C">
        <w:rPr>
          <w:rFonts w:ascii="Times New Roman" w:eastAsia="Times New Roman" w:hAnsi="Times New Roman" w:cs="Times New Roman"/>
          <w:i/>
          <w:iCs/>
          <w:color w:val="000000" w:themeColor="text1"/>
          <w:sz w:val="24"/>
          <w:szCs w:val="24"/>
        </w:rPr>
        <w:t>Civil Wars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18</w:t>
      </w:r>
      <w:r w:rsidRPr="00E2630C">
        <w:rPr>
          <w:rFonts w:ascii="Times New Roman" w:eastAsia="Times New Roman" w:hAnsi="Times New Roman" w:cs="Times New Roman"/>
          <w:color w:val="000000" w:themeColor="text1"/>
          <w:sz w:val="24"/>
          <w:szCs w:val="24"/>
        </w:rPr>
        <w:t>(1), 91–107. https://doi.org/10.1080/13698249.2016.1145178</w:t>
      </w:r>
    </w:p>
    <w:p w14:paraId="6D4B7C12"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Skroblin, A., Legge, S., Webb, T., &amp; Hunt, L. P. (2014). EcoFire: regional-scale prescribed burning increases the annual carrying capacity of livestock on pastoral properties by reducing pasture loss from wildfire. </w:t>
      </w:r>
      <w:r w:rsidRPr="00E2630C">
        <w:rPr>
          <w:rFonts w:ascii="Times New Roman" w:eastAsia="Times New Roman" w:hAnsi="Times New Roman" w:cs="Times New Roman"/>
          <w:i/>
          <w:iCs/>
          <w:color w:val="000000" w:themeColor="text1"/>
          <w:sz w:val="24"/>
          <w:szCs w:val="24"/>
        </w:rPr>
        <w:t>The Rangeland Journal</w:t>
      </w:r>
      <w:r w:rsidRPr="00E2630C">
        <w:rPr>
          <w:rFonts w:ascii="Times New Roman" w:eastAsia="Times New Roman" w:hAnsi="Times New Roman" w:cs="Times New Roman"/>
          <w:color w:val="000000" w:themeColor="text1"/>
          <w:sz w:val="24"/>
          <w:szCs w:val="24"/>
        </w:rPr>
        <w:t>, 133--142.</w:t>
      </w:r>
    </w:p>
    <w:p w14:paraId="03E3AFAF"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Sorell, T. (1989). Strategy and Ethics: Pilkington PLC. </w:t>
      </w:r>
      <w:r w:rsidRPr="00E2630C">
        <w:rPr>
          <w:rFonts w:ascii="Times New Roman" w:eastAsia="Times New Roman" w:hAnsi="Times New Roman" w:cs="Times New Roman"/>
          <w:i/>
          <w:iCs/>
          <w:color w:val="000000" w:themeColor="text1"/>
          <w:sz w:val="24"/>
          <w:szCs w:val="24"/>
        </w:rPr>
        <w:t>Readings in Strategic Management</w:t>
      </w:r>
      <w:r w:rsidRPr="00E2630C">
        <w:rPr>
          <w:rFonts w:ascii="Times New Roman" w:eastAsia="Times New Roman" w:hAnsi="Times New Roman" w:cs="Times New Roman"/>
          <w:color w:val="000000" w:themeColor="text1"/>
          <w:sz w:val="24"/>
          <w:szCs w:val="24"/>
        </w:rPr>
        <w:t>, 280--289.</w:t>
      </w:r>
    </w:p>
    <w:p w14:paraId="1F3A44DA" w14:textId="77777777" w:rsidR="007B5617"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Stolper, K. C. F., Boonen, L. H. H. M., Schut, F. T., &amp; Varkevisser, M. (2019). Managed competition in the Netherlands: Do insurers have incentives to steer on quality? </w:t>
      </w:r>
      <w:r w:rsidRPr="00E2630C">
        <w:rPr>
          <w:rFonts w:ascii="Times New Roman" w:eastAsia="Times New Roman" w:hAnsi="Times New Roman" w:cs="Times New Roman"/>
          <w:i/>
          <w:iCs/>
          <w:color w:val="000000" w:themeColor="text1"/>
          <w:sz w:val="24"/>
          <w:szCs w:val="24"/>
        </w:rPr>
        <w:t>Health Policy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123</w:t>
      </w:r>
      <w:r w:rsidRPr="00E2630C">
        <w:rPr>
          <w:rFonts w:ascii="Times New Roman" w:eastAsia="Times New Roman" w:hAnsi="Times New Roman" w:cs="Times New Roman"/>
          <w:color w:val="000000" w:themeColor="text1"/>
          <w:sz w:val="24"/>
          <w:szCs w:val="24"/>
        </w:rPr>
        <w:t xml:space="preserve">(3), 293–299. </w:t>
      </w:r>
      <w:hyperlink r:id="rId18" w:history="1">
        <w:r w:rsidR="00515380" w:rsidRPr="00E2630C">
          <w:rPr>
            <w:rStyle w:val="Hyperlink"/>
            <w:rFonts w:ascii="Times New Roman" w:eastAsia="Times New Roman" w:hAnsi="Times New Roman" w:cs="Times New Roman"/>
            <w:color w:val="000000" w:themeColor="text1"/>
            <w:sz w:val="24"/>
            <w:szCs w:val="24"/>
          </w:rPr>
          <w:t>https://doi.org/10.1016/j.healthpol.2018.08.018</w:t>
        </w:r>
      </w:hyperlink>
    </w:p>
    <w:p w14:paraId="423A01E5" w14:textId="2EC336E7" w:rsidR="00515380" w:rsidRPr="00E2630C" w:rsidRDefault="00515380"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shd w:val="clear" w:color="auto" w:fill="FFFFFF"/>
        </w:rPr>
        <w:t>Shafiei, M., &amp; Overton, K. (2023). Mirage or Oasis? Assessing the Role of the United Nations Assistance Mission in Afghanistan.</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Asian Journal of Peacebuilding</w:t>
      </w:r>
      <w:r w:rsidRPr="00E2630C">
        <w:rPr>
          <w:rFonts w:ascii="Times New Roman" w:hAnsi="Times New Roman" w:cs="Times New Roman"/>
          <w:color w:val="000000" w:themeColor="text1"/>
          <w:sz w:val="24"/>
          <w:szCs w:val="24"/>
          <w:shd w:val="clear" w:color="auto" w:fill="FFFFFF"/>
        </w:rPr>
        <w:t>,</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11</w:t>
      </w:r>
      <w:r w:rsidRPr="00E2630C">
        <w:rPr>
          <w:rFonts w:ascii="Times New Roman" w:hAnsi="Times New Roman" w:cs="Times New Roman"/>
          <w:color w:val="000000" w:themeColor="text1"/>
          <w:sz w:val="24"/>
          <w:szCs w:val="24"/>
          <w:shd w:val="clear" w:color="auto" w:fill="FFFFFF"/>
        </w:rPr>
        <w:t>(2), 357-376.</w:t>
      </w:r>
    </w:p>
    <w:p w14:paraId="77F631C5"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Takeuchi, S. (2019). Development and developmentalism in post-genocide Rwanda. </w:t>
      </w:r>
      <w:r w:rsidRPr="00E2630C">
        <w:rPr>
          <w:rFonts w:ascii="Times New Roman" w:eastAsia="Times New Roman" w:hAnsi="Times New Roman" w:cs="Times New Roman"/>
          <w:i/>
          <w:iCs/>
          <w:color w:val="000000" w:themeColor="text1"/>
          <w:sz w:val="24"/>
          <w:szCs w:val="24"/>
        </w:rPr>
        <w:t>Developmental State Building: The Politics of Emerging Economies</w:t>
      </w:r>
      <w:r w:rsidRPr="00E2630C">
        <w:rPr>
          <w:rFonts w:ascii="Times New Roman" w:eastAsia="Times New Roman" w:hAnsi="Times New Roman" w:cs="Times New Roman"/>
          <w:color w:val="000000" w:themeColor="text1"/>
          <w:sz w:val="24"/>
          <w:szCs w:val="24"/>
        </w:rPr>
        <w:t>, 121--134.</w:t>
      </w:r>
    </w:p>
    <w:p w14:paraId="3AE04056"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Tambiah, S. J. (1989). Ethnic conflict in the world today. </w:t>
      </w:r>
      <w:r w:rsidRPr="00E2630C">
        <w:rPr>
          <w:rFonts w:ascii="Times New Roman" w:eastAsia="Times New Roman" w:hAnsi="Times New Roman" w:cs="Times New Roman"/>
          <w:i/>
          <w:iCs/>
          <w:color w:val="000000" w:themeColor="text1"/>
          <w:sz w:val="24"/>
          <w:szCs w:val="24"/>
        </w:rPr>
        <w:t>American Ethnologist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16</w:t>
      </w:r>
      <w:r w:rsidRPr="00E2630C">
        <w:rPr>
          <w:rFonts w:ascii="Times New Roman" w:eastAsia="Times New Roman" w:hAnsi="Times New Roman" w:cs="Times New Roman"/>
          <w:color w:val="000000" w:themeColor="text1"/>
          <w:sz w:val="24"/>
          <w:szCs w:val="24"/>
        </w:rPr>
        <w:t>(2), 335--349.</w:t>
      </w:r>
    </w:p>
    <w:p w14:paraId="48110121"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Tangri, R. (1976a). Africana. </w:t>
      </w:r>
      <w:r w:rsidRPr="00E2630C">
        <w:rPr>
          <w:rFonts w:ascii="Times New Roman" w:eastAsia="Times New Roman" w:hAnsi="Times New Roman" w:cs="Times New Roman"/>
          <w:i/>
          <w:iCs/>
          <w:color w:val="000000" w:themeColor="text1"/>
          <w:sz w:val="24"/>
          <w:szCs w:val="24"/>
        </w:rPr>
        <w:t>The Journal of Modern African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14</w:t>
      </w:r>
      <w:r w:rsidRPr="00E2630C">
        <w:rPr>
          <w:rFonts w:ascii="Times New Roman" w:eastAsia="Times New Roman" w:hAnsi="Times New Roman" w:cs="Times New Roman"/>
          <w:color w:val="000000" w:themeColor="text1"/>
          <w:sz w:val="24"/>
          <w:szCs w:val="24"/>
        </w:rPr>
        <w:t>(2), 311–321. https://doi.org/10.1017/S0022278X00053301</w:t>
      </w:r>
    </w:p>
    <w:p w14:paraId="4F651951"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Tangri, R. (1976b). Conflict and Violence in Contemporary Sierra Leone Chiefdoms. </w:t>
      </w:r>
      <w:r w:rsidRPr="00E2630C">
        <w:rPr>
          <w:rFonts w:ascii="Times New Roman" w:eastAsia="Times New Roman" w:hAnsi="Times New Roman" w:cs="Times New Roman"/>
          <w:i/>
          <w:iCs/>
          <w:color w:val="000000" w:themeColor="text1"/>
          <w:sz w:val="24"/>
          <w:szCs w:val="24"/>
        </w:rPr>
        <w:t>The Journal of Modern African Studies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14</w:t>
      </w:r>
      <w:r w:rsidRPr="00E2630C">
        <w:rPr>
          <w:rFonts w:ascii="Times New Roman" w:eastAsia="Times New Roman" w:hAnsi="Times New Roman" w:cs="Times New Roman"/>
          <w:color w:val="000000" w:themeColor="text1"/>
          <w:sz w:val="24"/>
          <w:szCs w:val="24"/>
        </w:rPr>
        <w:t>(2), 311–321. https://doi.org/10.1017/S0022278X00053301</w:t>
      </w:r>
    </w:p>
    <w:p w14:paraId="74891974"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Tashakkori, A. (2009). Are We There Yet? </w:t>
      </w:r>
      <w:r w:rsidRPr="00E2630C">
        <w:rPr>
          <w:rFonts w:ascii="Times New Roman" w:eastAsia="Times New Roman" w:hAnsi="Times New Roman" w:cs="Times New Roman"/>
          <w:i/>
          <w:iCs/>
          <w:color w:val="000000" w:themeColor="text1"/>
          <w:sz w:val="24"/>
          <w:szCs w:val="24"/>
        </w:rPr>
        <w:t>Journal of Mixed Methods Research</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w:t>
      </w:r>
      <w:r w:rsidRPr="00E2630C">
        <w:rPr>
          <w:rFonts w:ascii="Times New Roman" w:eastAsia="Times New Roman" w:hAnsi="Times New Roman" w:cs="Times New Roman"/>
          <w:color w:val="000000" w:themeColor="text1"/>
          <w:sz w:val="24"/>
          <w:szCs w:val="24"/>
        </w:rPr>
        <w:t>(4), 287–291. https://doi.org/10.1177/1558689809346151</w:t>
      </w:r>
    </w:p>
    <w:p w14:paraId="4AA27FF6"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Tian, N., Lopes da Silva, D., Béraud-Sudreau, L., Liang, X., Scarazzato, L., &amp; Assis, A. (2023). Developments in Military Expenditure and the Effects of the War in Ukraine. </w:t>
      </w:r>
      <w:r w:rsidRPr="00E2630C">
        <w:rPr>
          <w:rFonts w:ascii="Times New Roman" w:eastAsia="Times New Roman" w:hAnsi="Times New Roman" w:cs="Times New Roman"/>
          <w:i/>
          <w:iCs/>
          <w:color w:val="000000" w:themeColor="text1"/>
          <w:sz w:val="24"/>
          <w:szCs w:val="24"/>
        </w:rPr>
        <w:t>Defence and Peace Economics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34</w:t>
      </w:r>
      <w:r w:rsidRPr="00E2630C">
        <w:rPr>
          <w:rFonts w:ascii="Times New Roman" w:eastAsia="Times New Roman" w:hAnsi="Times New Roman" w:cs="Times New Roman"/>
          <w:color w:val="000000" w:themeColor="text1"/>
          <w:sz w:val="24"/>
          <w:szCs w:val="24"/>
        </w:rPr>
        <w:t>(5), 547–562. https://doi.org/10.1080/10242694.2023.2221877</w:t>
      </w:r>
    </w:p>
    <w:p w14:paraId="5713CDEB"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Tonah, S. (2007). </w:t>
      </w:r>
      <w:r w:rsidRPr="00E2630C">
        <w:rPr>
          <w:rFonts w:ascii="Times New Roman" w:eastAsia="Times New Roman" w:hAnsi="Times New Roman" w:cs="Times New Roman"/>
          <w:i/>
          <w:iCs/>
          <w:color w:val="000000" w:themeColor="text1"/>
          <w:sz w:val="24"/>
          <w:szCs w:val="24"/>
        </w:rPr>
        <w:t>Ethnicity, conflicts, and consensus in Ghana</w:t>
      </w:r>
      <w:r w:rsidRPr="00E2630C">
        <w:rPr>
          <w:rFonts w:ascii="Times New Roman" w:eastAsia="Times New Roman" w:hAnsi="Times New Roman" w:cs="Times New Roman"/>
          <w:color w:val="000000" w:themeColor="text1"/>
          <w:sz w:val="24"/>
          <w:szCs w:val="24"/>
        </w:rPr>
        <w:t>. Woeli Publishing Services.</w:t>
      </w:r>
    </w:p>
    <w:p w14:paraId="2DCF8A23"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Tonah, S. (2012). The Politicisation of a Chieftaincy Conflict: The Case of Dagbon, Northern Ghana. In </w:t>
      </w:r>
      <w:r w:rsidRPr="00E2630C">
        <w:rPr>
          <w:rFonts w:ascii="Times New Roman" w:eastAsia="Times New Roman" w:hAnsi="Times New Roman" w:cs="Times New Roman"/>
          <w:i/>
          <w:iCs/>
          <w:color w:val="000000" w:themeColor="text1"/>
          <w:sz w:val="24"/>
          <w:szCs w:val="24"/>
        </w:rPr>
        <w:t>Nordic Journal of African Studies</w:t>
      </w:r>
      <w:r w:rsidRPr="00E2630C">
        <w:rPr>
          <w:rFonts w:ascii="Times New Roman" w:eastAsia="Times New Roman" w:hAnsi="Times New Roman" w:cs="Times New Roman"/>
          <w:color w:val="000000" w:themeColor="text1"/>
          <w:sz w:val="24"/>
          <w:szCs w:val="24"/>
        </w:rPr>
        <w:t xml:space="preserve"> (Vol. 21, Issue 1).</w:t>
      </w:r>
    </w:p>
    <w:p w14:paraId="0DF32B6C"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Turnovsky, G. (2011). </w:t>
      </w:r>
      <w:r w:rsidRPr="00E2630C">
        <w:rPr>
          <w:rFonts w:ascii="Times New Roman" w:eastAsia="Times New Roman" w:hAnsi="Times New Roman" w:cs="Times New Roman"/>
          <w:i/>
          <w:iCs/>
          <w:color w:val="000000" w:themeColor="text1"/>
          <w:sz w:val="24"/>
          <w:szCs w:val="24"/>
        </w:rPr>
        <w:t>The literary market: authorship and modernity in the old regime</w:t>
      </w:r>
      <w:r w:rsidRPr="00E2630C">
        <w:rPr>
          <w:rFonts w:ascii="Times New Roman" w:eastAsia="Times New Roman" w:hAnsi="Times New Roman" w:cs="Times New Roman"/>
          <w:color w:val="000000" w:themeColor="text1"/>
          <w:sz w:val="24"/>
          <w:szCs w:val="24"/>
        </w:rPr>
        <w:t>. Turnovsky, Geoffrey.</w:t>
      </w:r>
    </w:p>
    <w:p w14:paraId="44D58562"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Ukase, P. I., &amp; Abraham, V. O. (2016). The political economy of land and chieftaincy disputes in contemporary Africa: examples from central Nigeria. </w:t>
      </w:r>
      <w:r w:rsidRPr="00E2630C">
        <w:rPr>
          <w:rFonts w:ascii="Times New Roman" w:eastAsia="Times New Roman" w:hAnsi="Times New Roman" w:cs="Times New Roman"/>
          <w:i/>
          <w:iCs/>
          <w:color w:val="000000" w:themeColor="text1"/>
          <w:sz w:val="24"/>
          <w:szCs w:val="24"/>
        </w:rPr>
        <w:t>Ethnicity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510</w:t>
      </w:r>
      <w:r w:rsidRPr="00E2630C">
        <w:rPr>
          <w:rFonts w:ascii="Times New Roman" w:eastAsia="Times New Roman" w:hAnsi="Times New Roman" w:cs="Times New Roman"/>
          <w:color w:val="000000" w:themeColor="text1"/>
          <w:sz w:val="24"/>
          <w:szCs w:val="24"/>
        </w:rPr>
        <w:t>, 1–511.</w:t>
      </w:r>
    </w:p>
    <w:p w14:paraId="4E6ACE74" w14:textId="4D54460B" w:rsidR="00CD3724" w:rsidRPr="00DD112B"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Um, K. (2023). Refugee Return, Reintegration, and Sustainable Futurity: Politics, Pitfalls and Possibilities of Repatriation in Post/Conflict Situations. </w:t>
      </w:r>
      <w:r w:rsidRPr="00E2630C">
        <w:rPr>
          <w:rFonts w:ascii="Times New Roman" w:eastAsia="Times New Roman" w:hAnsi="Times New Roman" w:cs="Times New Roman"/>
          <w:i/>
          <w:iCs/>
          <w:color w:val="000000" w:themeColor="text1"/>
          <w:sz w:val="24"/>
          <w:szCs w:val="24"/>
        </w:rPr>
        <w:t>Geopolitics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28</w:t>
      </w:r>
      <w:r w:rsidRPr="00E2630C">
        <w:rPr>
          <w:rFonts w:ascii="Times New Roman" w:eastAsia="Times New Roman" w:hAnsi="Times New Roman" w:cs="Times New Roman"/>
          <w:color w:val="000000" w:themeColor="text1"/>
          <w:sz w:val="24"/>
          <w:szCs w:val="24"/>
        </w:rPr>
        <w:t>(3), 1130–</w:t>
      </w:r>
      <w:r w:rsidRPr="00DD112B">
        <w:rPr>
          <w:rFonts w:ascii="Times New Roman" w:eastAsia="Times New Roman" w:hAnsi="Times New Roman" w:cs="Times New Roman"/>
          <w:color w:val="000000" w:themeColor="text1"/>
          <w:sz w:val="24"/>
          <w:szCs w:val="24"/>
        </w:rPr>
        <w:t xml:space="preserve">1160. </w:t>
      </w:r>
      <w:hyperlink r:id="rId19" w:history="1">
        <w:r w:rsidR="00336CA5" w:rsidRPr="00DD112B">
          <w:rPr>
            <w:rStyle w:val="Hyperlink"/>
            <w:rFonts w:ascii="Times New Roman" w:eastAsia="Times New Roman" w:hAnsi="Times New Roman" w:cs="Times New Roman"/>
            <w:color w:val="000000" w:themeColor="text1"/>
            <w:sz w:val="24"/>
            <w:szCs w:val="24"/>
            <w:u w:val="none"/>
          </w:rPr>
          <w:t>https://doi.org/10.1080/14650045.2023.2170787</w:t>
        </w:r>
      </w:hyperlink>
    </w:p>
    <w:p w14:paraId="792BB702" w14:textId="77777777" w:rsidR="00336CA5" w:rsidRPr="00E2630C" w:rsidRDefault="00336CA5" w:rsidP="001B7AD4">
      <w:pPr>
        <w:autoSpaceDE w:val="0"/>
        <w:autoSpaceDN w:val="0"/>
        <w:spacing w:line="360" w:lineRule="auto"/>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UN Assistance Mission in Afghanistan. (2019). </w:t>
      </w:r>
      <w:r w:rsidRPr="00E2630C">
        <w:rPr>
          <w:rFonts w:ascii="Times New Roman" w:hAnsi="Times New Roman" w:cs="Times New Roman"/>
          <w:i/>
          <w:sz w:val="24"/>
          <w:szCs w:val="24"/>
        </w:rPr>
        <w:t>Human rights in Afghanistan: Annual report</w:t>
      </w:r>
      <w:r w:rsidRPr="00E2630C">
        <w:rPr>
          <w:rFonts w:ascii="Times New Roman" w:hAnsi="Times New Roman" w:cs="Times New Roman"/>
          <w:sz w:val="24"/>
          <w:szCs w:val="24"/>
        </w:rPr>
        <w:t xml:space="preserve">. </w:t>
      </w:r>
      <w:r w:rsidRPr="00E2630C">
        <w:rPr>
          <w:rFonts w:ascii="Times New Roman" w:hAnsi="Times New Roman" w:cs="Times New Roman"/>
          <w:sz w:val="24"/>
          <w:szCs w:val="24"/>
        </w:rPr>
        <w:tab/>
        <w:t xml:space="preserve">UN Assistance Mission in Afghanistan. </w:t>
      </w:r>
      <w:r w:rsidRPr="00E2630C">
        <w:rPr>
          <w:rFonts w:ascii="Times New Roman" w:eastAsia="Times New Roman" w:hAnsi="Times New Roman" w:cs="Times New Roman"/>
          <w:i/>
          <w:iCs/>
          <w:color w:val="000000" w:themeColor="text1"/>
          <w:sz w:val="24"/>
          <w:szCs w:val="24"/>
        </w:rPr>
        <w:t>9</w:t>
      </w:r>
      <w:r w:rsidRPr="00E2630C">
        <w:rPr>
          <w:rFonts w:ascii="Times New Roman" w:eastAsia="Times New Roman" w:hAnsi="Times New Roman" w:cs="Times New Roman"/>
          <w:color w:val="000000" w:themeColor="text1"/>
          <w:sz w:val="24"/>
          <w:szCs w:val="24"/>
        </w:rPr>
        <w:t>(1), 48–76.</w:t>
      </w:r>
    </w:p>
    <w:p w14:paraId="3A874D76" w14:textId="77777777" w:rsidR="00336CA5" w:rsidRPr="00E2630C" w:rsidRDefault="00336CA5" w:rsidP="001B7AD4">
      <w:pPr>
        <w:autoSpaceDE w:val="0"/>
        <w:autoSpaceDN w:val="0"/>
        <w:spacing w:line="360" w:lineRule="auto"/>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United Nations Development Programme (UNDP). (1994). </w:t>
      </w:r>
      <w:r w:rsidRPr="00E2630C">
        <w:rPr>
          <w:rFonts w:ascii="Times New Roman" w:hAnsi="Times New Roman" w:cs="Times New Roman"/>
          <w:i/>
          <w:sz w:val="24"/>
          <w:szCs w:val="24"/>
        </w:rPr>
        <w:t>Human development report 1994</w:t>
      </w:r>
      <w:r w:rsidRPr="00E2630C">
        <w:rPr>
          <w:rFonts w:ascii="Times New Roman" w:hAnsi="Times New Roman" w:cs="Times New Roman"/>
          <w:sz w:val="24"/>
          <w:szCs w:val="24"/>
        </w:rPr>
        <w:t>. Oxford University Press.</w:t>
      </w:r>
      <w:r w:rsidRPr="00E2630C">
        <w:rPr>
          <w:rFonts w:ascii="Times New Roman" w:eastAsia="Times New Roman" w:hAnsi="Times New Roman" w:cs="Times New Roman"/>
          <w:i/>
          <w:iCs/>
          <w:color w:val="000000" w:themeColor="text1"/>
          <w:sz w:val="24"/>
          <w:szCs w:val="24"/>
        </w:rPr>
        <w:t xml:space="preserve"> 35</w:t>
      </w:r>
      <w:r w:rsidRPr="00E2630C">
        <w:rPr>
          <w:rFonts w:ascii="Times New Roman" w:eastAsia="Times New Roman" w:hAnsi="Times New Roman" w:cs="Times New Roman"/>
          <w:color w:val="000000" w:themeColor="text1"/>
          <w:sz w:val="24"/>
          <w:szCs w:val="24"/>
        </w:rPr>
        <w:t>(1), 3–21.</w:t>
      </w:r>
    </w:p>
    <w:p w14:paraId="31435451" w14:textId="77777777" w:rsidR="00336CA5" w:rsidRPr="00E2630C" w:rsidRDefault="00336CA5" w:rsidP="001B7AD4">
      <w:pPr>
        <w:autoSpaceDE w:val="0"/>
        <w:autoSpaceDN w:val="0"/>
        <w:spacing w:line="360" w:lineRule="auto"/>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United Nations Development Programme (UNDP). (2005). </w:t>
      </w:r>
      <w:r w:rsidRPr="00E2630C">
        <w:rPr>
          <w:rFonts w:ascii="Times New Roman" w:hAnsi="Times New Roman" w:cs="Times New Roman"/>
          <w:i/>
          <w:sz w:val="24"/>
          <w:szCs w:val="24"/>
        </w:rPr>
        <w:t>Human development report 2005: International cooperation at a crossroads</w:t>
      </w:r>
      <w:r w:rsidRPr="00E2630C">
        <w:rPr>
          <w:rFonts w:ascii="Times New Roman" w:hAnsi="Times New Roman" w:cs="Times New Roman"/>
          <w:sz w:val="24"/>
          <w:szCs w:val="24"/>
        </w:rPr>
        <w:t>. Oxford University Press.</w:t>
      </w:r>
    </w:p>
    <w:p w14:paraId="7DBB2DE2" w14:textId="77777777" w:rsidR="00336CA5" w:rsidRPr="00E2630C" w:rsidRDefault="00336CA5" w:rsidP="001B7AD4">
      <w:pPr>
        <w:autoSpaceDE w:val="0"/>
        <w:autoSpaceDN w:val="0"/>
        <w:spacing w:line="360" w:lineRule="auto"/>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United Nations Development Programme (UNDP). (2012). </w:t>
      </w:r>
      <w:r w:rsidRPr="00E2630C">
        <w:rPr>
          <w:rFonts w:ascii="Times New Roman" w:hAnsi="Times New Roman" w:cs="Times New Roman"/>
          <w:i/>
          <w:sz w:val="24"/>
          <w:szCs w:val="24"/>
        </w:rPr>
        <w:t>Governance for sustainable human development: A UNDP policy document</w:t>
      </w:r>
      <w:r w:rsidRPr="00E2630C">
        <w:rPr>
          <w:rFonts w:ascii="Times New Roman" w:hAnsi="Times New Roman" w:cs="Times New Roman"/>
          <w:sz w:val="24"/>
          <w:szCs w:val="24"/>
        </w:rPr>
        <w:t xml:space="preserve">. UNDP. </w:t>
      </w:r>
      <w:r w:rsidRPr="00E2630C">
        <w:rPr>
          <w:rFonts w:ascii="Times New Roman" w:eastAsia="Times New Roman" w:hAnsi="Times New Roman" w:cs="Times New Roman"/>
          <w:i/>
          <w:iCs/>
          <w:color w:val="000000" w:themeColor="text1"/>
          <w:sz w:val="24"/>
          <w:szCs w:val="24"/>
        </w:rPr>
        <w:t>35</w:t>
      </w:r>
      <w:r w:rsidRPr="00E2630C">
        <w:rPr>
          <w:rFonts w:ascii="Times New Roman" w:eastAsia="Times New Roman" w:hAnsi="Times New Roman" w:cs="Times New Roman"/>
          <w:color w:val="000000" w:themeColor="text1"/>
          <w:sz w:val="24"/>
          <w:szCs w:val="24"/>
        </w:rPr>
        <w:t>(1), 3–21.</w:t>
      </w:r>
    </w:p>
    <w:p w14:paraId="3DDA15DD" w14:textId="10DC30CA" w:rsidR="00336CA5" w:rsidRPr="00E2630C" w:rsidRDefault="00336CA5" w:rsidP="001B7AD4">
      <w:pPr>
        <w:autoSpaceDE w:val="0"/>
        <w:autoSpaceDN w:val="0"/>
        <w:spacing w:line="360" w:lineRule="auto"/>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United Nations Environment Programme (UNEP) &amp; United Nations Development Programme (UNDP). (2013). </w:t>
      </w:r>
      <w:r w:rsidRPr="00E2630C">
        <w:rPr>
          <w:rFonts w:ascii="Times New Roman" w:hAnsi="Times New Roman" w:cs="Times New Roman"/>
          <w:i/>
          <w:sz w:val="24"/>
          <w:szCs w:val="24"/>
        </w:rPr>
        <w:t>The future we want: Biodiversity and development in Africa</w:t>
      </w:r>
      <w:r w:rsidRPr="00E2630C">
        <w:rPr>
          <w:rFonts w:ascii="Times New Roman" w:hAnsi="Times New Roman" w:cs="Times New Roman"/>
          <w:sz w:val="24"/>
          <w:szCs w:val="24"/>
        </w:rPr>
        <w:t>. UNEP &amp; UNDP.</w:t>
      </w:r>
    </w:p>
    <w:p w14:paraId="4262FB4F" w14:textId="77777777" w:rsidR="00336CA5" w:rsidRPr="00E2630C" w:rsidRDefault="00336CA5" w:rsidP="001B7AD4">
      <w:pPr>
        <w:autoSpaceDE w:val="0"/>
        <w:autoSpaceDN w:val="0"/>
        <w:spacing w:line="360" w:lineRule="auto"/>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United Nations Environment Programme (UNEP). (2012). </w:t>
      </w:r>
      <w:r w:rsidRPr="00E2630C">
        <w:rPr>
          <w:rFonts w:ascii="Times New Roman" w:hAnsi="Times New Roman" w:cs="Times New Roman"/>
          <w:i/>
          <w:sz w:val="24"/>
          <w:szCs w:val="24"/>
        </w:rPr>
        <w:t>Environmental assessment of conflicts in Africa</w:t>
      </w:r>
      <w:r w:rsidRPr="00E2630C">
        <w:rPr>
          <w:rFonts w:ascii="Times New Roman" w:hAnsi="Times New Roman" w:cs="Times New Roman"/>
          <w:sz w:val="24"/>
          <w:szCs w:val="24"/>
        </w:rPr>
        <w:t>. United Nations Environment Programme.</w:t>
      </w:r>
      <w:r w:rsidRPr="00E2630C">
        <w:rPr>
          <w:rFonts w:ascii="Times New Roman" w:eastAsia="Times New Roman" w:hAnsi="Times New Roman" w:cs="Times New Roman"/>
          <w:i/>
          <w:iCs/>
          <w:color w:val="000000" w:themeColor="text1"/>
          <w:sz w:val="24"/>
          <w:szCs w:val="24"/>
        </w:rPr>
        <w:t xml:space="preserve"> 9</w:t>
      </w:r>
      <w:r w:rsidRPr="00E2630C">
        <w:rPr>
          <w:rFonts w:ascii="Times New Roman" w:eastAsia="Times New Roman" w:hAnsi="Times New Roman" w:cs="Times New Roman"/>
          <w:color w:val="000000" w:themeColor="text1"/>
          <w:sz w:val="24"/>
          <w:szCs w:val="24"/>
        </w:rPr>
        <w:t>(1), 48–76.</w:t>
      </w:r>
    </w:p>
    <w:p w14:paraId="4E94DD50" w14:textId="77777777" w:rsidR="00336CA5" w:rsidRPr="00E2630C" w:rsidRDefault="00336CA5" w:rsidP="001B7AD4">
      <w:pPr>
        <w:autoSpaceDE w:val="0"/>
        <w:autoSpaceDN w:val="0"/>
        <w:spacing w:line="360" w:lineRule="auto"/>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sz w:val="24"/>
          <w:szCs w:val="24"/>
        </w:rPr>
        <w:t xml:space="preserve">United Nations Interagency Framework Team for Preventive Action (UNIFTPA). (2012). </w:t>
      </w:r>
      <w:r w:rsidRPr="00E2630C">
        <w:rPr>
          <w:rFonts w:ascii="Times New Roman" w:hAnsi="Times New Roman" w:cs="Times New Roman"/>
          <w:i/>
          <w:sz w:val="24"/>
          <w:szCs w:val="24"/>
        </w:rPr>
        <w:t>Toolkit and guidance for preventing violent conflict: Land and natural resource management</w:t>
      </w:r>
      <w:r w:rsidRPr="00E2630C">
        <w:rPr>
          <w:rFonts w:ascii="Times New Roman" w:hAnsi="Times New Roman" w:cs="Times New Roman"/>
          <w:sz w:val="24"/>
          <w:szCs w:val="24"/>
        </w:rPr>
        <w:t>. United Nations.</w:t>
      </w:r>
    </w:p>
    <w:p w14:paraId="727F0769" w14:textId="3FFB2D50" w:rsidR="00CD3724" w:rsidRPr="00E2630C" w:rsidRDefault="00CD3724" w:rsidP="001B7AD4">
      <w:pPr>
        <w:autoSpaceDE w:val="0"/>
        <w:autoSpaceDN w:val="0"/>
        <w:spacing w:line="360" w:lineRule="auto"/>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UNDP. (2012). </w:t>
      </w:r>
      <w:r w:rsidRPr="00E2630C">
        <w:rPr>
          <w:rFonts w:ascii="Times New Roman" w:eastAsia="Times New Roman" w:hAnsi="Times New Roman" w:cs="Times New Roman"/>
          <w:i/>
          <w:iCs/>
          <w:color w:val="000000" w:themeColor="text1"/>
          <w:sz w:val="24"/>
          <w:szCs w:val="24"/>
        </w:rPr>
        <w:t>United Nations Development Programme and System (UNDP) Report</w:t>
      </w:r>
      <w:r w:rsidRPr="00E2630C">
        <w:rPr>
          <w:rFonts w:ascii="Times New Roman" w:eastAsia="Times New Roman" w:hAnsi="Times New Roman" w:cs="Times New Roman"/>
          <w:color w:val="000000" w:themeColor="text1"/>
          <w:sz w:val="24"/>
          <w:szCs w:val="24"/>
        </w:rPr>
        <w:t>.</w:t>
      </w:r>
    </w:p>
    <w:p w14:paraId="0E4C4E18" w14:textId="52435480" w:rsidR="00EC1BBA" w:rsidRPr="00E2630C" w:rsidRDefault="00EC1BBA"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UNDP (19</w:t>
      </w:r>
      <w:r w:rsidR="00A71B75" w:rsidRPr="00E2630C">
        <w:rPr>
          <w:rFonts w:ascii="Times New Roman" w:eastAsia="Times New Roman" w:hAnsi="Times New Roman" w:cs="Times New Roman"/>
          <w:color w:val="000000" w:themeColor="text1"/>
          <w:sz w:val="24"/>
          <w:szCs w:val="24"/>
        </w:rPr>
        <w:t>9</w:t>
      </w:r>
      <w:r w:rsidRPr="00E2630C">
        <w:rPr>
          <w:rFonts w:ascii="Times New Roman" w:eastAsia="Times New Roman" w:hAnsi="Times New Roman" w:cs="Times New Roman"/>
          <w:color w:val="000000" w:themeColor="text1"/>
          <w:sz w:val="24"/>
          <w:szCs w:val="24"/>
        </w:rPr>
        <w:t>4) Human Security Report. Available:</w:t>
      </w:r>
      <w:r w:rsidRPr="00E2630C">
        <w:rPr>
          <w:rFonts w:ascii="Times New Roman" w:hAnsi="Times New Roman" w:cs="Times New Roman"/>
          <w:color w:val="000000" w:themeColor="text1"/>
          <w:sz w:val="24"/>
          <w:szCs w:val="24"/>
        </w:rPr>
        <w:t xml:space="preserve"> </w:t>
      </w:r>
      <w:r w:rsidRPr="00E2630C">
        <w:rPr>
          <w:rFonts w:ascii="Times New Roman" w:eastAsia="Times New Roman" w:hAnsi="Times New Roman" w:cs="Times New Roman"/>
          <w:color w:val="000000" w:themeColor="text1"/>
          <w:sz w:val="24"/>
          <w:szCs w:val="24"/>
        </w:rPr>
        <w:t>hdr_undp.org/en.hdr_1994.pdf</w:t>
      </w:r>
    </w:p>
    <w:p w14:paraId="7C482AEA" w14:textId="77777777" w:rsidR="00A71B75"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Valle, R. F., Varandas, S. G. P., Sanches Fernandes, L. F., &amp; Pacheco, F. A. L. (2014). Groundwater quality in rural watersheds with environmental land use conflicts. </w:t>
      </w:r>
      <w:r w:rsidRPr="00E2630C">
        <w:rPr>
          <w:rFonts w:ascii="Times New Roman" w:eastAsia="Times New Roman" w:hAnsi="Times New Roman" w:cs="Times New Roman"/>
          <w:i/>
          <w:iCs/>
          <w:color w:val="000000" w:themeColor="text1"/>
          <w:sz w:val="24"/>
          <w:szCs w:val="24"/>
        </w:rPr>
        <w:t>Science of The Total Environment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493</w:t>
      </w:r>
      <w:r w:rsidRPr="00E2630C">
        <w:rPr>
          <w:rFonts w:ascii="Times New Roman" w:eastAsia="Times New Roman" w:hAnsi="Times New Roman" w:cs="Times New Roman"/>
          <w:color w:val="000000" w:themeColor="text1"/>
          <w:sz w:val="24"/>
          <w:szCs w:val="24"/>
        </w:rPr>
        <w:t xml:space="preserve">, 812–827. </w:t>
      </w:r>
      <w:hyperlink r:id="rId20" w:history="1">
        <w:r w:rsidR="00A71B75" w:rsidRPr="00E2630C">
          <w:rPr>
            <w:rStyle w:val="Hyperlink"/>
            <w:rFonts w:ascii="Times New Roman" w:eastAsia="Times New Roman" w:hAnsi="Times New Roman" w:cs="Times New Roman"/>
            <w:color w:val="000000" w:themeColor="text1"/>
            <w:sz w:val="24"/>
            <w:szCs w:val="24"/>
          </w:rPr>
          <w:t>https://doi.org/10.1016/j.scitotenv.2014.06.068</w:t>
        </w:r>
      </w:hyperlink>
    </w:p>
    <w:p w14:paraId="0919684E" w14:textId="77777777" w:rsidR="00A71B75"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van Wijk, M. T. (2014). From global economic modelling to household level analyses of food security and sustainability: How big is the gap and can we bridge it? </w:t>
      </w:r>
      <w:r w:rsidRPr="00E2630C">
        <w:rPr>
          <w:rFonts w:ascii="Times New Roman" w:eastAsia="Times New Roman" w:hAnsi="Times New Roman" w:cs="Times New Roman"/>
          <w:i/>
          <w:iCs/>
          <w:color w:val="000000" w:themeColor="text1"/>
          <w:sz w:val="24"/>
          <w:szCs w:val="24"/>
        </w:rPr>
        <w:t>Food Policy</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49</w:t>
      </w:r>
      <w:r w:rsidRPr="00E2630C">
        <w:rPr>
          <w:rFonts w:ascii="Times New Roman" w:eastAsia="Times New Roman" w:hAnsi="Times New Roman" w:cs="Times New Roman"/>
          <w:color w:val="000000" w:themeColor="text1"/>
          <w:sz w:val="24"/>
          <w:szCs w:val="24"/>
        </w:rPr>
        <w:t xml:space="preserve">, 378–388. </w:t>
      </w:r>
      <w:hyperlink r:id="rId21" w:history="1">
        <w:r w:rsidR="00A71B75" w:rsidRPr="00E2630C">
          <w:rPr>
            <w:rStyle w:val="Hyperlink"/>
            <w:rFonts w:ascii="Times New Roman" w:eastAsia="Times New Roman" w:hAnsi="Times New Roman" w:cs="Times New Roman"/>
            <w:color w:val="000000" w:themeColor="text1"/>
            <w:sz w:val="24"/>
            <w:szCs w:val="24"/>
          </w:rPr>
          <w:t>https://doi.org/10.1016/j.foodpol.2014.10.003</w:t>
        </w:r>
      </w:hyperlink>
    </w:p>
    <w:p w14:paraId="3A7E2E55" w14:textId="6C203C42" w:rsidR="00A71B75" w:rsidRPr="00E2630C" w:rsidRDefault="00A71B75"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shd w:val="clear" w:color="auto" w:fill="FFFFFF"/>
        </w:rPr>
        <w:t>Viani, Gustavo Arruda, Caio Viani Arruda, Antonio Cassio Assis Pellizzon, and Ligia Issa De Fendi. "HDR brachytherapy as monotherapy for prostate cancer: A systematic review with meta-analysis."</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i/>
          <w:iCs/>
          <w:color w:val="000000" w:themeColor="text1"/>
          <w:sz w:val="24"/>
          <w:szCs w:val="24"/>
        </w:rPr>
        <w:t>Brachytherapy</w:t>
      </w:r>
      <w:r w:rsidRPr="00E2630C">
        <w:rPr>
          <w:rStyle w:val="apple-converted-space"/>
          <w:rFonts w:ascii="Times New Roman" w:hAnsi="Times New Roman" w:cs="Times New Roman"/>
          <w:color w:val="000000" w:themeColor="text1"/>
          <w:sz w:val="24"/>
          <w:szCs w:val="24"/>
          <w:shd w:val="clear" w:color="auto" w:fill="FFFFFF"/>
        </w:rPr>
        <w:t> </w:t>
      </w:r>
      <w:r w:rsidRPr="00E2630C">
        <w:rPr>
          <w:rFonts w:ascii="Times New Roman" w:hAnsi="Times New Roman" w:cs="Times New Roman"/>
          <w:color w:val="000000" w:themeColor="text1"/>
          <w:sz w:val="24"/>
          <w:szCs w:val="24"/>
          <w:shd w:val="clear" w:color="auto" w:fill="FFFFFF"/>
        </w:rPr>
        <w:t>20, no. 2 (2021): 307-314.</w:t>
      </w:r>
    </w:p>
    <w:p w14:paraId="46DDC47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Wæver, O. (2011). Politics, security, theory. </w:t>
      </w:r>
      <w:r w:rsidRPr="00E2630C">
        <w:rPr>
          <w:rFonts w:ascii="Times New Roman" w:eastAsia="Times New Roman" w:hAnsi="Times New Roman" w:cs="Times New Roman"/>
          <w:i/>
          <w:iCs/>
          <w:color w:val="000000" w:themeColor="text1"/>
          <w:sz w:val="24"/>
          <w:szCs w:val="24"/>
        </w:rPr>
        <w:t>Security Dialogue</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42</w:t>
      </w:r>
      <w:r w:rsidRPr="00E2630C">
        <w:rPr>
          <w:rFonts w:ascii="Times New Roman" w:eastAsia="Times New Roman" w:hAnsi="Times New Roman" w:cs="Times New Roman"/>
          <w:color w:val="000000" w:themeColor="text1"/>
          <w:sz w:val="24"/>
          <w:szCs w:val="24"/>
        </w:rPr>
        <w:t>(4), 465--480.</w:t>
      </w:r>
    </w:p>
    <w:p w14:paraId="44C764C5"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Wæver, O. (2015). The theory act: Responsibility and exactitude as seen from securitization. </w:t>
      </w:r>
      <w:r w:rsidRPr="00E2630C">
        <w:rPr>
          <w:rFonts w:ascii="Times New Roman" w:eastAsia="Times New Roman" w:hAnsi="Times New Roman" w:cs="Times New Roman"/>
          <w:i/>
          <w:iCs/>
          <w:color w:val="000000" w:themeColor="text1"/>
          <w:sz w:val="24"/>
          <w:szCs w:val="24"/>
        </w:rPr>
        <w:t>International Relations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29</w:t>
      </w:r>
      <w:r w:rsidRPr="00E2630C">
        <w:rPr>
          <w:rFonts w:ascii="Times New Roman" w:eastAsia="Times New Roman" w:hAnsi="Times New Roman" w:cs="Times New Roman"/>
          <w:color w:val="000000" w:themeColor="text1"/>
          <w:sz w:val="24"/>
          <w:szCs w:val="24"/>
        </w:rPr>
        <w:t>(1), 121–127. https://doi.org/10.1177/0047117814526606d</w:t>
      </w:r>
    </w:p>
    <w:p w14:paraId="3071BB5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Wajim, J. (2020). Youth Unemployment: The Cause of Ethnic Conflict and Criminal Activities in Takum Local Government Area of Taraba State Nigeria. </w:t>
      </w:r>
      <w:r w:rsidRPr="00E2630C">
        <w:rPr>
          <w:rFonts w:ascii="Times New Roman" w:eastAsia="Times New Roman" w:hAnsi="Times New Roman" w:cs="Times New Roman"/>
          <w:i/>
          <w:iCs/>
          <w:color w:val="000000" w:themeColor="text1"/>
          <w:sz w:val="24"/>
          <w:szCs w:val="24"/>
        </w:rPr>
        <w:t>The International Journal of Social Sciences and Humanities Invention</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7</w:t>
      </w:r>
      <w:r w:rsidRPr="00E2630C">
        <w:rPr>
          <w:rFonts w:ascii="Times New Roman" w:eastAsia="Times New Roman" w:hAnsi="Times New Roman" w:cs="Times New Roman"/>
          <w:color w:val="000000" w:themeColor="text1"/>
          <w:sz w:val="24"/>
          <w:szCs w:val="24"/>
        </w:rPr>
        <w:t>(04), 5882–5890. https://doi.org/10.18535/ijsshi/v7i04.01</w:t>
      </w:r>
    </w:p>
    <w:p w14:paraId="162D20BF"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Webb, K. (1992). Science, biology, and conflict. </w:t>
      </w:r>
      <w:r w:rsidRPr="00E2630C">
        <w:rPr>
          <w:rFonts w:ascii="Times New Roman" w:eastAsia="Times New Roman" w:hAnsi="Times New Roman" w:cs="Times New Roman"/>
          <w:i/>
          <w:iCs/>
          <w:color w:val="000000" w:themeColor="text1"/>
          <w:sz w:val="24"/>
          <w:szCs w:val="24"/>
        </w:rPr>
        <w:t>Paradigms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6</w:t>
      </w:r>
      <w:r w:rsidRPr="00E2630C">
        <w:rPr>
          <w:rFonts w:ascii="Times New Roman" w:eastAsia="Times New Roman" w:hAnsi="Times New Roman" w:cs="Times New Roman"/>
          <w:color w:val="000000" w:themeColor="text1"/>
          <w:sz w:val="24"/>
          <w:szCs w:val="24"/>
        </w:rPr>
        <w:t>(1), 65–96. https://doi.org/10.1080/13600829208443014</w:t>
      </w:r>
    </w:p>
    <w:p w14:paraId="5C4E09F0"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WHO. (2017). Consultation on the development of the global dementia observatory, World Health Organization, Geneva, 5-6 July 2016: meeting report. </w:t>
      </w:r>
      <w:r w:rsidRPr="00E2630C">
        <w:rPr>
          <w:rFonts w:ascii="Times New Roman" w:eastAsia="Times New Roman" w:hAnsi="Times New Roman" w:cs="Times New Roman"/>
          <w:i/>
          <w:iCs/>
          <w:color w:val="000000" w:themeColor="text1"/>
          <w:sz w:val="24"/>
          <w:szCs w:val="24"/>
        </w:rPr>
        <w:t>World Health Organization</w:t>
      </w:r>
      <w:r w:rsidRPr="00E2630C">
        <w:rPr>
          <w:rFonts w:ascii="Times New Roman" w:eastAsia="Times New Roman" w:hAnsi="Times New Roman" w:cs="Times New Roman"/>
          <w:color w:val="000000" w:themeColor="text1"/>
          <w:sz w:val="24"/>
          <w:szCs w:val="24"/>
        </w:rPr>
        <w:t>.</w:t>
      </w:r>
    </w:p>
    <w:p w14:paraId="38E03220"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Winne, J. De, &amp; Peersman, G. (2019). The Impact of Food Prices on Conflict Revisited. </w:t>
      </w:r>
      <w:r w:rsidRPr="00E2630C">
        <w:rPr>
          <w:rFonts w:ascii="Times New Roman" w:eastAsia="Times New Roman" w:hAnsi="Times New Roman" w:cs="Times New Roman"/>
          <w:i/>
          <w:iCs/>
          <w:color w:val="000000" w:themeColor="text1"/>
          <w:sz w:val="24"/>
          <w:szCs w:val="24"/>
        </w:rPr>
        <w:t>Journal of Business and Economic Statistics</w:t>
      </w:r>
      <w:r w:rsidRPr="00E2630C">
        <w:rPr>
          <w:rFonts w:ascii="Times New Roman" w:eastAsia="Times New Roman" w:hAnsi="Times New Roman" w:cs="Times New Roman"/>
          <w:color w:val="000000" w:themeColor="text1"/>
          <w:sz w:val="24"/>
          <w:szCs w:val="24"/>
        </w:rPr>
        <w:t>. https://doi.org/10.1080/07350015.2019.1684301</w:t>
      </w:r>
    </w:p>
    <w:p w14:paraId="0BEFCBB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Wolff, S. (2011). Managing Ethnic Conflict: The Merits and Perils of Territorial Accommodation. </w:t>
      </w:r>
      <w:r w:rsidRPr="00E2630C">
        <w:rPr>
          <w:rFonts w:ascii="Times New Roman" w:eastAsia="Times New Roman" w:hAnsi="Times New Roman" w:cs="Times New Roman"/>
          <w:i/>
          <w:iCs/>
          <w:color w:val="000000" w:themeColor="text1"/>
          <w:sz w:val="24"/>
          <w:szCs w:val="24"/>
        </w:rPr>
        <w:t>Political Studies Review</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9</w:t>
      </w:r>
      <w:r w:rsidRPr="00E2630C">
        <w:rPr>
          <w:rFonts w:ascii="Times New Roman" w:eastAsia="Times New Roman" w:hAnsi="Times New Roman" w:cs="Times New Roman"/>
          <w:color w:val="000000" w:themeColor="text1"/>
          <w:sz w:val="24"/>
          <w:szCs w:val="24"/>
        </w:rPr>
        <w:t>(1), 26–41. https://doi.org/10.1111/j.1478-9302.2010.00224.x</w:t>
      </w:r>
    </w:p>
    <w:p w14:paraId="0967205F"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World Bank. (2018). </w:t>
      </w:r>
      <w:r w:rsidRPr="00E2630C">
        <w:rPr>
          <w:rFonts w:ascii="Times New Roman" w:eastAsia="Times New Roman" w:hAnsi="Times New Roman" w:cs="Times New Roman"/>
          <w:i/>
          <w:iCs/>
          <w:color w:val="000000" w:themeColor="text1"/>
          <w:sz w:val="24"/>
          <w:szCs w:val="24"/>
        </w:rPr>
        <w:t>World development report 2019: The changing nature of work</w:t>
      </w:r>
      <w:r w:rsidRPr="00E2630C">
        <w:rPr>
          <w:rFonts w:ascii="Times New Roman" w:eastAsia="Times New Roman" w:hAnsi="Times New Roman" w:cs="Times New Roman"/>
          <w:color w:val="000000" w:themeColor="text1"/>
          <w:sz w:val="24"/>
          <w:szCs w:val="24"/>
        </w:rPr>
        <w:t>. The World Bank.</w:t>
      </w:r>
    </w:p>
    <w:p w14:paraId="54519DC6"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Wumbla, I. (2018). Condemned without hearing: an intersectional analysis of the practice of branding, banishing, and camping of alleged witches in Northern Ghana. </w:t>
      </w:r>
      <w:r w:rsidRPr="00E2630C">
        <w:rPr>
          <w:rFonts w:ascii="Times New Roman" w:eastAsia="Times New Roman" w:hAnsi="Times New Roman" w:cs="Times New Roman"/>
          <w:i/>
          <w:iCs/>
          <w:color w:val="000000" w:themeColor="text1"/>
          <w:sz w:val="24"/>
          <w:szCs w:val="24"/>
        </w:rPr>
        <w:t>ISS Working Paper Series/General Series</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633</w:t>
      </w:r>
      <w:r w:rsidRPr="00E2630C">
        <w:rPr>
          <w:rFonts w:ascii="Times New Roman" w:eastAsia="Times New Roman" w:hAnsi="Times New Roman" w:cs="Times New Roman"/>
          <w:color w:val="000000" w:themeColor="text1"/>
          <w:sz w:val="24"/>
          <w:szCs w:val="24"/>
        </w:rPr>
        <w:t>(633), 1–51.</w:t>
      </w:r>
    </w:p>
    <w:p w14:paraId="5A1E96C9"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lastRenderedPageBreak/>
        <w:t xml:space="preserve">Yardley, L., &amp; Bishop, F. L. (2017). Mixing qualitative and quantitative methods: A pragmatic approach. </w:t>
      </w:r>
      <w:r w:rsidRPr="00E2630C">
        <w:rPr>
          <w:rFonts w:ascii="Times New Roman" w:eastAsia="Times New Roman" w:hAnsi="Times New Roman" w:cs="Times New Roman"/>
          <w:i/>
          <w:iCs/>
          <w:color w:val="000000" w:themeColor="text1"/>
          <w:sz w:val="24"/>
          <w:szCs w:val="24"/>
        </w:rPr>
        <w:t>The Sage Handbook of Qualitative Research in Psychology</w:t>
      </w:r>
      <w:r w:rsidRPr="00E2630C">
        <w:rPr>
          <w:rFonts w:ascii="Times New Roman" w:eastAsia="Times New Roman" w:hAnsi="Times New Roman" w:cs="Times New Roman"/>
          <w:color w:val="000000" w:themeColor="text1"/>
          <w:sz w:val="24"/>
          <w:szCs w:val="24"/>
        </w:rPr>
        <w:t>, 398--413.</w:t>
      </w:r>
    </w:p>
    <w:p w14:paraId="628B7F66"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Yaro, D. S., &amp; Longi, F. Y. (2022). Leadership Perspective on Traditional Conflict Resolution in Ghana: evidence from Sayegu, Bunkpurugu/Nankpanduri District. </w:t>
      </w:r>
      <w:r w:rsidRPr="00E2630C">
        <w:rPr>
          <w:rFonts w:ascii="Times New Roman" w:eastAsia="Times New Roman" w:hAnsi="Times New Roman" w:cs="Times New Roman"/>
          <w:i/>
          <w:iCs/>
          <w:color w:val="000000" w:themeColor="text1"/>
          <w:sz w:val="24"/>
          <w:szCs w:val="24"/>
        </w:rPr>
        <w:t>International Journal of Conflict Management</w:t>
      </w:r>
      <w:r w:rsidRPr="00E2630C">
        <w:rPr>
          <w:rFonts w:ascii="Times New Roman" w:eastAsia="Times New Roman" w:hAnsi="Times New Roman" w:cs="Times New Roman"/>
          <w:color w:val="000000" w:themeColor="text1"/>
          <w:sz w:val="24"/>
          <w:szCs w:val="24"/>
        </w:rPr>
        <w:t xml:space="preserve">, </w:t>
      </w:r>
      <w:r w:rsidRPr="00E2630C">
        <w:rPr>
          <w:rFonts w:ascii="Times New Roman" w:eastAsia="Times New Roman" w:hAnsi="Times New Roman" w:cs="Times New Roman"/>
          <w:i/>
          <w:iCs/>
          <w:color w:val="000000" w:themeColor="text1"/>
          <w:sz w:val="24"/>
          <w:szCs w:val="24"/>
        </w:rPr>
        <w:t>3</w:t>
      </w:r>
      <w:r w:rsidRPr="00E2630C">
        <w:rPr>
          <w:rFonts w:ascii="Times New Roman" w:eastAsia="Times New Roman" w:hAnsi="Times New Roman" w:cs="Times New Roman"/>
          <w:color w:val="000000" w:themeColor="text1"/>
          <w:sz w:val="24"/>
          <w:szCs w:val="24"/>
        </w:rPr>
        <w:t>(2), 1–21. https://doi.org/10.47941/ijcm.1150</w:t>
      </w:r>
    </w:p>
    <w:p w14:paraId="1CA358DA" w14:textId="77777777" w:rsidR="00CD3724" w:rsidRPr="00E2630C"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Young, C. (2002). </w:t>
      </w:r>
      <w:r w:rsidRPr="00E2630C">
        <w:rPr>
          <w:rFonts w:ascii="Times New Roman" w:eastAsia="Times New Roman" w:hAnsi="Times New Roman" w:cs="Times New Roman"/>
          <w:i/>
          <w:iCs/>
          <w:color w:val="000000" w:themeColor="text1"/>
          <w:sz w:val="24"/>
          <w:szCs w:val="24"/>
        </w:rPr>
        <w:t>Ethnicity and politics in Africa</w:t>
      </w:r>
      <w:r w:rsidRPr="00E2630C">
        <w:rPr>
          <w:rFonts w:ascii="Times New Roman" w:eastAsia="Times New Roman" w:hAnsi="Times New Roman" w:cs="Times New Roman"/>
          <w:color w:val="000000" w:themeColor="text1"/>
          <w:sz w:val="24"/>
          <w:szCs w:val="24"/>
        </w:rPr>
        <w:t>. Boston University, African Studies Center.</w:t>
      </w:r>
    </w:p>
    <w:p w14:paraId="41947325" w14:textId="7F4344E5" w:rsidR="00CD3724" w:rsidRDefault="00CD3724" w:rsidP="001B7AD4">
      <w:pPr>
        <w:autoSpaceDE w:val="0"/>
        <w:autoSpaceDN w:val="0"/>
        <w:ind w:left="450" w:hanging="480"/>
        <w:jc w:val="both"/>
        <w:rPr>
          <w:rFonts w:ascii="Times New Roman" w:eastAsia="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rPr>
        <w:t xml:space="preserve">Yusuf, N. and S. R. (2022). African traditional religion, conflict resolution, and peaceful societal Co-existence. </w:t>
      </w:r>
      <w:r w:rsidRPr="00E2630C">
        <w:rPr>
          <w:rFonts w:ascii="Times New Roman" w:eastAsia="Times New Roman" w:hAnsi="Times New Roman" w:cs="Times New Roman"/>
          <w:i/>
          <w:iCs/>
          <w:color w:val="000000" w:themeColor="text1"/>
          <w:sz w:val="24"/>
          <w:szCs w:val="24"/>
        </w:rPr>
        <w:t>The Palgrave Handbook of African Traditional Religion</w:t>
      </w:r>
      <w:r w:rsidRPr="00E2630C">
        <w:rPr>
          <w:rFonts w:ascii="Times New Roman" w:eastAsia="Times New Roman" w:hAnsi="Times New Roman" w:cs="Times New Roman"/>
          <w:color w:val="000000" w:themeColor="text1"/>
          <w:sz w:val="24"/>
          <w:szCs w:val="24"/>
        </w:rPr>
        <w:t>, 329–346.</w:t>
      </w:r>
    </w:p>
    <w:p w14:paraId="77122502" w14:textId="0A49A1AB" w:rsidR="00CD3724" w:rsidRPr="00E2630C" w:rsidRDefault="00CD3724" w:rsidP="00CD3724">
      <w:pPr>
        <w:spacing w:after="0" w:line="240" w:lineRule="auto"/>
        <w:jc w:val="both"/>
        <w:rPr>
          <w:rFonts w:ascii="Times New Roman" w:eastAsia="Times New Roman" w:hAnsi="Times New Roman" w:cs="Times New Roman"/>
          <w:b/>
          <w:color w:val="000000" w:themeColor="text1"/>
          <w:sz w:val="24"/>
          <w:szCs w:val="24"/>
          <w:lang w:eastAsia="en-GB"/>
        </w:rPr>
      </w:pPr>
    </w:p>
    <w:p w14:paraId="1A1B47C2" w14:textId="77777777" w:rsidR="002441E0" w:rsidRPr="00E2630C" w:rsidRDefault="002441E0" w:rsidP="002441E0">
      <w:pPr>
        <w:spacing w:after="0" w:line="240" w:lineRule="auto"/>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 xml:space="preserve">Inappropriate Reference </w:t>
      </w:r>
    </w:p>
    <w:tbl>
      <w:tblPr>
        <w:tblStyle w:val="TableGrid"/>
        <w:tblpPr w:leftFromText="180" w:rightFromText="180" w:vertAnchor="text" w:horzAnchor="margin" w:tblpXSpec="center" w:tblpY="342"/>
        <w:tblW w:w="8563" w:type="dxa"/>
        <w:tblLook w:val="04A0" w:firstRow="1" w:lastRow="0" w:firstColumn="1" w:lastColumn="0" w:noHBand="0" w:noVBand="1"/>
      </w:tblPr>
      <w:tblGrid>
        <w:gridCol w:w="616"/>
        <w:gridCol w:w="3768"/>
        <w:gridCol w:w="1188"/>
        <w:gridCol w:w="2991"/>
      </w:tblGrid>
      <w:tr w:rsidR="002D25B6" w:rsidRPr="00E2630C" w14:paraId="7D561BEC" w14:textId="77777777" w:rsidTr="00DD112B">
        <w:trPr>
          <w:trHeight w:val="364"/>
        </w:trPr>
        <w:tc>
          <w:tcPr>
            <w:tcW w:w="616" w:type="dxa"/>
          </w:tcPr>
          <w:p w14:paraId="239CA1D0" w14:textId="77777777" w:rsidR="002441E0" w:rsidRPr="00E2630C" w:rsidRDefault="002441E0" w:rsidP="00A03794">
            <w:pPr>
              <w:spacing w:line="240" w:lineRule="auto"/>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No.</w:t>
            </w:r>
          </w:p>
        </w:tc>
        <w:tc>
          <w:tcPr>
            <w:tcW w:w="3768" w:type="dxa"/>
          </w:tcPr>
          <w:p w14:paraId="4AF87537" w14:textId="77777777" w:rsidR="002441E0" w:rsidRPr="00E2630C" w:rsidRDefault="002441E0" w:rsidP="00A03794">
            <w:pPr>
              <w:spacing w:line="240" w:lineRule="auto"/>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References</w:t>
            </w:r>
          </w:p>
        </w:tc>
        <w:tc>
          <w:tcPr>
            <w:tcW w:w="1188" w:type="dxa"/>
          </w:tcPr>
          <w:p w14:paraId="38B591DA" w14:textId="77777777" w:rsidR="002441E0" w:rsidRPr="00E2630C" w:rsidRDefault="002441E0" w:rsidP="00A03794">
            <w:pPr>
              <w:spacing w:line="240" w:lineRule="auto"/>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Page</w:t>
            </w:r>
          </w:p>
        </w:tc>
        <w:tc>
          <w:tcPr>
            <w:tcW w:w="2991" w:type="dxa"/>
          </w:tcPr>
          <w:p w14:paraId="28A92DFD" w14:textId="77777777" w:rsidR="002441E0" w:rsidRPr="00E2630C" w:rsidRDefault="002441E0" w:rsidP="00A03794">
            <w:pPr>
              <w:spacing w:line="240" w:lineRule="auto"/>
              <w:rPr>
                <w:rFonts w:ascii="Times New Roman" w:hAnsi="Times New Roman" w:cs="Times New Roman"/>
                <w:b/>
                <w:bCs/>
                <w:color w:val="000000" w:themeColor="text1"/>
                <w:sz w:val="24"/>
                <w:szCs w:val="24"/>
              </w:rPr>
            </w:pPr>
            <w:r w:rsidRPr="00E2630C">
              <w:rPr>
                <w:rFonts w:ascii="Times New Roman" w:hAnsi="Times New Roman" w:cs="Times New Roman"/>
                <w:b/>
                <w:bCs/>
                <w:color w:val="000000" w:themeColor="text1"/>
                <w:sz w:val="24"/>
                <w:szCs w:val="24"/>
              </w:rPr>
              <w:t>Remarks</w:t>
            </w:r>
          </w:p>
        </w:tc>
      </w:tr>
      <w:tr w:rsidR="002D25B6" w:rsidRPr="00E2630C" w14:paraId="42DF6CE1" w14:textId="77777777" w:rsidTr="00DD112B">
        <w:trPr>
          <w:trHeight w:val="380"/>
        </w:trPr>
        <w:tc>
          <w:tcPr>
            <w:tcW w:w="616" w:type="dxa"/>
          </w:tcPr>
          <w:p w14:paraId="6B7A24D8"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w:t>
            </w:r>
          </w:p>
        </w:tc>
        <w:tc>
          <w:tcPr>
            <w:tcW w:w="3768" w:type="dxa"/>
          </w:tcPr>
          <w:p w14:paraId="47E452E7"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UNDP (2005)</w:t>
            </w:r>
          </w:p>
        </w:tc>
        <w:tc>
          <w:tcPr>
            <w:tcW w:w="1188" w:type="dxa"/>
          </w:tcPr>
          <w:p w14:paraId="1D4D3911"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3</w:t>
            </w:r>
          </w:p>
        </w:tc>
        <w:tc>
          <w:tcPr>
            <w:tcW w:w="2991" w:type="dxa"/>
          </w:tcPr>
          <w:p w14:paraId="36931027"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0877153E" w14:textId="77777777" w:rsidTr="00DD112B">
        <w:trPr>
          <w:trHeight w:val="364"/>
        </w:trPr>
        <w:tc>
          <w:tcPr>
            <w:tcW w:w="616" w:type="dxa"/>
          </w:tcPr>
          <w:p w14:paraId="1060BCDF"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w:t>
            </w:r>
          </w:p>
        </w:tc>
        <w:tc>
          <w:tcPr>
            <w:tcW w:w="3768" w:type="dxa"/>
          </w:tcPr>
          <w:p w14:paraId="6A3A7546"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UNDP (1994)</w:t>
            </w:r>
          </w:p>
        </w:tc>
        <w:tc>
          <w:tcPr>
            <w:tcW w:w="1188" w:type="dxa"/>
          </w:tcPr>
          <w:p w14:paraId="5FB1FC75"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4, 5</w:t>
            </w:r>
          </w:p>
        </w:tc>
        <w:tc>
          <w:tcPr>
            <w:tcW w:w="2991" w:type="dxa"/>
          </w:tcPr>
          <w:p w14:paraId="4A2F0246"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635A57CB" w14:textId="77777777" w:rsidTr="00DD112B">
        <w:trPr>
          <w:trHeight w:val="380"/>
        </w:trPr>
        <w:tc>
          <w:tcPr>
            <w:tcW w:w="616" w:type="dxa"/>
          </w:tcPr>
          <w:p w14:paraId="5B76AEE2"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w:t>
            </w:r>
          </w:p>
        </w:tc>
        <w:tc>
          <w:tcPr>
            <w:tcW w:w="3768" w:type="dxa"/>
          </w:tcPr>
          <w:p w14:paraId="731FF941"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Mbah (2013)</w:t>
            </w:r>
          </w:p>
        </w:tc>
        <w:tc>
          <w:tcPr>
            <w:tcW w:w="1188" w:type="dxa"/>
          </w:tcPr>
          <w:p w14:paraId="2CAA14B2"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15</w:t>
            </w:r>
          </w:p>
        </w:tc>
        <w:tc>
          <w:tcPr>
            <w:tcW w:w="2991" w:type="dxa"/>
          </w:tcPr>
          <w:p w14:paraId="13E8C1A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078C0C9F" w14:textId="77777777" w:rsidTr="00DD112B">
        <w:trPr>
          <w:trHeight w:val="364"/>
        </w:trPr>
        <w:tc>
          <w:tcPr>
            <w:tcW w:w="616" w:type="dxa"/>
          </w:tcPr>
          <w:p w14:paraId="1BE6FA1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4</w:t>
            </w:r>
          </w:p>
        </w:tc>
        <w:tc>
          <w:tcPr>
            <w:tcW w:w="3768" w:type="dxa"/>
          </w:tcPr>
          <w:p w14:paraId="07140032"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Misawa (2006)</w:t>
            </w:r>
          </w:p>
        </w:tc>
        <w:tc>
          <w:tcPr>
            <w:tcW w:w="1188" w:type="dxa"/>
          </w:tcPr>
          <w:p w14:paraId="2558437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4</w:t>
            </w:r>
          </w:p>
        </w:tc>
        <w:tc>
          <w:tcPr>
            <w:tcW w:w="2991" w:type="dxa"/>
          </w:tcPr>
          <w:p w14:paraId="46215378"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cited properly (Don’t use first name)</w:t>
            </w:r>
          </w:p>
        </w:tc>
      </w:tr>
      <w:tr w:rsidR="002D25B6" w:rsidRPr="00E2630C" w14:paraId="00109F90" w14:textId="77777777" w:rsidTr="00DD112B">
        <w:trPr>
          <w:trHeight w:val="380"/>
        </w:trPr>
        <w:tc>
          <w:tcPr>
            <w:tcW w:w="616" w:type="dxa"/>
          </w:tcPr>
          <w:p w14:paraId="22CCE41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5</w:t>
            </w:r>
          </w:p>
        </w:tc>
        <w:tc>
          <w:tcPr>
            <w:tcW w:w="3768" w:type="dxa"/>
          </w:tcPr>
          <w:p w14:paraId="29560B69"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Economic Commission for Africa [ECA], (2007)</w:t>
            </w:r>
          </w:p>
        </w:tc>
        <w:tc>
          <w:tcPr>
            <w:tcW w:w="1188" w:type="dxa"/>
          </w:tcPr>
          <w:p w14:paraId="65008D9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28</w:t>
            </w:r>
          </w:p>
        </w:tc>
        <w:tc>
          <w:tcPr>
            <w:tcW w:w="2991" w:type="dxa"/>
          </w:tcPr>
          <w:p w14:paraId="6143C605"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cited properly (No source added)</w:t>
            </w:r>
          </w:p>
        </w:tc>
      </w:tr>
      <w:tr w:rsidR="002D25B6" w:rsidRPr="00E2630C" w14:paraId="258C350A" w14:textId="77777777" w:rsidTr="00DD112B">
        <w:trPr>
          <w:trHeight w:val="364"/>
        </w:trPr>
        <w:tc>
          <w:tcPr>
            <w:tcW w:w="616" w:type="dxa"/>
          </w:tcPr>
          <w:p w14:paraId="18C60073"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6</w:t>
            </w:r>
          </w:p>
        </w:tc>
        <w:tc>
          <w:tcPr>
            <w:tcW w:w="3768" w:type="dxa"/>
          </w:tcPr>
          <w:p w14:paraId="7F0C0AE6"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Chronic Poverty Research Centre (CPRC, 2007)</w:t>
            </w:r>
          </w:p>
        </w:tc>
        <w:tc>
          <w:tcPr>
            <w:tcW w:w="1188" w:type="dxa"/>
          </w:tcPr>
          <w:p w14:paraId="0C0B2039"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49</w:t>
            </w:r>
          </w:p>
        </w:tc>
        <w:tc>
          <w:tcPr>
            <w:tcW w:w="2991" w:type="dxa"/>
          </w:tcPr>
          <w:p w14:paraId="21DFE621"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38387B35" w14:textId="77777777" w:rsidTr="00DD112B">
        <w:trPr>
          <w:trHeight w:val="364"/>
        </w:trPr>
        <w:tc>
          <w:tcPr>
            <w:tcW w:w="616" w:type="dxa"/>
          </w:tcPr>
          <w:p w14:paraId="0EDB8B31"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7</w:t>
            </w:r>
          </w:p>
        </w:tc>
        <w:tc>
          <w:tcPr>
            <w:tcW w:w="3768" w:type="dxa"/>
          </w:tcPr>
          <w:p w14:paraId="17778004"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UNEP &amp; UNDP (2013)</w:t>
            </w:r>
          </w:p>
        </w:tc>
        <w:tc>
          <w:tcPr>
            <w:tcW w:w="1188" w:type="dxa"/>
          </w:tcPr>
          <w:p w14:paraId="5E76C92E"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52</w:t>
            </w:r>
          </w:p>
        </w:tc>
        <w:tc>
          <w:tcPr>
            <w:tcW w:w="2991" w:type="dxa"/>
          </w:tcPr>
          <w:p w14:paraId="0E10DE9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2EDCA8C7" w14:textId="77777777" w:rsidTr="00DD112B">
        <w:trPr>
          <w:trHeight w:val="380"/>
        </w:trPr>
        <w:tc>
          <w:tcPr>
            <w:tcW w:w="616" w:type="dxa"/>
          </w:tcPr>
          <w:p w14:paraId="69DB821C"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8</w:t>
            </w:r>
          </w:p>
        </w:tc>
        <w:tc>
          <w:tcPr>
            <w:tcW w:w="3768" w:type="dxa"/>
          </w:tcPr>
          <w:p w14:paraId="251B4E8E"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United Nations Interagency Framework Team for Preventive Action [UNIFTPA] (2012)</w:t>
            </w:r>
          </w:p>
        </w:tc>
        <w:tc>
          <w:tcPr>
            <w:tcW w:w="1188" w:type="dxa"/>
          </w:tcPr>
          <w:p w14:paraId="23A16405"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54, 70</w:t>
            </w:r>
          </w:p>
        </w:tc>
        <w:tc>
          <w:tcPr>
            <w:tcW w:w="2991" w:type="dxa"/>
          </w:tcPr>
          <w:p w14:paraId="0186E3C5"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57CC8B71" w14:textId="77777777" w:rsidTr="00DD112B">
        <w:trPr>
          <w:trHeight w:val="364"/>
        </w:trPr>
        <w:tc>
          <w:tcPr>
            <w:tcW w:w="616" w:type="dxa"/>
          </w:tcPr>
          <w:p w14:paraId="62439436"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9</w:t>
            </w:r>
          </w:p>
        </w:tc>
        <w:tc>
          <w:tcPr>
            <w:tcW w:w="3768" w:type="dxa"/>
          </w:tcPr>
          <w:p w14:paraId="5599D09E"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Hafeez (2012).</w:t>
            </w:r>
          </w:p>
        </w:tc>
        <w:tc>
          <w:tcPr>
            <w:tcW w:w="1188" w:type="dxa"/>
          </w:tcPr>
          <w:p w14:paraId="08E51C43"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64</w:t>
            </w:r>
          </w:p>
        </w:tc>
        <w:tc>
          <w:tcPr>
            <w:tcW w:w="2991" w:type="dxa"/>
          </w:tcPr>
          <w:p w14:paraId="5879E82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Different years (Intext &amp; Ref.)</w:t>
            </w:r>
          </w:p>
        </w:tc>
      </w:tr>
      <w:tr w:rsidR="002D25B6" w:rsidRPr="00E2630C" w14:paraId="4F812A42" w14:textId="77777777" w:rsidTr="00DD112B">
        <w:trPr>
          <w:trHeight w:val="380"/>
        </w:trPr>
        <w:tc>
          <w:tcPr>
            <w:tcW w:w="616" w:type="dxa"/>
          </w:tcPr>
          <w:p w14:paraId="5D0E556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10</w:t>
            </w:r>
          </w:p>
        </w:tc>
        <w:tc>
          <w:tcPr>
            <w:tcW w:w="3768" w:type="dxa"/>
          </w:tcPr>
          <w:p w14:paraId="09EE303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Bukari</w:t>
            </w:r>
          </w:p>
        </w:tc>
        <w:tc>
          <w:tcPr>
            <w:tcW w:w="1188" w:type="dxa"/>
          </w:tcPr>
          <w:p w14:paraId="11BCC736"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64</w:t>
            </w:r>
          </w:p>
        </w:tc>
        <w:tc>
          <w:tcPr>
            <w:tcW w:w="2991" w:type="dxa"/>
          </w:tcPr>
          <w:p w14:paraId="1233278E"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cited properly (No year)</w:t>
            </w:r>
          </w:p>
        </w:tc>
      </w:tr>
      <w:tr w:rsidR="002D25B6" w:rsidRPr="00E2630C" w14:paraId="151E9495" w14:textId="77777777" w:rsidTr="00DD112B">
        <w:trPr>
          <w:trHeight w:val="364"/>
        </w:trPr>
        <w:tc>
          <w:tcPr>
            <w:tcW w:w="616" w:type="dxa"/>
          </w:tcPr>
          <w:p w14:paraId="293EFE3E"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11</w:t>
            </w:r>
          </w:p>
        </w:tc>
        <w:tc>
          <w:tcPr>
            <w:tcW w:w="3768" w:type="dxa"/>
          </w:tcPr>
          <w:p w14:paraId="70AC695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Boafo-Arthur (2006)</w:t>
            </w:r>
          </w:p>
        </w:tc>
        <w:tc>
          <w:tcPr>
            <w:tcW w:w="1188" w:type="dxa"/>
          </w:tcPr>
          <w:p w14:paraId="21510545"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65</w:t>
            </w:r>
          </w:p>
        </w:tc>
        <w:tc>
          <w:tcPr>
            <w:tcW w:w="2991" w:type="dxa"/>
          </w:tcPr>
          <w:p w14:paraId="3C43EE6D"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2C788FBF" w14:textId="77777777" w:rsidTr="00DD112B">
        <w:trPr>
          <w:trHeight w:val="380"/>
        </w:trPr>
        <w:tc>
          <w:tcPr>
            <w:tcW w:w="616" w:type="dxa"/>
          </w:tcPr>
          <w:p w14:paraId="5136C875"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12</w:t>
            </w:r>
          </w:p>
        </w:tc>
        <w:tc>
          <w:tcPr>
            <w:tcW w:w="3768" w:type="dxa"/>
          </w:tcPr>
          <w:p w14:paraId="3DB5106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UNEP (2012)</w:t>
            </w:r>
          </w:p>
        </w:tc>
        <w:tc>
          <w:tcPr>
            <w:tcW w:w="1188" w:type="dxa"/>
          </w:tcPr>
          <w:p w14:paraId="6643792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66, 74</w:t>
            </w:r>
          </w:p>
        </w:tc>
        <w:tc>
          <w:tcPr>
            <w:tcW w:w="2991" w:type="dxa"/>
          </w:tcPr>
          <w:p w14:paraId="458C251C"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739D3B64" w14:textId="77777777" w:rsidTr="00DD112B">
        <w:trPr>
          <w:trHeight w:val="364"/>
        </w:trPr>
        <w:tc>
          <w:tcPr>
            <w:tcW w:w="616" w:type="dxa"/>
          </w:tcPr>
          <w:p w14:paraId="282F4D6F"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lastRenderedPageBreak/>
              <w:t>13</w:t>
            </w:r>
          </w:p>
        </w:tc>
        <w:tc>
          <w:tcPr>
            <w:tcW w:w="3768" w:type="dxa"/>
          </w:tcPr>
          <w:p w14:paraId="39BA53E5"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Northern Regional House of Chiefs' Judicial Committee Report (2012).</w:t>
            </w:r>
          </w:p>
        </w:tc>
        <w:tc>
          <w:tcPr>
            <w:tcW w:w="1188" w:type="dxa"/>
          </w:tcPr>
          <w:p w14:paraId="3C31575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67</w:t>
            </w:r>
          </w:p>
        </w:tc>
        <w:tc>
          <w:tcPr>
            <w:tcW w:w="2991" w:type="dxa"/>
          </w:tcPr>
          <w:p w14:paraId="4BF0E565"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113AEF92" w14:textId="77777777" w:rsidTr="00DD112B">
        <w:trPr>
          <w:trHeight w:val="380"/>
        </w:trPr>
        <w:tc>
          <w:tcPr>
            <w:tcW w:w="616" w:type="dxa"/>
          </w:tcPr>
          <w:p w14:paraId="71FC5426"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14</w:t>
            </w:r>
          </w:p>
        </w:tc>
        <w:tc>
          <w:tcPr>
            <w:tcW w:w="3768" w:type="dxa"/>
          </w:tcPr>
          <w:p w14:paraId="78353A8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Daily Graphic, Friday, July 10, 2015</w:t>
            </w:r>
          </w:p>
        </w:tc>
        <w:tc>
          <w:tcPr>
            <w:tcW w:w="1188" w:type="dxa"/>
          </w:tcPr>
          <w:p w14:paraId="2D1234B7"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69</w:t>
            </w:r>
          </w:p>
        </w:tc>
        <w:tc>
          <w:tcPr>
            <w:tcW w:w="2991" w:type="dxa"/>
          </w:tcPr>
          <w:p w14:paraId="2E7D1FD5"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6DB29493" w14:textId="77777777" w:rsidTr="00DD112B">
        <w:trPr>
          <w:trHeight w:val="364"/>
        </w:trPr>
        <w:tc>
          <w:tcPr>
            <w:tcW w:w="616" w:type="dxa"/>
          </w:tcPr>
          <w:p w14:paraId="1D056891"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15</w:t>
            </w:r>
          </w:p>
        </w:tc>
        <w:tc>
          <w:tcPr>
            <w:tcW w:w="3768" w:type="dxa"/>
          </w:tcPr>
          <w:p w14:paraId="738942D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Ghanaian Times, Friday, July 10, 2015</w:t>
            </w:r>
          </w:p>
        </w:tc>
        <w:tc>
          <w:tcPr>
            <w:tcW w:w="1188" w:type="dxa"/>
          </w:tcPr>
          <w:p w14:paraId="73D511FB"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69</w:t>
            </w:r>
          </w:p>
        </w:tc>
        <w:tc>
          <w:tcPr>
            <w:tcW w:w="2991" w:type="dxa"/>
          </w:tcPr>
          <w:p w14:paraId="501FC417"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37437C4B" w14:textId="77777777" w:rsidTr="00DD112B">
        <w:trPr>
          <w:trHeight w:val="364"/>
        </w:trPr>
        <w:tc>
          <w:tcPr>
            <w:tcW w:w="616" w:type="dxa"/>
          </w:tcPr>
          <w:p w14:paraId="76FAACA8"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16</w:t>
            </w:r>
          </w:p>
        </w:tc>
        <w:tc>
          <w:tcPr>
            <w:tcW w:w="3768" w:type="dxa"/>
          </w:tcPr>
          <w:p w14:paraId="09BEA08C"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Nef (1999)</w:t>
            </w:r>
          </w:p>
        </w:tc>
        <w:tc>
          <w:tcPr>
            <w:tcW w:w="1188" w:type="dxa"/>
          </w:tcPr>
          <w:p w14:paraId="7121C38B"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80</w:t>
            </w:r>
          </w:p>
        </w:tc>
        <w:tc>
          <w:tcPr>
            <w:tcW w:w="2991" w:type="dxa"/>
          </w:tcPr>
          <w:p w14:paraId="37579D8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595DE558" w14:textId="77777777" w:rsidTr="00DD112B">
        <w:trPr>
          <w:trHeight w:val="380"/>
        </w:trPr>
        <w:tc>
          <w:tcPr>
            <w:tcW w:w="616" w:type="dxa"/>
          </w:tcPr>
          <w:p w14:paraId="330415D3"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17</w:t>
            </w:r>
          </w:p>
        </w:tc>
        <w:tc>
          <w:tcPr>
            <w:tcW w:w="3768" w:type="dxa"/>
          </w:tcPr>
          <w:p w14:paraId="3EC60B8E"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lang w:eastAsia="en-GB"/>
              </w:rPr>
              <w:t>UN Assistance Mission in Afghanistan (2019)</w:t>
            </w:r>
          </w:p>
        </w:tc>
        <w:tc>
          <w:tcPr>
            <w:tcW w:w="1188" w:type="dxa"/>
          </w:tcPr>
          <w:p w14:paraId="4EB6208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91</w:t>
            </w:r>
          </w:p>
        </w:tc>
        <w:tc>
          <w:tcPr>
            <w:tcW w:w="2991" w:type="dxa"/>
          </w:tcPr>
          <w:p w14:paraId="3C09A724"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7CE49EA4" w14:textId="77777777" w:rsidTr="00DD112B">
        <w:trPr>
          <w:trHeight w:val="364"/>
        </w:trPr>
        <w:tc>
          <w:tcPr>
            <w:tcW w:w="616" w:type="dxa"/>
          </w:tcPr>
          <w:p w14:paraId="023455F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18</w:t>
            </w:r>
          </w:p>
        </w:tc>
        <w:tc>
          <w:tcPr>
            <w:tcW w:w="3768" w:type="dxa"/>
          </w:tcPr>
          <w:p w14:paraId="2CD17A0E"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lang w:eastAsia="en-GB"/>
              </w:rPr>
              <w:t>(ICC, 2019)</w:t>
            </w:r>
          </w:p>
        </w:tc>
        <w:tc>
          <w:tcPr>
            <w:tcW w:w="1188" w:type="dxa"/>
          </w:tcPr>
          <w:p w14:paraId="7B4448D2"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93</w:t>
            </w:r>
          </w:p>
        </w:tc>
        <w:tc>
          <w:tcPr>
            <w:tcW w:w="2991" w:type="dxa"/>
          </w:tcPr>
          <w:p w14:paraId="05AA9A0D"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14C6CA2D" w14:textId="77777777" w:rsidTr="00DD112B">
        <w:trPr>
          <w:trHeight w:val="363"/>
        </w:trPr>
        <w:tc>
          <w:tcPr>
            <w:tcW w:w="616" w:type="dxa"/>
          </w:tcPr>
          <w:p w14:paraId="69A6E313"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19</w:t>
            </w:r>
          </w:p>
        </w:tc>
        <w:tc>
          <w:tcPr>
            <w:tcW w:w="3768" w:type="dxa"/>
          </w:tcPr>
          <w:p w14:paraId="42624684"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eastAsia="Times New Roman" w:hAnsi="Times New Roman" w:cs="Times New Roman"/>
                <w:color w:val="000000" w:themeColor="text1"/>
                <w:sz w:val="24"/>
                <w:szCs w:val="24"/>
                <w:lang w:eastAsia="en-GB"/>
              </w:rPr>
              <w:t>Hamourtziadou, (2020)</w:t>
            </w:r>
          </w:p>
        </w:tc>
        <w:tc>
          <w:tcPr>
            <w:tcW w:w="1188" w:type="dxa"/>
          </w:tcPr>
          <w:p w14:paraId="4F37FE09"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100</w:t>
            </w:r>
          </w:p>
        </w:tc>
        <w:tc>
          <w:tcPr>
            <w:tcW w:w="2991" w:type="dxa"/>
          </w:tcPr>
          <w:p w14:paraId="32196F12"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12323D16" w14:textId="77777777" w:rsidTr="00DD112B">
        <w:trPr>
          <w:trHeight w:val="407"/>
        </w:trPr>
        <w:tc>
          <w:tcPr>
            <w:tcW w:w="616" w:type="dxa"/>
          </w:tcPr>
          <w:p w14:paraId="2946E283"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20</w:t>
            </w:r>
          </w:p>
        </w:tc>
        <w:tc>
          <w:tcPr>
            <w:tcW w:w="3768" w:type="dxa"/>
          </w:tcPr>
          <w:p w14:paraId="1F6C7DFB"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Kendie and Bukari (2012)</w:t>
            </w:r>
          </w:p>
        </w:tc>
        <w:tc>
          <w:tcPr>
            <w:tcW w:w="1188" w:type="dxa"/>
          </w:tcPr>
          <w:p w14:paraId="2029B71D"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110</w:t>
            </w:r>
          </w:p>
        </w:tc>
        <w:tc>
          <w:tcPr>
            <w:tcW w:w="2991" w:type="dxa"/>
          </w:tcPr>
          <w:p w14:paraId="7B629E76"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properly cited (Check date)</w:t>
            </w:r>
          </w:p>
          <w:p w14:paraId="11660749" w14:textId="77777777" w:rsidR="002441E0" w:rsidRPr="00E2630C" w:rsidRDefault="002441E0" w:rsidP="00A03794">
            <w:pPr>
              <w:spacing w:line="240" w:lineRule="auto"/>
              <w:rPr>
                <w:rFonts w:ascii="Times New Roman" w:hAnsi="Times New Roman" w:cs="Times New Roman"/>
                <w:color w:val="000000" w:themeColor="text1"/>
                <w:sz w:val="24"/>
                <w:szCs w:val="24"/>
              </w:rPr>
            </w:pPr>
          </w:p>
        </w:tc>
      </w:tr>
      <w:tr w:rsidR="002D25B6" w:rsidRPr="00E2630C" w14:paraId="6BBFDD7D" w14:textId="77777777" w:rsidTr="00DD112B">
        <w:trPr>
          <w:trHeight w:val="273"/>
        </w:trPr>
        <w:tc>
          <w:tcPr>
            <w:tcW w:w="616" w:type="dxa"/>
          </w:tcPr>
          <w:p w14:paraId="2C5E25FF"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21</w:t>
            </w:r>
          </w:p>
        </w:tc>
        <w:tc>
          <w:tcPr>
            <w:tcW w:w="3768" w:type="dxa"/>
          </w:tcPr>
          <w:p w14:paraId="32E47989"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lang w:eastAsia="en-GB"/>
              </w:rPr>
              <w:t>Fischer (2015)</w:t>
            </w:r>
          </w:p>
        </w:tc>
        <w:tc>
          <w:tcPr>
            <w:tcW w:w="1188" w:type="dxa"/>
          </w:tcPr>
          <w:p w14:paraId="021744B4"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Page </w:t>
            </w:r>
          </w:p>
        </w:tc>
        <w:tc>
          <w:tcPr>
            <w:tcW w:w="2991" w:type="dxa"/>
          </w:tcPr>
          <w:p w14:paraId="51B36F4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properly cited (Check date)</w:t>
            </w:r>
          </w:p>
        </w:tc>
      </w:tr>
      <w:tr w:rsidR="002D25B6" w:rsidRPr="00E2630C" w14:paraId="62D441DC" w14:textId="77777777" w:rsidTr="00DD112B">
        <w:trPr>
          <w:trHeight w:val="157"/>
        </w:trPr>
        <w:tc>
          <w:tcPr>
            <w:tcW w:w="616" w:type="dxa"/>
          </w:tcPr>
          <w:p w14:paraId="3AA10331"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22</w:t>
            </w:r>
          </w:p>
        </w:tc>
        <w:tc>
          <w:tcPr>
            <w:tcW w:w="3768" w:type="dxa"/>
          </w:tcPr>
          <w:p w14:paraId="4E042F2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Clara (2018)</w:t>
            </w:r>
          </w:p>
        </w:tc>
        <w:tc>
          <w:tcPr>
            <w:tcW w:w="1188" w:type="dxa"/>
          </w:tcPr>
          <w:p w14:paraId="11923939"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132</w:t>
            </w:r>
          </w:p>
        </w:tc>
        <w:tc>
          <w:tcPr>
            <w:tcW w:w="2991" w:type="dxa"/>
          </w:tcPr>
          <w:p w14:paraId="31AA06D1"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5DA9A04D" w14:textId="77777777" w:rsidTr="00DD112B">
        <w:trPr>
          <w:trHeight w:val="201"/>
        </w:trPr>
        <w:tc>
          <w:tcPr>
            <w:tcW w:w="616" w:type="dxa"/>
          </w:tcPr>
          <w:p w14:paraId="03EF8F22"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23</w:t>
            </w:r>
          </w:p>
        </w:tc>
        <w:tc>
          <w:tcPr>
            <w:tcW w:w="3768" w:type="dxa"/>
          </w:tcPr>
          <w:p w14:paraId="1852C8A5"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Oteng-Abayie (2017)</w:t>
            </w:r>
          </w:p>
        </w:tc>
        <w:tc>
          <w:tcPr>
            <w:tcW w:w="1188" w:type="dxa"/>
          </w:tcPr>
          <w:p w14:paraId="3AE82BBF"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151</w:t>
            </w:r>
          </w:p>
        </w:tc>
        <w:tc>
          <w:tcPr>
            <w:tcW w:w="2991" w:type="dxa"/>
          </w:tcPr>
          <w:p w14:paraId="77E3150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0CF616A4" w14:textId="77777777" w:rsidTr="00DD112B">
        <w:trPr>
          <w:trHeight w:val="258"/>
        </w:trPr>
        <w:tc>
          <w:tcPr>
            <w:tcW w:w="616" w:type="dxa"/>
          </w:tcPr>
          <w:p w14:paraId="4F779B3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24</w:t>
            </w:r>
          </w:p>
        </w:tc>
        <w:tc>
          <w:tcPr>
            <w:tcW w:w="3768" w:type="dxa"/>
          </w:tcPr>
          <w:p w14:paraId="3A896BE3"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Hair et al. (2006)</w:t>
            </w:r>
          </w:p>
        </w:tc>
        <w:tc>
          <w:tcPr>
            <w:tcW w:w="1188" w:type="dxa"/>
          </w:tcPr>
          <w:p w14:paraId="44FCA913"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151</w:t>
            </w:r>
          </w:p>
        </w:tc>
        <w:tc>
          <w:tcPr>
            <w:tcW w:w="2991" w:type="dxa"/>
          </w:tcPr>
          <w:p w14:paraId="2BEF0DED"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7B8E65A3" w14:textId="77777777" w:rsidTr="00DD112B">
        <w:trPr>
          <w:trHeight w:val="303"/>
        </w:trPr>
        <w:tc>
          <w:tcPr>
            <w:tcW w:w="616" w:type="dxa"/>
          </w:tcPr>
          <w:p w14:paraId="57CF476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25</w:t>
            </w:r>
          </w:p>
        </w:tc>
        <w:tc>
          <w:tcPr>
            <w:tcW w:w="3768" w:type="dxa"/>
          </w:tcPr>
          <w:p w14:paraId="45F217C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Bernard (2002)</w:t>
            </w:r>
          </w:p>
        </w:tc>
        <w:tc>
          <w:tcPr>
            <w:tcW w:w="1188" w:type="dxa"/>
          </w:tcPr>
          <w:p w14:paraId="7385ED79"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151</w:t>
            </w:r>
          </w:p>
        </w:tc>
        <w:tc>
          <w:tcPr>
            <w:tcW w:w="2991" w:type="dxa"/>
          </w:tcPr>
          <w:p w14:paraId="73F43B28"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295E89BB" w14:textId="77777777" w:rsidTr="00DD112B">
        <w:trPr>
          <w:trHeight w:val="437"/>
        </w:trPr>
        <w:tc>
          <w:tcPr>
            <w:tcW w:w="616" w:type="dxa"/>
          </w:tcPr>
          <w:p w14:paraId="20DE2503"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26</w:t>
            </w:r>
          </w:p>
        </w:tc>
        <w:tc>
          <w:tcPr>
            <w:tcW w:w="3768" w:type="dxa"/>
          </w:tcPr>
          <w:p w14:paraId="053EB53E"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Merriam (2009)</w:t>
            </w:r>
          </w:p>
        </w:tc>
        <w:tc>
          <w:tcPr>
            <w:tcW w:w="1188" w:type="dxa"/>
          </w:tcPr>
          <w:p w14:paraId="51BBB422"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152</w:t>
            </w:r>
          </w:p>
        </w:tc>
        <w:tc>
          <w:tcPr>
            <w:tcW w:w="2991" w:type="dxa"/>
          </w:tcPr>
          <w:p w14:paraId="28FA676D"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7A66E68D" w14:textId="77777777" w:rsidTr="00DD112B">
        <w:trPr>
          <w:trHeight w:val="482"/>
        </w:trPr>
        <w:tc>
          <w:tcPr>
            <w:tcW w:w="616" w:type="dxa"/>
          </w:tcPr>
          <w:p w14:paraId="2AD68933"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27</w:t>
            </w:r>
          </w:p>
        </w:tc>
        <w:tc>
          <w:tcPr>
            <w:tcW w:w="3768" w:type="dxa"/>
          </w:tcPr>
          <w:p w14:paraId="035A4133"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HDR (2021)</w:t>
            </w:r>
          </w:p>
        </w:tc>
        <w:tc>
          <w:tcPr>
            <w:tcW w:w="1188" w:type="dxa"/>
          </w:tcPr>
          <w:p w14:paraId="3883E292"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166</w:t>
            </w:r>
          </w:p>
        </w:tc>
        <w:tc>
          <w:tcPr>
            <w:tcW w:w="2991" w:type="dxa"/>
          </w:tcPr>
          <w:p w14:paraId="3697D8D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40168E87" w14:textId="77777777" w:rsidTr="00DD112B">
        <w:trPr>
          <w:trHeight w:val="348"/>
        </w:trPr>
        <w:tc>
          <w:tcPr>
            <w:tcW w:w="616" w:type="dxa"/>
          </w:tcPr>
          <w:p w14:paraId="58A7BABD"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28</w:t>
            </w:r>
          </w:p>
        </w:tc>
        <w:tc>
          <w:tcPr>
            <w:tcW w:w="3768" w:type="dxa"/>
          </w:tcPr>
          <w:p w14:paraId="35B3C6E4"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eastAsia="Calibri" w:hAnsi="Times New Roman" w:cs="Times New Roman"/>
                <w:color w:val="000000" w:themeColor="text1"/>
                <w:sz w:val="24"/>
                <w:szCs w:val="24"/>
              </w:rPr>
              <w:t>Burton (1990)</w:t>
            </w:r>
          </w:p>
        </w:tc>
        <w:tc>
          <w:tcPr>
            <w:tcW w:w="1188" w:type="dxa"/>
          </w:tcPr>
          <w:p w14:paraId="4CE1F7B0"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170</w:t>
            </w:r>
          </w:p>
          <w:p w14:paraId="13E7F322" w14:textId="77777777" w:rsidR="002441E0" w:rsidRPr="00E2630C" w:rsidRDefault="002441E0" w:rsidP="00A03794">
            <w:pPr>
              <w:spacing w:line="240" w:lineRule="auto"/>
              <w:jc w:val="center"/>
              <w:rPr>
                <w:rFonts w:ascii="Times New Roman" w:hAnsi="Times New Roman" w:cs="Times New Roman"/>
                <w:color w:val="000000" w:themeColor="text1"/>
                <w:sz w:val="24"/>
                <w:szCs w:val="24"/>
              </w:rPr>
            </w:pPr>
          </w:p>
        </w:tc>
        <w:tc>
          <w:tcPr>
            <w:tcW w:w="2991" w:type="dxa"/>
          </w:tcPr>
          <w:p w14:paraId="44670ACF"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5FA7CE6C" w14:textId="77777777" w:rsidTr="00DD112B">
        <w:trPr>
          <w:trHeight w:val="571"/>
        </w:trPr>
        <w:tc>
          <w:tcPr>
            <w:tcW w:w="616" w:type="dxa"/>
          </w:tcPr>
          <w:p w14:paraId="3C669707"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29</w:t>
            </w:r>
          </w:p>
        </w:tc>
        <w:tc>
          <w:tcPr>
            <w:tcW w:w="3768" w:type="dxa"/>
          </w:tcPr>
          <w:p w14:paraId="46BCB40B"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Messer (2009)</w:t>
            </w:r>
          </w:p>
        </w:tc>
        <w:tc>
          <w:tcPr>
            <w:tcW w:w="1188" w:type="dxa"/>
          </w:tcPr>
          <w:p w14:paraId="5053F54B"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172</w:t>
            </w:r>
          </w:p>
        </w:tc>
        <w:tc>
          <w:tcPr>
            <w:tcW w:w="2991" w:type="dxa"/>
          </w:tcPr>
          <w:p w14:paraId="3FF61C48"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Found but not referenced properly</w:t>
            </w:r>
          </w:p>
        </w:tc>
      </w:tr>
      <w:tr w:rsidR="002D25B6" w:rsidRPr="00E2630C" w14:paraId="56682AFD" w14:textId="77777777" w:rsidTr="00DD112B">
        <w:trPr>
          <w:trHeight w:val="258"/>
        </w:trPr>
        <w:tc>
          <w:tcPr>
            <w:tcW w:w="616" w:type="dxa"/>
          </w:tcPr>
          <w:p w14:paraId="43A6DE06"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30</w:t>
            </w:r>
          </w:p>
        </w:tc>
        <w:tc>
          <w:tcPr>
            <w:tcW w:w="3768" w:type="dxa"/>
          </w:tcPr>
          <w:p w14:paraId="73A06F62"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Interpeace, 2023</w:t>
            </w:r>
          </w:p>
        </w:tc>
        <w:tc>
          <w:tcPr>
            <w:tcW w:w="1188" w:type="dxa"/>
          </w:tcPr>
          <w:p w14:paraId="6CDDEF52"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172</w:t>
            </w:r>
          </w:p>
        </w:tc>
        <w:tc>
          <w:tcPr>
            <w:tcW w:w="2991" w:type="dxa"/>
          </w:tcPr>
          <w:p w14:paraId="19330C36"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25D9C740" w14:textId="77777777" w:rsidTr="00DD112B">
        <w:trPr>
          <w:trHeight w:val="392"/>
        </w:trPr>
        <w:tc>
          <w:tcPr>
            <w:tcW w:w="616" w:type="dxa"/>
          </w:tcPr>
          <w:p w14:paraId="75460EA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31</w:t>
            </w:r>
          </w:p>
        </w:tc>
        <w:tc>
          <w:tcPr>
            <w:tcW w:w="3768" w:type="dxa"/>
          </w:tcPr>
          <w:p w14:paraId="1BAD7909"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UNDP (2012)</w:t>
            </w:r>
          </w:p>
        </w:tc>
        <w:tc>
          <w:tcPr>
            <w:tcW w:w="1188" w:type="dxa"/>
          </w:tcPr>
          <w:p w14:paraId="690909AF"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185</w:t>
            </w:r>
          </w:p>
        </w:tc>
        <w:tc>
          <w:tcPr>
            <w:tcW w:w="2991" w:type="dxa"/>
          </w:tcPr>
          <w:p w14:paraId="1AC5805A"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r w:rsidR="002D25B6" w:rsidRPr="00E2630C" w14:paraId="4A34DCEC" w14:textId="77777777" w:rsidTr="00DD112B">
        <w:trPr>
          <w:trHeight w:val="186"/>
        </w:trPr>
        <w:tc>
          <w:tcPr>
            <w:tcW w:w="616" w:type="dxa"/>
          </w:tcPr>
          <w:p w14:paraId="2EBDB1D3"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32</w:t>
            </w:r>
          </w:p>
        </w:tc>
        <w:tc>
          <w:tcPr>
            <w:tcW w:w="3768" w:type="dxa"/>
          </w:tcPr>
          <w:p w14:paraId="3E5BC1BF"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Freedom House (2016)</w:t>
            </w:r>
          </w:p>
        </w:tc>
        <w:tc>
          <w:tcPr>
            <w:tcW w:w="1188" w:type="dxa"/>
          </w:tcPr>
          <w:p w14:paraId="61248AE9"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Page 194</w:t>
            </w:r>
          </w:p>
        </w:tc>
        <w:tc>
          <w:tcPr>
            <w:tcW w:w="2991" w:type="dxa"/>
          </w:tcPr>
          <w:p w14:paraId="51F1F445" w14:textId="77777777" w:rsidR="002441E0" w:rsidRPr="00E2630C" w:rsidRDefault="002441E0" w:rsidP="00A03794">
            <w:pPr>
              <w:spacing w:line="240" w:lineRule="auto"/>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Not referenced</w:t>
            </w:r>
          </w:p>
        </w:tc>
      </w:tr>
    </w:tbl>
    <w:p w14:paraId="66D45A15" w14:textId="77777777" w:rsidR="00CD3724" w:rsidRPr="00E2630C" w:rsidRDefault="00CD3724" w:rsidP="00CD3724">
      <w:pPr>
        <w:spacing w:after="0" w:line="240" w:lineRule="auto"/>
        <w:jc w:val="both"/>
        <w:rPr>
          <w:rFonts w:ascii="Times New Roman" w:hAnsi="Times New Roman" w:cs="Times New Roman"/>
          <w:color w:val="000000" w:themeColor="text1"/>
          <w:sz w:val="24"/>
          <w:szCs w:val="24"/>
        </w:rPr>
      </w:pPr>
    </w:p>
    <w:p w14:paraId="7B90D535" w14:textId="77777777" w:rsidR="00CD3724" w:rsidRPr="00E2630C" w:rsidRDefault="00CD3724" w:rsidP="00CD3724">
      <w:pPr>
        <w:jc w:val="both"/>
        <w:rPr>
          <w:rFonts w:ascii="Times New Roman" w:hAnsi="Times New Roman" w:cs="Times New Roman"/>
          <w:color w:val="000000" w:themeColor="text1"/>
          <w:sz w:val="24"/>
          <w:szCs w:val="24"/>
        </w:rPr>
      </w:pPr>
    </w:p>
    <w:p w14:paraId="42CF12D8" w14:textId="08742EA7" w:rsidR="00CD3724" w:rsidRPr="00E2630C" w:rsidRDefault="00CD3724" w:rsidP="00CD3724">
      <w:pPr>
        <w:rPr>
          <w:rFonts w:ascii="Times New Roman" w:eastAsia="Times New Roman" w:hAnsi="Times New Roman" w:cs="Times New Roman"/>
          <w:b/>
          <w:bCs/>
          <w:color w:val="000000" w:themeColor="text1"/>
          <w:sz w:val="24"/>
          <w:szCs w:val="24"/>
          <w:lang w:eastAsia="en-GB"/>
        </w:rPr>
      </w:pPr>
      <w:r w:rsidRPr="00E2630C">
        <w:rPr>
          <w:rFonts w:ascii="Times New Roman" w:eastAsia="Times New Roman" w:hAnsi="Times New Roman" w:cs="Times New Roman"/>
          <w:color w:val="000000" w:themeColor="text1"/>
          <w:sz w:val="24"/>
          <w:szCs w:val="24"/>
          <w:lang w:eastAsia="en-GB"/>
        </w:rPr>
        <w:br w:type="page"/>
      </w:r>
    </w:p>
    <w:p w14:paraId="1D12D186" w14:textId="714937B3" w:rsidR="00CD3724" w:rsidRPr="00E2630C" w:rsidRDefault="00CD3724" w:rsidP="00DD112B">
      <w:pPr>
        <w:pStyle w:val="Heading1"/>
        <w:rPr>
          <w:lang w:eastAsia="en-GB"/>
        </w:rPr>
      </w:pPr>
      <w:bookmarkStart w:id="137" w:name="_Toc182386292"/>
      <w:r w:rsidRPr="00E2630C">
        <w:rPr>
          <w:lang w:eastAsia="en-GB"/>
        </w:rPr>
        <w:lastRenderedPageBreak/>
        <w:t>APPENDICES</w:t>
      </w:r>
      <w:bookmarkEnd w:id="137"/>
    </w:p>
    <w:p w14:paraId="75FCB5C0" w14:textId="4B3AB97C" w:rsidR="00CD3724" w:rsidRPr="00E2630C" w:rsidRDefault="00CD3724" w:rsidP="00CD3724">
      <w:pPr>
        <w:rPr>
          <w:rFonts w:ascii="Times New Roman" w:hAnsi="Times New Roman" w:cs="Times New Roman"/>
          <w:color w:val="000000" w:themeColor="text1"/>
          <w:sz w:val="24"/>
          <w:szCs w:val="24"/>
          <w:lang w:eastAsia="en-GB"/>
        </w:rPr>
      </w:pPr>
    </w:p>
    <w:p w14:paraId="7AD5902A" w14:textId="15498A6D" w:rsidR="00CD3724" w:rsidRPr="00E2630C" w:rsidRDefault="00DD112B" w:rsidP="00CD3724">
      <w:pPr>
        <w:pStyle w:val="NoSpacing"/>
        <w:ind w:left="720"/>
        <w:jc w:val="both"/>
        <w:rPr>
          <w:rFonts w:ascii="Times New Roman" w:hAnsi="Times New Roman" w:cs="Times New Roman"/>
          <w:b/>
          <w:color w:val="000000" w:themeColor="text1"/>
          <w:sz w:val="24"/>
          <w:szCs w:val="24"/>
        </w:rPr>
      </w:pPr>
      <w:r w:rsidRPr="00E2630C">
        <w:rPr>
          <w:rFonts w:ascii="Times New Roman" w:hAnsi="Times New Roman" w:cs="Times New Roman"/>
          <w:b/>
          <w:noProof/>
          <w:color w:val="000000" w:themeColor="text1"/>
          <w:sz w:val="24"/>
          <w:szCs w:val="24"/>
        </w:rPr>
        <w:drawing>
          <wp:anchor distT="0" distB="0" distL="114300" distR="114300" simplePos="0" relativeHeight="251708416" behindDoc="0" locked="0" layoutInCell="1" allowOverlap="1" wp14:anchorId="79B918C8" wp14:editId="4E6120A3">
            <wp:simplePos x="0" y="0"/>
            <wp:positionH relativeFrom="column">
              <wp:posOffset>95250</wp:posOffset>
            </wp:positionH>
            <wp:positionV relativeFrom="paragraph">
              <wp:posOffset>273685</wp:posOffset>
            </wp:positionV>
            <wp:extent cx="560070" cy="608965"/>
            <wp:effectExtent l="0" t="0" r="0" b="635"/>
            <wp:wrapNone/>
            <wp:docPr id="3" name="Picture 3" descr="C:\Users\UDS\Downloads\IMG-20200708-WA0033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UDS\Downloads\IMG-20200708-WA0033 (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560070" cy="6089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D3724" w:rsidRPr="00E2630C">
        <w:rPr>
          <w:rFonts w:ascii="Times New Roman" w:hAnsi="Times New Roman" w:cs="Times New Roman"/>
          <w:b/>
          <w:color w:val="000000" w:themeColor="text1"/>
          <w:sz w:val="24"/>
          <w:szCs w:val="24"/>
        </w:rPr>
        <w:t>SD DOMBO UNIVERSITY OF BUSINESS AND</w:t>
      </w:r>
      <w:r w:rsidR="00CD3724" w:rsidRPr="00E2630C">
        <w:rPr>
          <w:rFonts w:ascii="Times New Roman" w:hAnsi="Times New Roman" w:cs="Times New Roman"/>
          <w:color w:val="000000" w:themeColor="text1"/>
          <w:sz w:val="24"/>
          <w:szCs w:val="24"/>
        </w:rPr>
        <w:t xml:space="preserve"> </w:t>
      </w:r>
      <w:r w:rsidR="00CD3724" w:rsidRPr="00E2630C">
        <w:rPr>
          <w:rFonts w:ascii="Times New Roman" w:hAnsi="Times New Roman" w:cs="Times New Roman"/>
          <w:b/>
          <w:color w:val="000000" w:themeColor="text1"/>
          <w:sz w:val="24"/>
          <w:szCs w:val="24"/>
        </w:rPr>
        <w:t>INTEGRATED DEVELOPMENT STUDIES (UBIDS)</w:t>
      </w:r>
    </w:p>
    <w:p w14:paraId="6E08A08E" w14:textId="53058198" w:rsidR="00CD3724" w:rsidRPr="00E2630C" w:rsidRDefault="00CD3724" w:rsidP="00CD3724">
      <w:pPr>
        <w:pStyle w:val="NoSpacing"/>
        <w:ind w:left="2160"/>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Faculty of Integrated Development studies</w:t>
      </w:r>
    </w:p>
    <w:p w14:paraId="5C0446D2" w14:textId="064C8C06" w:rsidR="00CD3724" w:rsidRPr="00E2630C" w:rsidRDefault="00CD3724" w:rsidP="00CD3724">
      <w:pPr>
        <w:pStyle w:val="NoSpacing"/>
        <w:ind w:left="2160" w:firstLine="720"/>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Department of Development Studies</w:t>
      </w:r>
    </w:p>
    <w:p w14:paraId="2B1DBB09" w14:textId="77777777" w:rsidR="00CD3724" w:rsidRPr="00E2630C" w:rsidRDefault="00CD3724" w:rsidP="00CD3724">
      <w:pPr>
        <w:pStyle w:val="NoSpacing"/>
        <w:rPr>
          <w:rFonts w:ascii="Times New Roman" w:hAnsi="Times New Roman" w:cs="Times New Roman"/>
          <w:b/>
          <w:color w:val="000000" w:themeColor="text1"/>
          <w:sz w:val="24"/>
          <w:szCs w:val="24"/>
        </w:rPr>
      </w:pPr>
    </w:p>
    <w:p w14:paraId="2E9D0C75" w14:textId="77777777" w:rsidR="00CD3724" w:rsidRPr="00E2630C" w:rsidRDefault="00CD3724" w:rsidP="00CD3724">
      <w:pPr>
        <w:pStyle w:val="NoSpacing"/>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Telephone: +233(0)392097256 +233(0)392097257 E-mail  </w:t>
      </w:r>
      <w:hyperlink r:id="rId23" w:history="1">
        <w:r w:rsidRPr="00E2630C">
          <w:rPr>
            <w:rStyle w:val="Hyperlink"/>
            <w:rFonts w:ascii="Times New Roman" w:hAnsi="Times New Roman" w:cs="Times New Roman"/>
            <w:color w:val="000000" w:themeColor="text1"/>
            <w:sz w:val="24"/>
            <w:szCs w:val="24"/>
          </w:rPr>
          <w:t>info@ubids.edu.gh</w:t>
        </w:r>
      </w:hyperlink>
      <w:r w:rsidRPr="00E2630C">
        <w:rPr>
          <w:rFonts w:ascii="Times New Roman" w:hAnsi="Times New Roman" w:cs="Times New Roman"/>
          <w:b/>
          <w:color w:val="000000" w:themeColor="text1"/>
          <w:sz w:val="24"/>
          <w:szCs w:val="24"/>
        </w:rPr>
        <w:t xml:space="preserve">  Website: ubids.edu.gh</w:t>
      </w:r>
    </w:p>
    <w:p w14:paraId="59F3A338" w14:textId="77777777" w:rsidR="00CD3724" w:rsidRPr="00E2630C" w:rsidRDefault="00CD3724" w:rsidP="00CD3724">
      <w:pPr>
        <w:pStyle w:val="NoSpacing"/>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Box P. O. Box WA64, Wa, Upper West Region –Ghana. SDD.UBIDS Digital Address: XW.1147-8901, Bamahu.Wa</w:t>
      </w:r>
    </w:p>
    <w:p w14:paraId="72C97674" w14:textId="77777777" w:rsidR="00CD3724" w:rsidRPr="00E2630C" w:rsidRDefault="00CD3724" w:rsidP="00CD3724">
      <w:pPr>
        <w:pStyle w:val="NoSpacing"/>
        <w:rPr>
          <w:rFonts w:ascii="Times New Roman" w:hAnsi="Times New Roman" w:cs="Times New Roman"/>
          <w:b/>
          <w:color w:val="000000" w:themeColor="text1"/>
          <w:sz w:val="24"/>
          <w:szCs w:val="24"/>
        </w:rPr>
      </w:pPr>
    </w:p>
    <w:p w14:paraId="35D23B8C" w14:textId="77777777" w:rsidR="00CD3724" w:rsidRPr="00E2630C" w:rsidRDefault="00CD3724" w:rsidP="00CD3724">
      <w:pPr>
        <w:pStyle w:val="NoSpacing"/>
        <w:rPr>
          <w:rFonts w:ascii="Times New Roman" w:hAnsi="Times New Roman" w:cs="Times New Roman"/>
          <w:b/>
          <w:color w:val="000000" w:themeColor="text1"/>
          <w:sz w:val="24"/>
          <w:szCs w:val="24"/>
        </w:rPr>
      </w:pPr>
    </w:p>
    <w:p w14:paraId="5D4349FE" w14:textId="77777777" w:rsidR="00CD3724" w:rsidRPr="00E2630C" w:rsidRDefault="00CD3724" w:rsidP="00CD3724">
      <w:pPr>
        <w:pStyle w:val="NoSpacing"/>
        <w:ind w:firstLine="720"/>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Our Ref……………………</w:t>
      </w:r>
      <w:r w:rsidRPr="00E2630C">
        <w:rPr>
          <w:rFonts w:ascii="Times New Roman" w:hAnsi="Times New Roman" w:cs="Times New Roman"/>
          <w:b/>
          <w:color w:val="000000" w:themeColor="text1"/>
          <w:sz w:val="24"/>
          <w:szCs w:val="24"/>
        </w:rPr>
        <w:tab/>
      </w:r>
      <w:r w:rsidRPr="00E2630C">
        <w:rPr>
          <w:rFonts w:ascii="Times New Roman" w:hAnsi="Times New Roman" w:cs="Times New Roman"/>
          <w:b/>
          <w:color w:val="000000" w:themeColor="text1"/>
          <w:sz w:val="24"/>
          <w:szCs w:val="24"/>
        </w:rPr>
        <w:tab/>
      </w:r>
      <w:r w:rsidRPr="00E2630C">
        <w:rPr>
          <w:rFonts w:ascii="Times New Roman" w:hAnsi="Times New Roman" w:cs="Times New Roman"/>
          <w:b/>
          <w:color w:val="000000" w:themeColor="text1"/>
          <w:sz w:val="24"/>
          <w:szCs w:val="24"/>
        </w:rPr>
        <w:tab/>
      </w:r>
      <w:r w:rsidRPr="00E2630C">
        <w:rPr>
          <w:rFonts w:ascii="Times New Roman" w:hAnsi="Times New Roman" w:cs="Times New Roman"/>
          <w:b/>
          <w:color w:val="000000" w:themeColor="text1"/>
          <w:sz w:val="24"/>
          <w:szCs w:val="24"/>
        </w:rPr>
        <w:tab/>
      </w:r>
      <w:r w:rsidRPr="00E2630C">
        <w:rPr>
          <w:rFonts w:ascii="Times New Roman" w:hAnsi="Times New Roman" w:cs="Times New Roman"/>
          <w:b/>
          <w:color w:val="000000" w:themeColor="text1"/>
          <w:sz w:val="24"/>
          <w:szCs w:val="24"/>
        </w:rPr>
        <w:tab/>
      </w:r>
      <w:r w:rsidRPr="00E2630C">
        <w:rPr>
          <w:rFonts w:ascii="Times New Roman" w:hAnsi="Times New Roman" w:cs="Times New Roman"/>
          <w:b/>
          <w:color w:val="000000" w:themeColor="text1"/>
          <w:sz w:val="24"/>
          <w:szCs w:val="24"/>
        </w:rPr>
        <w:tab/>
      </w:r>
      <w:r w:rsidRPr="00E2630C">
        <w:rPr>
          <w:rFonts w:ascii="Times New Roman" w:hAnsi="Times New Roman" w:cs="Times New Roman"/>
          <w:b/>
          <w:color w:val="000000" w:themeColor="text1"/>
          <w:sz w:val="24"/>
          <w:szCs w:val="24"/>
        </w:rPr>
        <w:tab/>
        <w:t>May 18, 2022</w:t>
      </w:r>
    </w:p>
    <w:p w14:paraId="797A70D5" w14:textId="77777777" w:rsidR="00CD3724" w:rsidRPr="00E2630C" w:rsidRDefault="00CD3724" w:rsidP="00CD3724">
      <w:pPr>
        <w:pStyle w:val="NoSpacing"/>
        <w:ind w:firstLine="720"/>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Your Ref: </w:t>
      </w:r>
    </w:p>
    <w:p w14:paraId="69479A3B" w14:textId="77777777" w:rsidR="00CD3724" w:rsidRPr="00E2630C" w:rsidRDefault="00CD3724" w:rsidP="00CD3724">
      <w:pPr>
        <w:pStyle w:val="NoSpacing"/>
        <w:pBdr>
          <w:top w:val="single" w:sz="4" w:space="1" w:color="auto"/>
        </w:pBdr>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TO WHOM IT MAY CONCERN</w:t>
      </w:r>
    </w:p>
    <w:p w14:paraId="7AF4B733" w14:textId="77777777" w:rsidR="00CD3724" w:rsidRPr="00E2630C" w:rsidRDefault="00CD3724" w:rsidP="00CD3724">
      <w:pPr>
        <w:pStyle w:val="NoSpacing"/>
        <w:pBdr>
          <w:top w:val="single" w:sz="4" w:space="1" w:color="auto"/>
        </w:pBdr>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ab/>
      </w:r>
      <w:r w:rsidRPr="00E2630C">
        <w:rPr>
          <w:rFonts w:ascii="Times New Roman" w:hAnsi="Times New Roman" w:cs="Times New Roman"/>
          <w:b/>
          <w:color w:val="000000" w:themeColor="text1"/>
          <w:sz w:val="24"/>
          <w:szCs w:val="24"/>
        </w:rPr>
        <w:tab/>
      </w:r>
      <w:r w:rsidRPr="00E2630C">
        <w:rPr>
          <w:rFonts w:ascii="Times New Roman" w:hAnsi="Times New Roman" w:cs="Times New Roman"/>
          <w:b/>
          <w:color w:val="000000" w:themeColor="text1"/>
          <w:sz w:val="24"/>
          <w:szCs w:val="24"/>
        </w:rPr>
        <w:tab/>
      </w:r>
      <w:r w:rsidRPr="00E2630C">
        <w:rPr>
          <w:rFonts w:ascii="Times New Roman" w:hAnsi="Times New Roman" w:cs="Times New Roman"/>
          <w:b/>
          <w:color w:val="000000" w:themeColor="text1"/>
          <w:sz w:val="24"/>
          <w:szCs w:val="24"/>
        </w:rPr>
        <w:tab/>
      </w:r>
    </w:p>
    <w:p w14:paraId="192523B4" w14:textId="77777777" w:rsidR="00CD3724" w:rsidRPr="00E2630C" w:rsidRDefault="00CD3724" w:rsidP="00CD3724">
      <w:pPr>
        <w:pStyle w:val="NoSpacing"/>
        <w:pBdr>
          <w:top w:val="single" w:sz="4" w:space="1" w:color="auto"/>
        </w:pBdr>
        <w:spacing w:line="360" w:lineRule="auto"/>
        <w:jc w:val="center"/>
        <w:rPr>
          <w:rFonts w:ascii="Times New Roman" w:hAnsi="Times New Roman" w:cs="Times New Roman"/>
          <w:b/>
          <w:color w:val="000000" w:themeColor="text1"/>
          <w:sz w:val="24"/>
          <w:szCs w:val="24"/>
          <w:u w:val="single"/>
        </w:rPr>
      </w:pPr>
      <w:r w:rsidRPr="00E2630C">
        <w:rPr>
          <w:rFonts w:ascii="Times New Roman" w:hAnsi="Times New Roman" w:cs="Times New Roman"/>
          <w:b/>
          <w:color w:val="000000" w:themeColor="text1"/>
          <w:sz w:val="24"/>
          <w:szCs w:val="24"/>
          <w:u w:val="single"/>
        </w:rPr>
        <w:t>INTRODUCTORY LETTER</w:t>
      </w:r>
    </w:p>
    <w:p w14:paraId="40D773C0" w14:textId="77777777" w:rsidR="00CD3724" w:rsidRPr="00E2630C" w:rsidRDefault="00CD3724" w:rsidP="00CD3724">
      <w:pPr>
        <w:pStyle w:val="NoSpacing"/>
        <w:pBdr>
          <w:top w:val="single" w:sz="4" w:space="1" w:color="auto"/>
        </w:pBdr>
        <w:spacing w:line="276" w:lineRule="auto"/>
        <w:jc w:val="both"/>
        <w:rPr>
          <w:rFonts w:ascii="Times New Roman" w:hAnsi="Times New Roman" w:cs="Times New Roman"/>
          <w:bCs/>
          <w:color w:val="000000" w:themeColor="text1"/>
          <w:sz w:val="24"/>
          <w:szCs w:val="24"/>
        </w:rPr>
      </w:pPr>
      <w:r w:rsidRPr="00E2630C">
        <w:rPr>
          <w:rFonts w:ascii="Times New Roman" w:hAnsi="Times New Roman" w:cs="Times New Roman"/>
          <w:bCs/>
          <w:color w:val="000000" w:themeColor="text1"/>
          <w:sz w:val="24"/>
          <w:szCs w:val="24"/>
        </w:rPr>
        <w:t xml:space="preserve">I write to introduce to your organization/institution </w:t>
      </w:r>
      <w:r w:rsidRPr="00E2630C">
        <w:rPr>
          <w:rFonts w:ascii="Times New Roman" w:hAnsi="Times New Roman" w:cs="Times New Roman"/>
          <w:b/>
          <w:color w:val="000000" w:themeColor="text1"/>
          <w:sz w:val="24"/>
          <w:szCs w:val="24"/>
        </w:rPr>
        <w:t xml:space="preserve">Mr. Hamza Mohammed </w:t>
      </w:r>
      <w:r w:rsidRPr="00E2630C">
        <w:rPr>
          <w:rFonts w:ascii="Times New Roman" w:hAnsi="Times New Roman" w:cs="Times New Roman"/>
          <w:bCs/>
          <w:color w:val="000000" w:themeColor="text1"/>
          <w:sz w:val="24"/>
          <w:szCs w:val="24"/>
        </w:rPr>
        <w:t xml:space="preserve">with student registration number </w:t>
      </w:r>
      <w:r w:rsidRPr="00E2630C">
        <w:rPr>
          <w:rFonts w:ascii="Times New Roman" w:hAnsi="Times New Roman" w:cs="Times New Roman"/>
          <w:b/>
          <w:color w:val="000000" w:themeColor="text1"/>
          <w:sz w:val="24"/>
          <w:szCs w:val="24"/>
        </w:rPr>
        <w:t>PG0002521</w:t>
      </w:r>
      <w:r w:rsidRPr="00E2630C">
        <w:rPr>
          <w:rFonts w:ascii="Times New Roman" w:hAnsi="Times New Roman" w:cs="Times New Roman"/>
          <w:bCs/>
          <w:color w:val="000000" w:themeColor="text1"/>
          <w:sz w:val="24"/>
          <w:szCs w:val="24"/>
        </w:rPr>
        <w:t xml:space="preserve"> who is pursuing his Ph.D. in Development Studies, Department of Development Studies, Faculty of Integrated Development Studies, SDD-UBIDS.</w:t>
      </w:r>
    </w:p>
    <w:p w14:paraId="248071E8" w14:textId="77777777" w:rsidR="00CD3724" w:rsidRPr="00E2630C" w:rsidRDefault="00CD3724" w:rsidP="00CD3724">
      <w:pPr>
        <w:pStyle w:val="NoSpacing"/>
        <w:pBdr>
          <w:top w:val="single" w:sz="4" w:space="1" w:color="auto"/>
        </w:pBdr>
        <w:spacing w:line="276" w:lineRule="auto"/>
        <w:jc w:val="both"/>
        <w:rPr>
          <w:rFonts w:ascii="Times New Roman" w:hAnsi="Times New Roman" w:cs="Times New Roman"/>
          <w:bCs/>
          <w:color w:val="000000" w:themeColor="text1"/>
          <w:sz w:val="24"/>
          <w:szCs w:val="24"/>
        </w:rPr>
      </w:pPr>
    </w:p>
    <w:p w14:paraId="6E9E8CFF" w14:textId="77777777" w:rsidR="00CD3724" w:rsidRPr="00E2630C" w:rsidRDefault="00CD3724" w:rsidP="00CD3724">
      <w:pPr>
        <w:pStyle w:val="NoSpacing"/>
        <w:pBdr>
          <w:top w:val="single" w:sz="4" w:space="1" w:color="auto"/>
        </w:pBdr>
        <w:spacing w:line="276" w:lineRule="auto"/>
        <w:jc w:val="both"/>
        <w:rPr>
          <w:rFonts w:ascii="Times New Roman" w:hAnsi="Times New Roman" w:cs="Times New Roman"/>
          <w:bCs/>
          <w:color w:val="000000" w:themeColor="text1"/>
          <w:sz w:val="24"/>
          <w:szCs w:val="24"/>
        </w:rPr>
      </w:pPr>
      <w:r w:rsidRPr="00E2630C">
        <w:rPr>
          <w:rFonts w:ascii="Times New Roman" w:hAnsi="Times New Roman" w:cs="Times New Roman"/>
          <w:bCs/>
          <w:color w:val="000000" w:themeColor="text1"/>
          <w:sz w:val="24"/>
          <w:szCs w:val="24"/>
        </w:rPr>
        <w:t xml:space="preserve">As part of the requirements for the award of a Doctorate degree, he is writing his thesis titled </w:t>
      </w:r>
      <w:r w:rsidRPr="00E2630C">
        <w:rPr>
          <w:rFonts w:ascii="Times New Roman" w:hAnsi="Times New Roman" w:cs="Times New Roman"/>
          <w:b/>
          <w:color w:val="000000" w:themeColor="text1"/>
          <w:sz w:val="24"/>
          <w:szCs w:val="24"/>
        </w:rPr>
        <w:t>“</w:t>
      </w:r>
      <w:r w:rsidRPr="00E2630C">
        <w:rPr>
          <w:rFonts w:ascii="Times New Roman" w:hAnsi="Times New Roman" w:cs="Times New Roman"/>
          <w:b/>
          <w:bCs/>
          <w:color w:val="000000" w:themeColor="text1"/>
          <w:sz w:val="24"/>
          <w:szCs w:val="24"/>
        </w:rPr>
        <w:t>Implication of Chieftaincy Conflicts on Human Security: Examining the Bimbilla Chieftaincy Conflict in Ghana”</w:t>
      </w:r>
    </w:p>
    <w:p w14:paraId="539409EC" w14:textId="77777777" w:rsidR="00CD3724" w:rsidRPr="00E2630C" w:rsidRDefault="00CD3724" w:rsidP="00CD3724">
      <w:pPr>
        <w:spacing w:after="0"/>
        <w:jc w:val="both"/>
        <w:rPr>
          <w:rFonts w:ascii="Times New Roman" w:hAnsi="Times New Roman" w:cs="Times New Roman"/>
          <w:bCs/>
          <w:color w:val="000000" w:themeColor="text1"/>
          <w:sz w:val="24"/>
          <w:szCs w:val="24"/>
        </w:rPr>
      </w:pPr>
      <w:r w:rsidRPr="00E2630C">
        <w:rPr>
          <w:rFonts w:ascii="Times New Roman" w:hAnsi="Times New Roman" w:cs="Times New Roman"/>
          <w:bCs/>
          <w:color w:val="000000" w:themeColor="text1"/>
          <w:sz w:val="24"/>
          <w:szCs w:val="24"/>
        </w:rPr>
        <w:t>The department would therefore be grateful if you could grant him the necessary assistance leading to the collection of data for the study.</w:t>
      </w:r>
    </w:p>
    <w:p w14:paraId="714D832A" w14:textId="77777777" w:rsidR="00CD3724" w:rsidRPr="00E2630C" w:rsidRDefault="00CD3724" w:rsidP="00CD3724">
      <w:pPr>
        <w:spacing w:after="0"/>
        <w:jc w:val="both"/>
        <w:rPr>
          <w:rFonts w:ascii="Times New Roman" w:hAnsi="Times New Roman" w:cs="Times New Roman"/>
          <w:bCs/>
          <w:color w:val="000000" w:themeColor="text1"/>
          <w:sz w:val="24"/>
          <w:szCs w:val="24"/>
        </w:rPr>
      </w:pPr>
    </w:p>
    <w:p w14:paraId="45ADD9B2" w14:textId="77777777" w:rsidR="00CD3724" w:rsidRPr="00E2630C" w:rsidRDefault="00CD3724" w:rsidP="00CD3724">
      <w:pPr>
        <w:spacing w:after="0"/>
        <w:jc w:val="both"/>
        <w:rPr>
          <w:rFonts w:ascii="Times New Roman" w:hAnsi="Times New Roman" w:cs="Times New Roman"/>
          <w:bCs/>
          <w:color w:val="000000" w:themeColor="text1"/>
          <w:sz w:val="24"/>
          <w:szCs w:val="24"/>
        </w:rPr>
      </w:pPr>
      <w:r w:rsidRPr="00E2630C">
        <w:rPr>
          <w:rFonts w:ascii="Times New Roman" w:hAnsi="Times New Roman" w:cs="Times New Roman"/>
          <w:bCs/>
          <w:color w:val="000000" w:themeColor="text1"/>
          <w:sz w:val="24"/>
          <w:szCs w:val="24"/>
        </w:rPr>
        <w:t>Thank You</w:t>
      </w:r>
    </w:p>
    <w:p w14:paraId="398549D2" w14:textId="77777777" w:rsidR="00CD3724" w:rsidRPr="00E2630C" w:rsidRDefault="00CD3724" w:rsidP="00CD3724">
      <w:pPr>
        <w:spacing w:after="0"/>
        <w:jc w:val="both"/>
        <w:rPr>
          <w:rFonts w:ascii="Times New Roman" w:hAnsi="Times New Roman" w:cs="Times New Roman"/>
          <w:bCs/>
          <w:color w:val="000000" w:themeColor="text1"/>
          <w:sz w:val="24"/>
          <w:szCs w:val="24"/>
        </w:rPr>
      </w:pPr>
      <w:r w:rsidRPr="00E2630C">
        <w:rPr>
          <w:rFonts w:ascii="Times New Roman" w:hAnsi="Times New Roman" w:cs="Times New Roman"/>
          <w:bCs/>
          <w:color w:val="000000" w:themeColor="text1"/>
          <w:sz w:val="24"/>
          <w:szCs w:val="24"/>
        </w:rPr>
        <w:t>Yours Faithfully</w:t>
      </w:r>
    </w:p>
    <w:p w14:paraId="496DD40E" w14:textId="77777777" w:rsidR="00CD3724" w:rsidRPr="00E2630C" w:rsidRDefault="00CD3724" w:rsidP="00CD3724">
      <w:pPr>
        <w:spacing w:after="0"/>
        <w:jc w:val="both"/>
        <w:rPr>
          <w:rFonts w:ascii="Times New Roman" w:hAnsi="Times New Roman" w:cs="Times New Roman"/>
          <w:bCs/>
          <w:color w:val="000000" w:themeColor="text1"/>
          <w:sz w:val="24"/>
          <w:szCs w:val="24"/>
        </w:rPr>
      </w:pPr>
      <w:r w:rsidRPr="00E2630C">
        <w:rPr>
          <w:rFonts w:ascii="Times New Roman" w:hAnsi="Times New Roman" w:cs="Times New Roman"/>
          <w:noProof/>
          <w:color w:val="000000" w:themeColor="text1"/>
          <w:sz w:val="24"/>
          <w:szCs w:val="24"/>
          <w:lang w:val="en-US"/>
        </w:rPr>
        <w:drawing>
          <wp:inline distT="0" distB="0" distL="0" distR="0" wp14:anchorId="7A07CC4A" wp14:editId="1835253A">
            <wp:extent cx="981075" cy="352425"/>
            <wp:effectExtent l="0" t="0" r="9525" b="9525"/>
            <wp:docPr id="1" name="Picture 1" descr="C:\Users\user\Desktop\signature 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signature One.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7429" t="33333" r="22532" b="47682"/>
                    <a:stretch/>
                  </pic:blipFill>
                  <pic:spPr bwMode="auto">
                    <a:xfrm>
                      <a:off x="0" y="0"/>
                      <a:ext cx="981393" cy="352539"/>
                    </a:xfrm>
                    <a:prstGeom prst="rect">
                      <a:avLst/>
                    </a:prstGeom>
                    <a:noFill/>
                    <a:ln>
                      <a:noFill/>
                    </a:ln>
                    <a:extLst>
                      <a:ext uri="{53640926-AAD7-44D8-BBD7-CCE9431645EC}">
                        <a14:shadowObscured xmlns:a14="http://schemas.microsoft.com/office/drawing/2010/main"/>
                      </a:ext>
                    </a:extLst>
                  </pic:spPr>
                </pic:pic>
              </a:graphicData>
            </a:graphic>
          </wp:inline>
        </w:drawing>
      </w:r>
    </w:p>
    <w:p w14:paraId="156D03F7" w14:textId="77777777" w:rsidR="00CD3724" w:rsidRPr="00E2630C" w:rsidRDefault="00CD3724" w:rsidP="00CD3724">
      <w:pPr>
        <w:spacing w:after="0"/>
        <w:jc w:val="both"/>
        <w:rPr>
          <w:rFonts w:ascii="Times New Roman" w:hAnsi="Times New Roman" w:cs="Times New Roman"/>
          <w:bCs/>
          <w:color w:val="000000" w:themeColor="text1"/>
          <w:sz w:val="24"/>
          <w:szCs w:val="24"/>
        </w:rPr>
      </w:pPr>
      <w:r w:rsidRPr="00E2630C">
        <w:rPr>
          <w:rFonts w:ascii="Times New Roman" w:hAnsi="Times New Roman" w:cs="Times New Roman"/>
          <w:bCs/>
          <w:color w:val="000000" w:themeColor="text1"/>
          <w:sz w:val="24"/>
          <w:szCs w:val="24"/>
        </w:rPr>
        <w:t>Snr. Admin. Assist.</w:t>
      </w:r>
    </w:p>
    <w:p w14:paraId="123DDD45" w14:textId="77777777" w:rsidR="00CD3724" w:rsidRPr="00E2630C" w:rsidRDefault="00CD3724" w:rsidP="00CD3724">
      <w:pPr>
        <w:spacing w:after="0"/>
        <w:jc w:val="both"/>
        <w:rPr>
          <w:rFonts w:ascii="Times New Roman" w:hAnsi="Times New Roman" w:cs="Times New Roman"/>
          <w:b/>
          <w:bCs/>
          <w:color w:val="000000" w:themeColor="text1"/>
          <w:sz w:val="24"/>
          <w:szCs w:val="24"/>
        </w:rPr>
      </w:pPr>
      <w:r w:rsidRPr="00E2630C">
        <w:rPr>
          <w:rFonts w:ascii="Times New Roman" w:hAnsi="Times New Roman" w:cs="Times New Roman"/>
          <w:bCs/>
          <w:color w:val="000000" w:themeColor="text1"/>
          <w:sz w:val="24"/>
          <w:szCs w:val="24"/>
        </w:rPr>
        <w:t>For, HoD- DDS</w:t>
      </w:r>
    </w:p>
    <w:p w14:paraId="6A5E5EEE" w14:textId="77777777" w:rsidR="00CD3724" w:rsidRPr="00E2630C" w:rsidRDefault="00CD3724" w:rsidP="00CD3724">
      <w:pPr>
        <w:rPr>
          <w:rFonts w:ascii="Times New Roman" w:hAnsi="Times New Roman" w:cs="Times New Roman"/>
          <w:color w:val="000000" w:themeColor="text1"/>
          <w:sz w:val="24"/>
          <w:szCs w:val="24"/>
        </w:rPr>
      </w:pPr>
    </w:p>
    <w:p w14:paraId="416CB983" w14:textId="77777777" w:rsidR="00CD3724" w:rsidRPr="00E2630C" w:rsidRDefault="00CD3724" w:rsidP="00CD3724">
      <w:pPr>
        <w:rPr>
          <w:rFonts w:ascii="Times New Roman" w:hAnsi="Times New Roman" w:cs="Times New Roman"/>
          <w:color w:val="000000" w:themeColor="text1"/>
          <w:sz w:val="24"/>
          <w:szCs w:val="24"/>
        </w:rPr>
      </w:pPr>
    </w:p>
    <w:p w14:paraId="0315A365" w14:textId="77777777" w:rsidR="00CD3724" w:rsidRPr="00E2630C" w:rsidRDefault="00CD3724" w:rsidP="00CD3724">
      <w:pPr>
        <w:rPr>
          <w:rFonts w:ascii="Times New Roman" w:hAnsi="Times New Roman" w:cs="Times New Roman"/>
          <w:color w:val="000000" w:themeColor="text1"/>
          <w:sz w:val="24"/>
          <w:szCs w:val="24"/>
          <w:lang w:eastAsia="en-GB"/>
        </w:rPr>
      </w:pPr>
    </w:p>
    <w:p w14:paraId="702A1422" w14:textId="77777777" w:rsidR="00CD3724" w:rsidRPr="00E2630C" w:rsidRDefault="00CD3724" w:rsidP="00CD3724">
      <w:pPr>
        <w:rPr>
          <w:rFonts w:ascii="Times New Roman" w:hAnsi="Times New Roman" w:cs="Times New Roman"/>
          <w:color w:val="000000" w:themeColor="text1"/>
          <w:sz w:val="24"/>
          <w:szCs w:val="24"/>
          <w:lang w:eastAsia="en-GB"/>
        </w:rPr>
      </w:pPr>
    </w:p>
    <w:p w14:paraId="19535045" w14:textId="77777777" w:rsidR="00CD3724" w:rsidRPr="00E2630C" w:rsidRDefault="00CD3724" w:rsidP="00CD3724">
      <w:pPr>
        <w:rPr>
          <w:rFonts w:ascii="Times New Roman" w:hAnsi="Times New Roman" w:cs="Times New Roman"/>
          <w:color w:val="000000" w:themeColor="text1"/>
          <w:sz w:val="24"/>
          <w:szCs w:val="24"/>
          <w:lang w:eastAsia="en-GB"/>
        </w:rPr>
      </w:pPr>
    </w:p>
    <w:p w14:paraId="2C3B3179" w14:textId="77777777" w:rsidR="00CD3724" w:rsidRPr="00E2630C" w:rsidRDefault="00CD3724" w:rsidP="00CD3724">
      <w:pPr>
        <w:rPr>
          <w:rFonts w:ascii="Times New Roman" w:hAnsi="Times New Roman" w:cs="Times New Roman"/>
          <w:color w:val="000000" w:themeColor="text1"/>
          <w:sz w:val="24"/>
          <w:szCs w:val="24"/>
          <w:lang w:eastAsia="en-GB"/>
        </w:rPr>
      </w:pPr>
    </w:p>
    <w:p w14:paraId="75E5B097" w14:textId="77777777" w:rsidR="00CD3724" w:rsidRPr="00E2630C" w:rsidRDefault="00CD3724" w:rsidP="00CD3724">
      <w:pPr>
        <w:jc w:val="center"/>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SDD UNIVERSITY FOR BUSINESS AND INTEGRATED DEVELOPMENT STUDIES</w:t>
      </w:r>
    </w:p>
    <w:p w14:paraId="07B4958F" w14:textId="77777777" w:rsidR="00CD3724" w:rsidRPr="00E2630C" w:rsidRDefault="00CD3724" w:rsidP="00CD3724">
      <w:pPr>
        <w:jc w:val="center"/>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GRADUATE SCHOOL– WA</w:t>
      </w:r>
    </w:p>
    <w:p w14:paraId="35DA3670" w14:textId="77777777" w:rsidR="00CD3724" w:rsidRPr="00E2630C" w:rsidRDefault="00CD3724" w:rsidP="00CD3724">
      <w:pPr>
        <w:jc w:val="center"/>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INTERVIEW SCHEDULE</w:t>
      </w:r>
    </w:p>
    <w:p w14:paraId="0F6735F7" w14:textId="77777777" w:rsidR="00CD3724" w:rsidRPr="00E2630C" w:rsidRDefault="00CD3724" w:rsidP="00CD3724">
      <w:pPr>
        <w:spacing w:after="0" w:line="480" w:lineRule="auto"/>
        <w:jc w:val="both"/>
        <w:rPr>
          <w:rFonts w:ascii="Times New Roman" w:hAnsi="Times New Roman" w:cs="Times New Roman"/>
          <w:b/>
          <w:bCs/>
          <w:color w:val="000000" w:themeColor="text1"/>
          <w:sz w:val="24"/>
          <w:szCs w:val="24"/>
        </w:rPr>
      </w:pPr>
      <w:r w:rsidRPr="00E2630C">
        <w:rPr>
          <w:rFonts w:ascii="Times New Roman" w:hAnsi="Times New Roman" w:cs="Times New Roman"/>
          <w:color w:val="000000" w:themeColor="text1"/>
          <w:sz w:val="24"/>
          <w:szCs w:val="24"/>
        </w:rPr>
        <w:t>This schedule has been designed for the collection of information on the topic “</w:t>
      </w:r>
      <w:r w:rsidRPr="00E2630C">
        <w:rPr>
          <w:rFonts w:ascii="Times New Roman" w:hAnsi="Times New Roman" w:cs="Times New Roman"/>
          <w:bCs/>
          <w:color w:val="000000" w:themeColor="text1"/>
          <w:sz w:val="24"/>
          <w:szCs w:val="24"/>
        </w:rPr>
        <w:t>Implication of chieftaincy conflicts on human security: examining the Bimbilla chieftaincy conflict in Ghana</w:t>
      </w:r>
      <w:r w:rsidRPr="00E2630C">
        <w:rPr>
          <w:rFonts w:ascii="Times New Roman" w:hAnsi="Times New Roman" w:cs="Times New Roman"/>
          <w:bCs/>
          <w:color w:val="000000" w:themeColor="text1"/>
          <w:sz w:val="24"/>
          <w:szCs w:val="24"/>
          <w:lang w:val="en-US"/>
        </w:rPr>
        <w:t xml:space="preserve">’’. </w:t>
      </w:r>
      <w:r w:rsidRPr="00E2630C">
        <w:rPr>
          <w:rFonts w:ascii="Times New Roman" w:hAnsi="Times New Roman" w:cs="Times New Roman"/>
          <w:color w:val="000000" w:themeColor="text1"/>
          <w:sz w:val="24"/>
          <w:szCs w:val="24"/>
        </w:rPr>
        <w:t>The purpose of this study is to compile and submit a research thesis on the problem mentioned above to the SDD - University for Business and Integrated Development Studies in partial fulfilment of the requirement for the award of doctor of philosophy in Development Studies. The cooperation of all is rightly solicited and confidentially of identity and response assured.</w:t>
      </w:r>
    </w:p>
    <w:p w14:paraId="058DFEF4" w14:textId="77777777" w:rsidR="00CD3724" w:rsidRPr="00E2630C" w:rsidRDefault="00CD3724" w:rsidP="00CD3724">
      <w:pPr>
        <w:jc w:val="both"/>
        <w:rPr>
          <w:rFonts w:ascii="Times New Roman" w:hAnsi="Times New Roman" w:cs="Times New Roman"/>
          <w:color w:val="000000" w:themeColor="text1"/>
          <w:sz w:val="24"/>
          <w:szCs w:val="24"/>
        </w:rPr>
      </w:pPr>
    </w:p>
    <w:p w14:paraId="337A8F4A" w14:textId="77777777" w:rsidR="00CD3724" w:rsidRPr="00E2630C" w:rsidRDefault="00CD3724" w:rsidP="00CD3724">
      <w:pPr>
        <w:jc w:val="center"/>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PART I</w:t>
      </w:r>
    </w:p>
    <w:p w14:paraId="7FD7C9A5" w14:textId="77777777" w:rsidR="00CD3724" w:rsidRPr="00E2630C" w:rsidRDefault="00CD3724" w:rsidP="00CD3724">
      <w:pPr>
        <w:jc w:val="center"/>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BACKGROUND INFORMATION OF RESPONDENT</w:t>
      </w:r>
    </w:p>
    <w:p w14:paraId="145FAEE3" w14:textId="77777777" w:rsidR="00CD3724" w:rsidRPr="00E2630C" w:rsidRDefault="00CD3724" w:rsidP="00CD3724">
      <w:pPr>
        <w:jc w:val="center"/>
        <w:rPr>
          <w:rFonts w:ascii="Times New Roman" w:hAnsi="Times New Roman" w:cs="Times New Roman"/>
          <w:b/>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12512" behindDoc="0" locked="0" layoutInCell="1" allowOverlap="1" wp14:anchorId="49E1DCBD" wp14:editId="78DE211D">
                <wp:simplePos x="0" y="0"/>
                <wp:positionH relativeFrom="column">
                  <wp:posOffset>844550</wp:posOffset>
                </wp:positionH>
                <wp:positionV relativeFrom="paragraph">
                  <wp:posOffset>278765</wp:posOffset>
                </wp:positionV>
                <wp:extent cx="158750" cy="197485"/>
                <wp:effectExtent l="0" t="0" r="6350" b="5715"/>
                <wp:wrapNone/>
                <wp:docPr id="917602823"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58750" cy="1974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BAAC99" id="Straight Connector 4" o:spid="_x0000_s1026" style="position:absolute;flip: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5pt,21.95pt" to="79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" strokecolor="black [3200]" strokeweight=".5pt">
                <v:stroke joinstyle="miter"/>
                <o:lock v:ext="edit" shapetype="f"/>
              </v:line>
            </w:pict>
          </mc:Fallback>
        </mc:AlternateContent>
      </w:r>
      <w:r w:rsidRPr="00E2630C">
        <w:rPr>
          <w:rFonts w:ascii="Times New Roman" w:hAnsi="Times New Roman" w:cs="Times New Roman"/>
          <w:b/>
          <w:color w:val="000000" w:themeColor="text1"/>
          <w:sz w:val="24"/>
          <w:szCs w:val="24"/>
        </w:rPr>
        <w:t>INTRODUCTION:</w:t>
      </w:r>
    </w:p>
    <w:p w14:paraId="35C4FC54"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11488" behindDoc="0" locked="0" layoutInCell="1" allowOverlap="1" wp14:anchorId="7CA9494C" wp14:editId="056DDAE1">
                <wp:simplePos x="0" y="0"/>
                <wp:positionH relativeFrom="column">
                  <wp:posOffset>765175</wp:posOffset>
                </wp:positionH>
                <wp:positionV relativeFrom="paragraph">
                  <wp:posOffset>79375</wp:posOffset>
                </wp:positionV>
                <wp:extent cx="79375" cy="69850"/>
                <wp:effectExtent l="0" t="0" r="9525" b="6350"/>
                <wp:wrapNone/>
                <wp:docPr id="1720007599"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9375" cy="69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E3F67F7" id="Straight Connector 3" o:spid="_x0000_s1026" style="position:absolute;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25pt,6.25pt" to="66.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" strokecolor="black [3200]" strokeweight=".5pt">
                <v:stroke joinstyle="miter"/>
                <o:lock v:ext="edit" shapetype="f"/>
              </v:line>
            </w:pict>
          </mc:Fallback>
        </mc:AlternateContent>
      </w:r>
      <w:r w:rsidRPr="00E2630C">
        <w:rPr>
          <w:rFonts w:ascii="Times New Roman" w:hAnsi="Times New Roman" w:cs="Times New Roman"/>
          <w:color w:val="000000" w:themeColor="text1"/>
          <w:sz w:val="24"/>
          <w:szCs w:val="24"/>
        </w:rPr>
        <w:t xml:space="preserve">Please </w:t>
      </w:r>
      <w:r w:rsidRPr="00E2630C">
        <w:rPr>
          <w:rFonts w:ascii="Times New Roman" w:hAnsi="Times New Roman" w:cs="Times New Roman"/>
          <w:b/>
          <w:color w:val="000000" w:themeColor="text1"/>
          <w:sz w:val="24"/>
          <w:szCs w:val="24"/>
        </w:rPr>
        <w:t>tick</w:t>
      </w:r>
      <w:r w:rsidRPr="00E2630C">
        <w:rPr>
          <w:rFonts w:ascii="Times New Roman" w:hAnsi="Times New Roman" w:cs="Times New Roman"/>
          <w:color w:val="000000" w:themeColor="text1"/>
          <w:sz w:val="24"/>
          <w:szCs w:val="24"/>
        </w:rPr>
        <w:t xml:space="preserve"> [      ] or </w:t>
      </w:r>
      <w:r w:rsidRPr="00E2630C">
        <w:rPr>
          <w:rFonts w:ascii="Times New Roman" w:hAnsi="Times New Roman" w:cs="Times New Roman"/>
          <w:b/>
          <w:color w:val="000000" w:themeColor="text1"/>
          <w:sz w:val="24"/>
          <w:szCs w:val="24"/>
        </w:rPr>
        <w:t>write</w:t>
      </w:r>
      <w:r w:rsidRPr="00E2630C">
        <w:rPr>
          <w:rFonts w:ascii="Times New Roman" w:hAnsi="Times New Roman" w:cs="Times New Roman"/>
          <w:color w:val="000000" w:themeColor="text1"/>
          <w:sz w:val="24"/>
          <w:szCs w:val="24"/>
        </w:rPr>
        <w:t xml:space="preserve"> answer in the space provided where appropriate.</w:t>
      </w:r>
    </w:p>
    <w:p w14:paraId="6110EF64" w14:textId="77777777" w:rsidR="00CD3724" w:rsidRPr="00E2630C" w:rsidRDefault="00CD3724" w:rsidP="00CD3724">
      <w:pPr>
        <w:jc w:val="both"/>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 xml:space="preserve">Age;          </w:t>
      </w:r>
    </w:p>
    <w:p w14:paraId="61BCB71A"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18-29 [       ]   </w:t>
      </w:r>
    </w:p>
    <w:p w14:paraId="1FC9503E"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30-39 [       ]     </w:t>
      </w:r>
    </w:p>
    <w:p w14:paraId="09180E4D"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40-49   [       ]   </w:t>
      </w:r>
    </w:p>
    <w:p w14:paraId="7AE96727"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50 and above     [     ]</w:t>
      </w:r>
    </w:p>
    <w:p w14:paraId="6727326F"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Marital status:  Single [       ]     Married [       ]      </w:t>
      </w:r>
    </w:p>
    <w:p w14:paraId="65C6C27C"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 xml:space="preserve">Formal Education;   none [      ]   Basic Level [      ]   Tertiary [      ]   others specify [      ]   </w:t>
      </w:r>
    </w:p>
    <w:p w14:paraId="151FFA0C" w14:textId="77777777" w:rsidR="00CD3724" w:rsidRPr="00E2630C" w:rsidRDefault="00CD3724" w:rsidP="00CD3724">
      <w:pPr>
        <w:jc w:val="both"/>
        <w:rPr>
          <w:rFonts w:ascii="Times New Roman" w:hAnsi="Times New Roman" w:cs="Times New Roman"/>
          <w:color w:val="000000" w:themeColor="text1"/>
          <w:sz w:val="24"/>
          <w:szCs w:val="24"/>
        </w:rPr>
      </w:pPr>
    </w:p>
    <w:p w14:paraId="06C86086" w14:textId="77777777" w:rsidR="00CD3724" w:rsidRPr="00E2630C" w:rsidRDefault="00CD3724" w:rsidP="00CD3724">
      <w:pPr>
        <w:jc w:val="center"/>
        <w:rPr>
          <w:rFonts w:ascii="Times New Roman" w:hAnsi="Times New Roman" w:cs="Times New Roman"/>
          <w:color w:val="000000" w:themeColor="text1"/>
          <w:sz w:val="24"/>
          <w:szCs w:val="24"/>
        </w:rPr>
      </w:pPr>
    </w:p>
    <w:p w14:paraId="502BB711" w14:textId="77777777" w:rsidR="00CD3724" w:rsidRPr="00E2630C" w:rsidRDefault="00CD3724" w:rsidP="00CD3724">
      <w:pPr>
        <w:rPr>
          <w:rFonts w:ascii="Times New Roman" w:hAnsi="Times New Roman" w:cs="Times New Roman"/>
          <w:color w:val="000000" w:themeColor="text1"/>
          <w:sz w:val="24"/>
          <w:szCs w:val="24"/>
        </w:rPr>
      </w:pPr>
    </w:p>
    <w:p w14:paraId="381ADE78" w14:textId="77777777" w:rsidR="00CD3724" w:rsidRPr="00E2630C" w:rsidRDefault="00CD3724" w:rsidP="00CD3724">
      <w:pPr>
        <w:jc w:val="center"/>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PART II</w:t>
      </w:r>
    </w:p>
    <w:p w14:paraId="79D56C85" w14:textId="77777777" w:rsidR="00CD3724" w:rsidRPr="00E2630C" w:rsidRDefault="00CD3724" w:rsidP="00CD3724">
      <w:pPr>
        <w:jc w:val="center"/>
        <w:rPr>
          <w:rFonts w:ascii="Times New Roman" w:hAnsi="Times New Roman" w:cs="Times New Roman"/>
          <w:b/>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10464" behindDoc="0" locked="0" layoutInCell="1" allowOverlap="1" wp14:anchorId="62729D5D" wp14:editId="620BD864">
                <wp:simplePos x="0" y="0"/>
                <wp:positionH relativeFrom="column">
                  <wp:posOffset>2176145</wp:posOffset>
                </wp:positionH>
                <wp:positionV relativeFrom="paragraph">
                  <wp:posOffset>248285</wp:posOffset>
                </wp:positionV>
                <wp:extent cx="149860" cy="248285"/>
                <wp:effectExtent l="0" t="0" r="2540" b="5715"/>
                <wp:wrapNone/>
                <wp:docPr id="1089401970"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9860" cy="2482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62E1EB3" id="Straight Connector 2" o:spid="_x0000_s1026" style="position:absolute;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35pt,19.55pt" to="183.15pt,3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" strokecolor="black [3200]" strokeweight=".5pt">
                <v:stroke joinstyle="miter"/>
                <o:lock v:ext="edit" shapetype="f"/>
              </v:line>
            </w:pict>
          </mc:Fallback>
        </mc:AlternateContent>
      </w:r>
      <w:r w:rsidRPr="00E2630C">
        <w:rPr>
          <w:rFonts w:ascii="Times New Roman" w:hAnsi="Times New Roman" w:cs="Times New Roman"/>
          <w:b/>
          <w:color w:val="000000" w:themeColor="text1"/>
          <w:sz w:val="24"/>
          <w:szCs w:val="24"/>
        </w:rPr>
        <w:t>INSTRUCTION:</w:t>
      </w:r>
    </w:p>
    <w:p w14:paraId="0BB11CBC" w14:textId="77777777" w:rsidR="00CD3724" w:rsidRPr="00E2630C" w:rsidRDefault="00CD3724" w:rsidP="00CD3724">
      <w:pPr>
        <w:jc w:val="center"/>
        <w:rPr>
          <w:rFonts w:ascii="Times New Roman" w:hAnsi="Times New Roman" w:cs="Times New Roman"/>
          <w:color w:val="000000" w:themeColor="text1"/>
          <w:sz w:val="24"/>
          <w:szCs w:val="24"/>
        </w:rPr>
      </w:pPr>
      <w:r w:rsidRPr="00E2630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709440" behindDoc="0" locked="0" layoutInCell="1" allowOverlap="1" wp14:anchorId="7B796BD6" wp14:editId="7C2AE614">
                <wp:simplePos x="0" y="0"/>
                <wp:positionH relativeFrom="column">
                  <wp:posOffset>2117090</wp:posOffset>
                </wp:positionH>
                <wp:positionV relativeFrom="paragraph">
                  <wp:posOffset>88265</wp:posOffset>
                </wp:positionV>
                <wp:extent cx="59690" cy="79375"/>
                <wp:effectExtent l="0" t="0" r="3810" b="9525"/>
                <wp:wrapNone/>
                <wp:docPr id="99043178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59690" cy="79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BD4B112" id="Straight Connector 1" o:spid="_x0000_s1026" style="position:absolute;flip:x 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6.7pt,6.95pt" to="171.4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" strokecolor="black [3200]" strokeweight=".5pt">
                <v:stroke joinstyle="miter"/>
                <o:lock v:ext="edit" shapetype="f"/>
              </v:line>
            </w:pict>
          </mc:Fallback>
        </mc:AlternateContent>
      </w:r>
      <w:r w:rsidRPr="00E2630C">
        <w:rPr>
          <w:rFonts w:ascii="Times New Roman" w:hAnsi="Times New Roman" w:cs="Times New Roman"/>
          <w:color w:val="000000" w:themeColor="text1"/>
          <w:sz w:val="24"/>
          <w:szCs w:val="24"/>
        </w:rPr>
        <w:t>Tick   [    ] or write appropriate answer</w:t>
      </w:r>
    </w:p>
    <w:p w14:paraId="24A819DC"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Does conflict pose threat to human security in Bimbila</w:t>
      </w:r>
    </w:p>
    <w:p w14:paraId="5FF4E449"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Yes</w:t>
      </w:r>
      <w:r w:rsidRPr="00E2630C">
        <w:rPr>
          <w:rFonts w:cs="Times New Roman"/>
          <w:color w:val="000000" w:themeColor="text1"/>
          <w:szCs w:val="24"/>
        </w:rPr>
        <w:tab/>
        <w:t>[     ]</w:t>
      </w:r>
    </w:p>
    <w:p w14:paraId="50E6BCC7" w14:textId="77777777" w:rsidR="00CD3724" w:rsidRPr="00E2630C" w:rsidRDefault="00CD3724" w:rsidP="00CD3724">
      <w:pPr>
        <w:pStyle w:val="ListParagraph"/>
        <w:ind w:left="786"/>
        <w:rPr>
          <w:rFonts w:cs="Times New Roman"/>
          <w:color w:val="000000" w:themeColor="text1"/>
          <w:szCs w:val="24"/>
        </w:rPr>
      </w:pPr>
    </w:p>
    <w:p w14:paraId="3EE50C96"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No</w:t>
      </w:r>
      <w:r w:rsidRPr="00E2630C">
        <w:rPr>
          <w:rFonts w:cs="Times New Roman"/>
          <w:color w:val="000000" w:themeColor="text1"/>
          <w:szCs w:val="24"/>
        </w:rPr>
        <w:tab/>
        <w:t>[     ]</w:t>
      </w:r>
    </w:p>
    <w:p w14:paraId="7420BEB7" w14:textId="77777777" w:rsidR="00CD3724" w:rsidRPr="00E2630C" w:rsidRDefault="00CD3724" w:rsidP="00CD3724">
      <w:pPr>
        <w:pStyle w:val="ListParagraph"/>
        <w:ind w:left="786"/>
        <w:rPr>
          <w:rFonts w:cs="Times New Roman"/>
          <w:color w:val="000000" w:themeColor="text1"/>
          <w:szCs w:val="24"/>
        </w:rPr>
      </w:pPr>
    </w:p>
    <w:p w14:paraId="274165B9"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What are the human security implications of the Bimbilla chieftaincy conflict?</w:t>
      </w:r>
    </w:p>
    <w:p w14:paraId="12E82BC6"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w:t>
      </w:r>
    </w:p>
    <w:p w14:paraId="6FE3FBEE"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 xml:space="preserve">How does this security threat affect Ghana </w:t>
      </w:r>
    </w:p>
    <w:p w14:paraId="1844D1B9"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w:t>
      </w:r>
    </w:p>
    <w:p w14:paraId="232E6E37"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Does the Bimbila conflict pose threat to the economic activities in Bimbila?</w:t>
      </w:r>
    </w:p>
    <w:p w14:paraId="4746FCD0"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Yes</w:t>
      </w:r>
      <w:r w:rsidRPr="00E2630C">
        <w:rPr>
          <w:rFonts w:cs="Times New Roman"/>
          <w:color w:val="000000" w:themeColor="text1"/>
          <w:szCs w:val="24"/>
        </w:rPr>
        <w:tab/>
        <w:t>[    ]</w:t>
      </w:r>
    </w:p>
    <w:p w14:paraId="095D8052" w14:textId="77777777" w:rsidR="00CD3724" w:rsidRPr="00E2630C" w:rsidRDefault="00CD3724" w:rsidP="00CD3724">
      <w:pPr>
        <w:pStyle w:val="ListParagraph"/>
        <w:ind w:left="786"/>
        <w:rPr>
          <w:rFonts w:cs="Times New Roman"/>
          <w:color w:val="000000" w:themeColor="text1"/>
          <w:szCs w:val="24"/>
        </w:rPr>
      </w:pPr>
    </w:p>
    <w:p w14:paraId="63108B93"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No</w:t>
      </w:r>
      <w:r w:rsidRPr="00E2630C">
        <w:rPr>
          <w:rFonts w:cs="Times New Roman"/>
          <w:color w:val="000000" w:themeColor="text1"/>
          <w:szCs w:val="24"/>
        </w:rPr>
        <w:tab/>
        <w:t>[    ]</w:t>
      </w:r>
    </w:p>
    <w:p w14:paraId="0CC772AD" w14:textId="77777777" w:rsidR="00CD3724" w:rsidRPr="00E2630C" w:rsidRDefault="00CD3724" w:rsidP="00CD3724">
      <w:pPr>
        <w:pStyle w:val="ListParagraph"/>
        <w:ind w:left="786"/>
        <w:rPr>
          <w:rFonts w:cs="Times New Roman"/>
          <w:color w:val="000000" w:themeColor="text1"/>
          <w:szCs w:val="24"/>
        </w:rPr>
      </w:pPr>
    </w:p>
    <w:p w14:paraId="5A871C61"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What are the economic threats of the Bimbilla conflict?</w:t>
      </w:r>
    </w:p>
    <w:p w14:paraId="0C58A4A9"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w:t>
      </w:r>
    </w:p>
    <w:p w14:paraId="1C21C817"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lastRenderedPageBreak/>
        <w:t>How does this affect the economy of Ghana?</w:t>
      </w:r>
    </w:p>
    <w:p w14:paraId="5705E163"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w:t>
      </w:r>
    </w:p>
    <w:p w14:paraId="17A4744D"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Does the Bimbila conflict pose threat to agriculture and food security in the area?</w:t>
      </w:r>
    </w:p>
    <w:p w14:paraId="1B0E5F94"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Yes</w:t>
      </w:r>
      <w:r w:rsidRPr="00E2630C">
        <w:rPr>
          <w:rFonts w:cs="Times New Roman"/>
          <w:color w:val="000000" w:themeColor="text1"/>
          <w:szCs w:val="24"/>
        </w:rPr>
        <w:tab/>
        <w:t>[    ]</w:t>
      </w:r>
    </w:p>
    <w:p w14:paraId="11756DAF" w14:textId="77777777" w:rsidR="00CD3724" w:rsidRPr="00E2630C" w:rsidRDefault="00CD3724" w:rsidP="00CD3724">
      <w:pPr>
        <w:pStyle w:val="ListParagraph"/>
        <w:ind w:left="786"/>
        <w:rPr>
          <w:rFonts w:cs="Times New Roman"/>
          <w:color w:val="000000" w:themeColor="text1"/>
          <w:szCs w:val="24"/>
        </w:rPr>
      </w:pPr>
    </w:p>
    <w:p w14:paraId="60FD9FE6"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No</w:t>
      </w:r>
      <w:r w:rsidRPr="00E2630C">
        <w:rPr>
          <w:rFonts w:cs="Times New Roman"/>
          <w:color w:val="000000" w:themeColor="text1"/>
          <w:szCs w:val="24"/>
        </w:rPr>
        <w:tab/>
        <w:t>[    ]</w:t>
      </w:r>
    </w:p>
    <w:p w14:paraId="7CEC25C6"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 xml:space="preserve">How does the Bimbila conflict pose threat to agriculture and food security in the area? </w:t>
      </w:r>
    </w:p>
    <w:p w14:paraId="0A721A5D" w14:textId="77777777" w:rsidR="00CD3724" w:rsidRPr="00E2630C" w:rsidRDefault="00CD3724" w:rsidP="00CD3724">
      <w:pPr>
        <w:pStyle w:val="ListParagraph"/>
        <w:ind w:left="360"/>
        <w:rPr>
          <w:rFonts w:cs="Times New Roman"/>
          <w:color w:val="000000" w:themeColor="text1"/>
          <w:szCs w:val="24"/>
        </w:rPr>
      </w:pPr>
      <w:r w:rsidRPr="00E2630C">
        <w:rPr>
          <w:rFonts w:cs="Times New Roman"/>
          <w:color w:val="000000" w:themeColor="text1"/>
          <w:szCs w:val="24"/>
        </w:rPr>
        <w:t>………………………………………………………………………………………………………………………………………………………………………………………………………………………………………………………………………………………………………………………………………………………………………………………………………………………………………………………</w:t>
      </w:r>
    </w:p>
    <w:p w14:paraId="566A17F5"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Does the Bimbila conflict have health implications in the area?</w:t>
      </w:r>
    </w:p>
    <w:p w14:paraId="3F25F85B"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Yes</w:t>
      </w:r>
      <w:r w:rsidRPr="00E2630C">
        <w:rPr>
          <w:rFonts w:cs="Times New Roman"/>
          <w:color w:val="000000" w:themeColor="text1"/>
          <w:szCs w:val="24"/>
        </w:rPr>
        <w:tab/>
        <w:t>[    ]</w:t>
      </w:r>
    </w:p>
    <w:p w14:paraId="2EB5998B" w14:textId="77777777" w:rsidR="00CD3724" w:rsidRPr="00E2630C" w:rsidRDefault="00CD3724" w:rsidP="00CD3724">
      <w:pPr>
        <w:pStyle w:val="ListParagraph"/>
        <w:ind w:left="786"/>
        <w:rPr>
          <w:rFonts w:cs="Times New Roman"/>
          <w:color w:val="000000" w:themeColor="text1"/>
          <w:szCs w:val="24"/>
        </w:rPr>
      </w:pPr>
    </w:p>
    <w:p w14:paraId="07D04536"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No</w:t>
      </w:r>
      <w:r w:rsidRPr="00E2630C">
        <w:rPr>
          <w:rFonts w:cs="Times New Roman"/>
          <w:color w:val="000000" w:themeColor="text1"/>
          <w:szCs w:val="24"/>
        </w:rPr>
        <w:tab/>
        <w:t>[    ]</w:t>
      </w:r>
    </w:p>
    <w:p w14:paraId="5BFBE8AE"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What are the effects of the Bimbilla chieftaincy conflict on health? ………………………………………………………………………………………………………………………………………………………………………………………………………………………………………………………………………………………………………………………………………………………………………………………………………………………………………………………</w:t>
      </w:r>
    </w:p>
    <w:p w14:paraId="6A1A40A9" w14:textId="77777777" w:rsidR="00CD3724" w:rsidRPr="00E2630C" w:rsidRDefault="00CD3724" w:rsidP="00CD3724">
      <w:pPr>
        <w:pStyle w:val="ListParagraph"/>
        <w:spacing w:after="200" w:line="276" w:lineRule="auto"/>
        <w:ind w:left="360"/>
        <w:rPr>
          <w:rFonts w:cs="Times New Roman"/>
          <w:color w:val="000000" w:themeColor="text1"/>
          <w:szCs w:val="24"/>
        </w:rPr>
      </w:pPr>
    </w:p>
    <w:p w14:paraId="0C2F915A"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Does the conflict in Bimbilla pose threat to personal security of the people in the area?</w:t>
      </w:r>
    </w:p>
    <w:p w14:paraId="17E7EA23"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Yes</w:t>
      </w:r>
      <w:r w:rsidRPr="00E2630C">
        <w:rPr>
          <w:rFonts w:cs="Times New Roman"/>
          <w:color w:val="000000" w:themeColor="text1"/>
          <w:szCs w:val="24"/>
        </w:rPr>
        <w:tab/>
        <w:t>[    ]</w:t>
      </w:r>
    </w:p>
    <w:p w14:paraId="370DFC49" w14:textId="77777777" w:rsidR="00CD3724" w:rsidRPr="00E2630C" w:rsidRDefault="00CD3724" w:rsidP="00CD3724">
      <w:pPr>
        <w:pStyle w:val="ListParagraph"/>
        <w:ind w:left="786"/>
        <w:rPr>
          <w:rFonts w:cs="Times New Roman"/>
          <w:color w:val="000000" w:themeColor="text1"/>
          <w:szCs w:val="24"/>
        </w:rPr>
      </w:pPr>
    </w:p>
    <w:p w14:paraId="2E943F82"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No</w:t>
      </w:r>
      <w:r w:rsidRPr="00E2630C">
        <w:rPr>
          <w:rFonts w:cs="Times New Roman"/>
          <w:color w:val="000000" w:themeColor="text1"/>
          <w:szCs w:val="24"/>
        </w:rPr>
        <w:tab/>
        <w:t>[    ]</w:t>
      </w:r>
    </w:p>
    <w:p w14:paraId="0855208B"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lastRenderedPageBreak/>
        <w:t>What are the personal security threats of the Bimbilla chieftaincy conflict?</w:t>
      </w:r>
    </w:p>
    <w:p w14:paraId="44CE1E75" w14:textId="77777777" w:rsidR="00CD3724" w:rsidRPr="00E2630C" w:rsidRDefault="00CD3724" w:rsidP="00CD3724">
      <w:pPr>
        <w:pStyle w:val="ListParagraph"/>
        <w:ind w:left="360"/>
        <w:rPr>
          <w:rFonts w:cs="Times New Roman"/>
          <w:color w:val="000000" w:themeColor="text1"/>
          <w:szCs w:val="24"/>
        </w:rPr>
      </w:pPr>
      <w:r w:rsidRPr="00E2630C">
        <w:rPr>
          <w:rFonts w:cs="Times New Roman"/>
          <w:color w:val="000000" w:themeColor="text1"/>
          <w:szCs w:val="24"/>
        </w:rPr>
        <w:t>....................................................................................................................................................................................................................................................................................................................................................................................................................................................................................................................................................................................................................................................................................</w:t>
      </w:r>
    </w:p>
    <w:p w14:paraId="32733D8E" w14:textId="77777777" w:rsidR="00CD3724" w:rsidRPr="00E2630C" w:rsidRDefault="00CD3724" w:rsidP="00CD3724">
      <w:pPr>
        <w:pStyle w:val="NoSpacing"/>
        <w:rPr>
          <w:rFonts w:ascii="Times New Roman" w:hAnsi="Times New Roman" w:cs="Times New Roman"/>
          <w:color w:val="000000" w:themeColor="text1"/>
          <w:sz w:val="24"/>
          <w:szCs w:val="24"/>
        </w:rPr>
      </w:pPr>
    </w:p>
    <w:p w14:paraId="0A0D3C44"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Does the conflict in the area have effects on the environment in Bimbilla?</w:t>
      </w:r>
    </w:p>
    <w:p w14:paraId="38CDC1B6"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Yes</w:t>
      </w:r>
      <w:r w:rsidRPr="00E2630C">
        <w:rPr>
          <w:rFonts w:cs="Times New Roman"/>
          <w:color w:val="000000" w:themeColor="text1"/>
          <w:szCs w:val="24"/>
        </w:rPr>
        <w:tab/>
        <w:t>[    ]</w:t>
      </w:r>
    </w:p>
    <w:p w14:paraId="488D481F" w14:textId="77777777" w:rsidR="00CD3724" w:rsidRPr="00E2630C" w:rsidRDefault="00CD3724" w:rsidP="00CD3724">
      <w:pPr>
        <w:pStyle w:val="ListParagraph"/>
        <w:ind w:left="786"/>
        <w:rPr>
          <w:rFonts w:cs="Times New Roman"/>
          <w:color w:val="000000" w:themeColor="text1"/>
          <w:szCs w:val="24"/>
        </w:rPr>
      </w:pPr>
    </w:p>
    <w:p w14:paraId="6F14A167" w14:textId="77777777" w:rsidR="00CD3724" w:rsidRPr="00E2630C" w:rsidRDefault="00CD3724" w:rsidP="00CD3724">
      <w:pPr>
        <w:pStyle w:val="ListParagraph"/>
        <w:ind w:left="786"/>
        <w:rPr>
          <w:rFonts w:cs="Times New Roman"/>
          <w:color w:val="000000" w:themeColor="text1"/>
          <w:szCs w:val="24"/>
        </w:rPr>
      </w:pPr>
      <w:r w:rsidRPr="00E2630C">
        <w:rPr>
          <w:rFonts w:cs="Times New Roman"/>
          <w:color w:val="000000" w:themeColor="text1"/>
          <w:szCs w:val="24"/>
        </w:rPr>
        <w:t>No</w:t>
      </w:r>
      <w:r w:rsidRPr="00E2630C">
        <w:rPr>
          <w:rFonts w:cs="Times New Roman"/>
          <w:color w:val="000000" w:themeColor="text1"/>
          <w:szCs w:val="24"/>
        </w:rPr>
        <w:tab/>
        <w:t>[    ]</w:t>
      </w:r>
    </w:p>
    <w:p w14:paraId="0580EBF3"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 xml:space="preserve">What are the environmental security implications of the Bimbilla chieftaincy conflict? </w:t>
      </w:r>
    </w:p>
    <w:p w14:paraId="3DE882BF" w14:textId="77777777" w:rsidR="00CD3724" w:rsidRPr="00E2630C" w:rsidRDefault="00CD3724" w:rsidP="00CD3724">
      <w:pPr>
        <w:pStyle w:val="ListParagraph"/>
        <w:ind w:left="360"/>
        <w:rPr>
          <w:rFonts w:cs="Times New Roman"/>
          <w:color w:val="000000" w:themeColor="text1"/>
          <w:szCs w:val="24"/>
        </w:rPr>
      </w:pPr>
      <w:r w:rsidRPr="00E2630C">
        <w:rPr>
          <w:rFonts w:cs="Times New Roman"/>
          <w:color w:val="000000" w:themeColor="text1"/>
          <w:szCs w:val="24"/>
        </w:rPr>
        <w:t>………………………………………………………………………………………………………………………………………………………………………………………………………………………………………………………………………………………………………………………………………………………………………………………………………………………………………………………………………………………………</w:t>
      </w:r>
    </w:p>
    <w:p w14:paraId="1BECBF71"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 xml:space="preserve">Are people investing in the Bimbila chieftaincy conflict? </w:t>
      </w:r>
    </w:p>
    <w:p w14:paraId="647914A9"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b/>
        <w:t xml:space="preserve">Yes </w:t>
      </w:r>
      <w:r w:rsidRPr="00E2630C">
        <w:rPr>
          <w:rFonts w:ascii="Times New Roman" w:hAnsi="Times New Roman" w:cs="Times New Roman"/>
          <w:color w:val="000000" w:themeColor="text1"/>
          <w:sz w:val="24"/>
          <w:szCs w:val="24"/>
        </w:rPr>
        <w:tab/>
        <w:t>[    ]</w:t>
      </w:r>
    </w:p>
    <w:p w14:paraId="141A8398"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b/>
        <w:t xml:space="preserve">No </w:t>
      </w:r>
      <w:r w:rsidRPr="00E2630C">
        <w:rPr>
          <w:rFonts w:ascii="Times New Roman" w:hAnsi="Times New Roman" w:cs="Times New Roman"/>
          <w:color w:val="000000" w:themeColor="text1"/>
          <w:sz w:val="24"/>
          <w:szCs w:val="24"/>
        </w:rPr>
        <w:tab/>
        <w:t>[    ]</w:t>
      </w:r>
    </w:p>
    <w:p w14:paraId="58371CC8"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How are people investing in the Bimbila conflict?</w:t>
      </w:r>
    </w:p>
    <w:p w14:paraId="55581832"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w:t>
      </w:r>
    </w:p>
    <w:p w14:paraId="2FA51373" w14:textId="77777777" w:rsidR="00CD3724" w:rsidRPr="00E2630C" w:rsidRDefault="00CD3724" w:rsidP="00CD3724">
      <w:pPr>
        <w:jc w:val="both"/>
        <w:rPr>
          <w:rFonts w:ascii="Times New Roman" w:hAnsi="Times New Roman" w:cs="Times New Roman"/>
          <w:color w:val="000000" w:themeColor="text1"/>
          <w:sz w:val="24"/>
          <w:szCs w:val="24"/>
        </w:rPr>
      </w:pPr>
    </w:p>
    <w:p w14:paraId="6AE80215"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lastRenderedPageBreak/>
        <w:t xml:space="preserve">What have been the motivation factors for people fighting in Bimbila? </w:t>
      </w:r>
    </w:p>
    <w:p w14:paraId="61A4E1A1" w14:textId="77777777" w:rsidR="00CD3724" w:rsidRPr="00E2630C" w:rsidRDefault="00CD3724" w:rsidP="00CD3724">
      <w:pPr>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w:t>
      </w:r>
    </w:p>
    <w:p w14:paraId="0D70BD06"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 xml:space="preserve">What policy measures can help mitigate the Bimbila chieftaincy conflicts?  </w:t>
      </w:r>
    </w:p>
    <w:p w14:paraId="3910595C" w14:textId="77777777" w:rsidR="00CD3724" w:rsidRPr="00E2630C" w:rsidRDefault="00CD3724" w:rsidP="00CD3724">
      <w:pPr>
        <w:ind w:left="360"/>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w:t>
      </w:r>
    </w:p>
    <w:p w14:paraId="4340F184"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 xml:space="preserve">Do people drive any motive of involving in this conflict?      </w:t>
      </w:r>
    </w:p>
    <w:p w14:paraId="2D7E3FA7" w14:textId="77777777" w:rsidR="00CD3724" w:rsidRPr="00E2630C" w:rsidRDefault="00CD3724" w:rsidP="00CD3724">
      <w:pPr>
        <w:ind w:left="360"/>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b/>
        <w:t xml:space="preserve">Yes </w:t>
      </w:r>
      <w:r w:rsidRPr="00E2630C">
        <w:rPr>
          <w:rFonts w:ascii="Times New Roman" w:hAnsi="Times New Roman" w:cs="Times New Roman"/>
          <w:color w:val="000000" w:themeColor="text1"/>
          <w:sz w:val="24"/>
          <w:szCs w:val="24"/>
        </w:rPr>
        <w:tab/>
        <w:t xml:space="preserve">[    ]                          </w:t>
      </w:r>
    </w:p>
    <w:p w14:paraId="5F5CB651" w14:textId="77777777" w:rsidR="00CD3724" w:rsidRPr="00E2630C" w:rsidRDefault="00CD3724" w:rsidP="00CD3724">
      <w:pPr>
        <w:ind w:left="360"/>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ab/>
        <w:t xml:space="preserve">No </w:t>
      </w:r>
      <w:r w:rsidRPr="00E2630C">
        <w:rPr>
          <w:rFonts w:ascii="Times New Roman" w:hAnsi="Times New Roman" w:cs="Times New Roman"/>
          <w:color w:val="000000" w:themeColor="text1"/>
          <w:sz w:val="24"/>
          <w:szCs w:val="24"/>
        </w:rPr>
        <w:tab/>
        <w:t>[    ]</w:t>
      </w:r>
    </w:p>
    <w:p w14:paraId="02CB3AAA" w14:textId="77777777" w:rsidR="00CD3724" w:rsidRPr="00E2630C" w:rsidRDefault="00CD3724" w:rsidP="00CD3724">
      <w:pPr>
        <w:pStyle w:val="ListParagraph"/>
        <w:numPr>
          <w:ilvl w:val="0"/>
          <w:numId w:val="47"/>
        </w:numPr>
        <w:spacing w:after="200" w:line="276" w:lineRule="auto"/>
        <w:rPr>
          <w:rFonts w:cs="Times New Roman"/>
          <w:color w:val="000000" w:themeColor="text1"/>
          <w:szCs w:val="24"/>
        </w:rPr>
      </w:pPr>
      <w:r w:rsidRPr="00E2630C">
        <w:rPr>
          <w:rFonts w:cs="Times New Roman"/>
          <w:color w:val="000000" w:themeColor="text1"/>
          <w:szCs w:val="24"/>
        </w:rPr>
        <w:t xml:space="preserve">What kind of motive do combatants drive from involving this conflict? </w:t>
      </w:r>
    </w:p>
    <w:p w14:paraId="49963B30" w14:textId="77777777" w:rsidR="00CD3724" w:rsidRPr="00E2630C" w:rsidRDefault="00CD3724" w:rsidP="00CD3724">
      <w:pPr>
        <w:ind w:left="360"/>
        <w:jc w:val="both"/>
        <w:rPr>
          <w:rFonts w:ascii="Times New Roman" w:hAnsi="Times New Roman" w:cs="Times New Roman"/>
          <w:color w:val="000000" w:themeColor="text1"/>
          <w:sz w:val="24"/>
          <w:szCs w:val="24"/>
        </w:rPr>
      </w:pPr>
      <w:r w:rsidRPr="00E2630C">
        <w:rPr>
          <w:rFonts w:ascii="Times New Roman" w:hAnsi="Times New Roman" w:cs="Times New Roman"/>
          <w:color w:val="000000" w:themeColor="text1"/>
          <w:sz w:val="24"/>
          <w:szCs w:val="24"/>
        </w:rPr>
        <w:t>………………………………………………………………………………………………………………………………………………………………………………………………………………………………………………………………………………………………………………………………………………………………………………………………</w:t>
      </w:r>
    </w:p>
    <w:p w14:paraId="23697975" w14:textId="77777777" w:rsidR="00CD3724" w:rsidRPr="00E2630C" w:rsidRDefault="00CD3724" w:rsidP="00CD3724">
      <w:pPr>
        <w:jc w:val="center"/>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Thank you very much once again for taking time to help with the Research.</w:t>
      </w:r>
    </w:p>
    <w:p w14:paraId="20653FE5" w14:textId="77777777" w:rsidR="00CD3724" w:rsidRPr="00E2630C" w:rsidRDefault="00CD3724" w:rsidP="00CD3724">
      <w:pPr>
        <w:jc w:val="center"/>
        <w:rPr>
          <w:rFonts w:ascii="Times New Roman" w:hAnsi="Times New Roman" w:cs="Times New Roman"/>
          <w:b/>
          <w:color w:val="000000" w:themeColor="text1"/>
          <w:sz w:val="24"/>
          <w:szCs w:val="24"/>
        </w:rPr>
      </w:pPr>
      <w:r w:rsidRPr="00E2630C">
        <w:rPr>
          <w:rFonts w:ascii="Times New Roman" w:hAnsi="Times New Roman" w:cs="Times New Roman"/>
          <w:b/>
          <w:color w:val="000000" w:themeColor="text1"/>
          <w:sz w:val="24"/>
          <w:szCs w:val="24"/>
        </w:rPr>
        <w:t>Npagya Pam</w:t>
      </w:r>
    </w:p>
    <w:p w14:paraId="6750E51E" w14:textId="77777777" w:rsidR="00CD3724" w:rsidRPr="00E2630C" w:rsidRDefault="00CD3724" w:rsidP="00CD3724">
      <w:pPr>
        <w:rPr>
          <w:rFonts w:ascii="Times New Roman" w:hAnsi="Times New Roman" w:cs="Times New Roman"/>
          <w:color w:val="000000" w:themeColor="text1"/>
          <w:sz w:val="24"/>
          <w:szCs w:val="24"/>
          <w:lang w:eastAsia="en-GB"/>
        </w:rPr>
      </w:pPr>
    </w:p>
    <w:p w14:paraId="2572A131" w14:textId="44D62643" w:rsidR="003315F5" w:rsidRPr="00E2630C" w:rsidRDefault="003315F5">
      <w:pPr>
        <w:rPr>
          <w:rFonts w:ascii="Times New Roman" w:hAnsi="Times New Roman" w:cs="Times New Roman"/>
          <w:color w:val="000000" w:themeColor="text1"/>
          <w:sz w:val="24"/>
          <w:szCs w:val="24"/>
        </w:rPr>
      </w:pPr>
    </w:p>
    <w:sectPr w:rsidR="003315F5" w:rsidRPr="00E2630C" w:rsidSect="00ED6BC0">
      <w:type w:val="continuous"/>
      <w:pgSz w:w="11906" w:h="16838" w:code="9"/>
      <w:pgMar w:top="1440" w:right="1440" w:bottom="1440" w:left="216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BEF2EE" w14:textId="77777777" w:rsidR="00B755EE" w:rsidRDefault="00B755EE">
      <w:pPr>
        <w:spacing w:after="0" w:line="240" w:lineRule="auto"/>
      </w:pPr>
      <w:r>
        <w:separator/>
      </w:r>
    </w:p>
  </w:endnote>
  <w:endnote w:type="continuationSeparator" w:id="0">
    <w:p w14:paraId="43796D94" w14:textId="77777777" w:rsidR="00B755EE" w:rsidRDefault="00B755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24A64F" w14:textId="77777777" w:rsidR="0067586A" w:rsidRPr="000664E3" w:rsidRDefault="0067586A">
    <w:pPr>
      <w:pStyle w:val="Footer"/>
      <w:jc w:val="center"/>
      <w:rPr>
        <w:rFonts w:ascii="Times New Roman" w:hAnsi="Times New Roman" w:cs="Times New Roman"/>
        <w:sz w:val="24"/>
      </w:rPr>
    </w:pPr>
    <w:r w:rsidRPr="000664E3">
      <w:rPr>
        <w:rFonts w:ascii="Times New Roman" w:hAnsi="Times New Roman" w:cs="Times New Roman"/>
        <w:sz w:val="24"/>
      </w:rPr>
      <w:fldChar w:fldCharType="begin"/>
    </w:r>
    <w:r w:rsidRPr="000664E3">
      <w:rPr>
        <w:rFonts w:ascii="Times New Roman" w:hAnsi="Times New Roman" w:cs="Times New Roman"/>
        <w:sz w:val="24"/>
      </w:rPr>
      <w:instrText xml:space="preserve"> PAGE   \* MERGEFORMAT </w:instrText>
    </w:r>
    <w:r w:rsidRPr="000664E3">
      <w:rPr>
        <w:rFonts w:ascii="Times New Roman" w:hAnsi="Times New Roman" w:cs="Times New Roman"/>
        <w:sz w:val="24"/>
      </w:rPr>
      <w:fldChar w:fldCharType="separate"/>
    </w:r>
    <w:r>
      <w:rPr>
        <w:rFonts w:ascii="Times New Roman" w:hAnsi="Times New Roman" w:cs="Times New Roman"/>
        <w:noProof/>
        <w:sz w:val="24"/>
      </w:rPr>
      <w:t>xi</w:t>
    </w:r>
    <w:r w:rsidRPr="000664E3">
      <w:rPr>
        <w:rFonts w:ascii="Times New Roman" w:hAnsi="Times New Roman" w:cs="Times New Roman"/>
        <w:noProof/>
        <w:sz w:val="24"/>
      </w:rPr>
      <w:fldChar w:fldCharType="end"/>
    </w:r>
  </w:p>
  <w:p w14:paraId="6D0D2041" w14:textId="77777777" w:rsidR="0067586A" w:rsidRDefault="006758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B06C05" w14:textId="77777777" w:rsidR="0067586A" w:rsidRDefault="0067586A">
    <w:pPr>
      <w:pStyle w:val="Footer"/>
      <w:jc w:val="center"/>
    </w:pPr>
    <w:r w:rsidRPr="007E3AC5">
      <w:rPr>
        <w:rFonts w:ascii="Times New Roman" w:hAnsi="Times New Roman" w:cs="Times New Roman"/>
        <w:sz w:val="24"/>
      </w:rPr>
      <w:fldChar w:fldCharType="begin"/>
    </w:r>
    <w:r w:rsidRPr="007E3AC5">
      <w:rPr>
        <w:rFonts w:ascii="Times New Roman" w:hAnsi="Times New Roman" w:cs="Times New Roman"/>
        <w:sz w:val="24"/>
      </w:rPr>
      <w:instrText xml:space="preserve"> PAGE   \* MERGEFORMAT </w:instrText>
    </w:r>
    <w:r w:rsidRPr="007E3AC5">
      <w:rPr>
        <w:rFonts w:ascii="Times New Roman" w:hAnsi="Times New Roman" w:cs="Times New Roman"/>
        <w:sz w:val="24"/>
      </w:rPr>
      <w:fldChar w:fldCharType="separate"/>
    </w:r>
    <w:r>
      <w:rPr>
        <w:rFonts w:ascii="Times New Roman" w:hAnsi="Times New Roman" w:cs="Times New Roman"/>
        <w:noProof/>
        <w:sz w:val="24"/>
      </w:rPr>
      <w:t>221</w:t>
    </w:r>
    <w:r w:rsidRPr="007E3AC5">
      <w:rPr>
        <w:rFonts w:ascii="Times New Roman" w:hAnsi="Times New Roman" w:cs="Times New Roman"/>
        <w:noProof/>
        <w:sz w:val="24"/>
      </w:rPr>
      <w:fldChar w:fldCharType="end"/>
    </w:r>
  </w:p>
  <w:p w14:paraId="2E2CFF8B" w14:textId="77777777" w:rsidR="0067586A" w:rsidRDefault="006758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8166E0" w14:textId="77777777" w:rsidR="00B755EE" w:rsidRDefault="00B755EE">
      <w:pPr>
        <w:spacing w:after="0" w:line="240" w:lineRule="auto"/>
      </w:pPr>
      <w:r>
        <w:separator/>
      </w:r>
    </w:p>
  </w:footnote>
  <w:footnote w:type="continuationSeparator" w:id="0">
    <w:p w14:paraId="28926F72" w14:textId="77777777" w:rsidR="00B755EE" w:rsidRDefault="00B755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2.25pt;height:12.25pt" o:bullet="t">
        <v:imagedata r:id="rId1" o:title="mso36B2"/>
      </v:shape>
    </w:pict>
  </w:numPicBullet>
  <w:abstractNum w:abstractNumId="0" w15:restartNumberingAfterBreak="0">
    <w:nsid w:val="01D74491"/>
    <w:multiLevelType w:val="hybridMultilevel"/>
    <w:tmpl w:val="3CC48FF0"/>
    <w:lvl w:ilvl="0" w:tplc="90B4DED8">
      <w:start w:val="1"/>
      <w:numFmt w:val="bullet"/>
      <w:lvlText w:val="•"/>
      <w:lvlJc w:val="left"/>
      <w:pPr>
        <w:tabs>
          <w:tab w:val="num" w:pos="720"/>
        </w:tabs>
        <w:ind w:left="720" w:hanging="360"/>
      </w:pPr>
      <w:rPr>
        <w:rFonts w:ascii="Arial" w:hAnsi="Arial" w:hint="default"/>
      </w:rPr>
    </w:lvl>
    <w:lvl w:ilvl="1" w:tplc="7D686B76" w:tentative="1">
      <w:start w:val="1"/>
      <w:numFmt w:val="bullet"/>
      <w:lvlText w:val="•"/>
      <w:lvlJc w:val="left"/>
      <w:pPr>
        <w:tabs>
          <w:tab w:val="num" w:pos="1440"/>
        </w:tabs>
        <w:ind w:left="1440" w:hanging="360"/>
      </w:pPr>
      <w:rPr>
        <w:rFonts w:ascii="Arial" w:hAnsi="Arial" w:hint="default"/>
      </w:rPr>
    </w:lvl>
    <w:lvl w:ilvl="2" w:tplc="1056F05E" w:tentative="1">
      <w:start w:val="1"/>
      <w:numFmt w:val="bullet"/>
      <w:lvlText w:val="•"/>
      <w:lvlJc w:val="left"/>
      <w:pPr>
        <w:tabs>
          <w:tab w:val="num" w:pos="2160"/>
        </w:tabs>
        <w:ind w:left="2160" w:hanging="360"/>
      </w:pPr>
      <w:rPr>
        <w:rFonts w:ascii="Arial" w:hAnsi="Arial" w:hint="default"/>
      </w:rPr>
    </w:lvl>
    <w:lvl w:ilvl="3" w:tplc="ED72BC7A" w:tentative="1">
      <w:start w:val="1"/>
      <w:numFmt w:val="bullet"/>
      <w:lvlText w:val="•"/>
      <w:lvlJc w:val="left"/>
      <w:pPr>
        <w:tabs>
          <w:tab w:val="num" w:pos="2880"/>
        </w:tabs>
        <w:ind w:left="2880" w:hanging="360"/>
      </w:pPr>
      <w:rPr>
        <w:rFonts w:ascii="Arial" w:hAnsi="Arial" w:hint="default"/>
      </w:rPr>
    </w:lvl>
    <w:lvl w:ilvl="4" w:tplc="1BF84602" w:tentative="1">
      <w:start w:val="1"/>
      <w:numFmt w:val="bullet"/>
      <w:lvlText w:val="•"/>
      <w:lvlJc w:val="left"/>
      <w:pPr>
        <w:tabs>
          <w:tab w:val="num" w:pos="3600"/>
        </w:tabs>
        <w:ind w:left="3600" w:hanging="360"/>
      </w:pPr>
      <w:rPr>
        <w:rFonts w:ascii="Arial" w:hAnsi="Arial" w:hint="default"/>
      </w:rPr>
    </w:lvl>
    <w:lvl w:ilvl="5" w:tplc="49DCCC3C" w:tentative="1">
      <w:start w:val="1"/>
      <w:numFmt w:val="bullet"/>
      <w:lvlText w:val="•"/>
      <w:lvlJc w:val="left"/>
      <w:pPr>
        <w:tabs>
          <w:tab w:val="num" w:pos="4320"/>
        </w:tabs>
        <w:ind w:left="4320" w:hanging="360"/>
      </w:pPr>
      <w:rPr>
        <w:rFonts w:ascii="Arial" w:hAnsi="Arial" w:hint="default"/>
      </w:rPr>
    </w:lvl>
    <w:lvl w:ilvl="6" w:tplc="B7B2A032" w:tentative="1">
      <w:start w:val="1"/>
      <w:numFmt w:val="bullet"/>
      <w:lvlText w:val="•"/>
      <w:lvlJc w:val="left"/>
      <w:pPr>
        <w:tabs>
          <w:tab w:val="num" w:pos="5040"/>
        </w:tabs>
        <w:ind w:left="5040" w:hanging="360"/>
      </w:pPr>
      <w:rPr>
        <w:rFonts w:ascii="Arial" w:hAnsi="Arial" w:hint="default"/>
      </w:rPr>
    </w:lvl>
    <w:lvl w:ilvl="7" w:tplc="24681D04" w:tentative="1">
      <w:start w:val="1"/>
      <w:numFmt w:val="bullet"/>
      <w:lvlText w:val="•"/>
      <w:lvlJc w:val="left"/>
      <w:pPr>
        <w:tabs>
          <w:tab w:val="num" w:pos="5760"/>
        </w:tabs>
        <w:ind w:left="5760" w:hanging="360"/>
      </w:pPr>
      <w:rPr>
        <w:rFonts w:ascii="Arial" w:hAnsi="Arial" w:hint="default"/>
      </w:rPr>
    </w:lvl>
    <w:lvl w:ilvl="8" w:tplc="6A04AC3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1E612DC"/>
    <w:multiLevelType w:val="hybridMultilevel"/>
    <w:tmpl w:val="71A436B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3553EC"/>
    <w:multiLevelType w:val="hybridMultilevel"/>
    <w:tmpl w:val="AFAA913A"/>
    <w:lvl w:ilvl="0" w:tplc="08090007">
      <w:start w:val="1"/>
      <w:numFmt w:val="bullet"/>
      <w:lvlText w:val=""/>
      <w:lvlPicBulletId w:val="0"/>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7A2103"/>
    <w:multiLevelType w:val="hybridMultilevel"/>
    <w:tmpl w:val="EE18C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067E37"/>
    <w:multiLevelType w:val="hybridMultilevel"/>
    <w:tmpl w:val="B12A2D0C"/>
    <w:lvl w:ilvl="0" w:tplc="A99C7208">
      <w:start w:val="1"/>
      <w:numFmt w:val="bullet"/>
      <w:lvlText w:val="•"/>
      <w:lvlJc w:val="left"/>
      <w:pPr>
        <w:tabs>
          <w:tab w:val="num" w:pos="720"/>
        </w:tabs>
        <w:ind w:left="720" w:hanging="360"/>
      </w:pPr>
      <w:rPr>
        <w:rFonts w:ascii="Arial" w:hAnsi="Arial" w:hint="default"/>
      </w:rPr>
    </w:lvl>
    <w:lvl w:ilvl="1" w:tplc="2ECA63E4" w:tentative="1">
      <w:start w:val="1"/>
      <w:numFmt w:val="bullet"/>
      <w:lvlText w:val="•"/>
      <w:lvlJc w:val="left"/>
      <w:pPr>
        <w:tabs>
          <w:tab w:val="num" w:pos="1440"/>
        </w:tabs>
        <w:ind w:left="1440" w:hanging="360"/>
      </w:pPr>
      <w:rPr>
        <w:rFonts w:ascii="Arial" w:hAnsi="Arial" w:hint="default"/>
      </w:rPr>
    </w:lvl>
    <w:lvl w:ilvl="2" w:tplc="86CCAAE4" w:tentative="1">
      <w:start w:val="1"/>
      <w:numFmt w:val="bullet"/>
      <w:lvlText w:val="•"/>
      <w:lvlJc w:val="left"/>
      <w:pPr>
        <w:tabs>
          <w:tab w:val="num" w:pos="2160"/>
        </w:tabs>
        <w:ind w:left="2160" w:hanging="360"/>
      </w:pPr>
      <w:rPr>
        <w:rFonts w:ascii="Arial" w:hAnsi="Arial" w:hint="default"/>
      </w:rPr>
    </w:lvl>
    <w:lvl w:ilvl="3" w:tplc="7400C5B4" w:tentative="1">
      <w:start w:val="1"/>
      <w:numFmt w:val="bullet"/>
      <w:lvlText w:val="•"/>
      <w:lvlJc w:val="left"/>
      <w:pPr>
        <w:tabs>
          <w:tab w:val="num" w:pos="2880"/>
        </w:tabs>
        <w:ind w:left="2880" w:hanging="360"/>
      </w:pPr>
      <w:rPr>
        <w:rFonts w:ascii="Arial" w:hAnsi="Arial" w:hint="default"/>
      </w:rPr>
    </w:lvl>
    <w:lvl w:ilvl="4" w:tplc="19C854B0" w:tentative="1">
      <w:start w:val="1"/>
      <w:numFmt w:val="bullet"/>
      <w:lvlText w:val="•"/>
      <w:lvlJc w:val="left"/>
      <w:pPr>
        <w:tabs>
          <w:tab w:val="num" w:pos="3600"/>
        </w:tabs>
        <w:ind w:left="3600" w:hanging="360"/>
      </w:pPr>
      <w:rPr>
        <w:rFonts w:ascii="Arial" w:hAnsi="Arial" w:hint="default"/>
      </w:rPr>
    </w:lvl>
    <w:lvl w:ilvl="5" w:tplc="7698189C" w:tentative="1">
      <w:start w:val="1"/>
      <w:numFmt w:val="bullet"/>
      <w:lvlText w:val="•"/>
      <w:lvlJc w:val="left"/>
      <w:pPr>
        <w:tabs>
          <w:tab w:val="num" w:pos="4320"/>
        </w:tabs>
        <w:ind w:left="4320" w:hanging="360"/>
      </w:pPr>
      <w:rPr>
        <w:rFonts w:ascii="Arial" w:hAnsi="Arial" w:hint="default"/>
      </w:rPr>
    </w:lvl>
    <w:lvl w:ilvl="6" w:tplc="74901ADE" w:tentative="1">
      <w:start w:val="1"/>
      <w:numFmt w:val="bullet"/>
      <w:lvlText w:val="•"/>
      <w:lvlJc w:val="left"/>
      <w:pPr>
        <w:tabs>
          <w:tab w:val="num" w:pos="5040"/>
        </w:tabs>
        <w:ind w:left="5040" w:hanging="360"/>
      </w:pPr>
      <w:rPr>
        <w:rFonts w:ascii="Arial" w:hAnsi="Arial" w:hint="default"/>
      </w:rPr>
    </w:lvl>
    <w:lvl w:ilvl="7" w:tplc="2DD8FF9A" w:tentative="1">
      <w:start w:val="1"/>
      <w:numFmt w:val="bullet"/>
      <w:lvlText w:val="•"/>
      <w:lvlJc w:val="left"/>
      <w:pPr>
        <w:tabs>
          <w:tab w:val="num" w:pos="5760"/>
        </w:tabs>
        <w:ind w:left="5760" w:hanging="360"/>
      </w:pPr>
      <w:rPr>
        <w:rFonts w:ascii="Arial" w:hAnsi="Arial" w:hint="default"/>
      </w:rPr>
    </w:lvl>
    <w:lvl w:ilvl="8" w:tplc="7A241A9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7213F3E"/>
    <w:multiLevelType w:val="multilevel"/>
    <w:tmpl w:val="F884AB8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8170CC6"/>
    <w:multiLevelType w:val="hybridMultilevel"/>
    <w:tmpl w:val="5B74F210"/>
    <w:lvl w:ilvl="0" w:tplc="D9A654A8">
      <w:start w:val="1"/>
      <w:numFmt w:val="bullet"/>
      <w:lvlText w:val="•"/>
      <w:lvlJc w:val="left"/>
      <w:pPr>
        <w:tabs>
          <w:tab w:val="num" w:pos="720"/>
        </w:tabs>
        <w:ind w:left="720" w:hanging="360"/>
      </w:pPr>
      <w:rPr>
        <w:rFonts w:ascii="Arial" w:hAnsi="Arial" w:hint="default"/>
      </w:rPr>
    </w:lvl>
    <w:lvl w:ilvl="1" w:tplc="3F8ADB98" w:tentative="1">
      <w:start w:val="1"/>
      <w:numFmt w:val="bullet"/>
      <w:lvlText w:val="•"/>
      <w:lvlJc w:val="left"/>
      <w:pPr>
        <w:tabs>
          <w:tab w:val="num" w:pos="1440"/>
        </w:tabs>
        <w:ind w:left="1440" w:hanging="360"/>
      </w:pPr>
      <w:rPr>
        <w:rFonts w:ascii="Arial" w:hAnsi="Arial" w:hint="default"/>
      </w:rPr>
    </w:lvl>
    <w:lvl w:ilvl="2" w:tplc="029A2172" w:tentative="1">
      <w:start w:val="1"/>
      <w:numFmt w:val="bullet"/>
      <w:lvlText w:val="•"/>
      <w:lvlJc w:val="left"/>
      <w:pPr>
        <w:tabs>
          <w:tab w:val="num" w:pos="2160"/>
        </w:tabs>
        <w:ind w:left="2160" w:hanging="360"/>
      </w:pPr>
      <w:rPr>
        <w:rFonts w:ascii="Arial" w:hAnsi="Arial" w:hint="default"/>
      </w:rPr>
    </w:lvl>
    <w:lvl w:ilvl="3" w:tplc="8C3A1CDE" w:tentative="1">
      <w:start w:val="1"/>
      <w:numFmt w:val="bullet"/>
      <w:lvlText w:val="•"/>
      <w:lvlJc w:val="left"/>
      <w:pPr>
        <w:tabs>
          <w:tab w:val="num" w:pos="2880"/>
        </w:tabs>
        <w:ind w:left="2880" w:hanging="360"/>
      </w:pPr>
      <w:rPr>
        <w:rFonts w:ascii="Arial" w:hAnsi="Arial" w:hint="default"/>
      </w:rPr>
    </w:lvl>
    <w:lvl w:ilvl="4" w:tplc="F856B2D4" w:tentative="1">
      <w:start w:val="1"/>
      <w:numFmt w:val="bullet"/>
      <w:lvlText w:val="•"/>
      <w:lvlJc w:val="left"/>
      <w:pPr>
        <w:tabs>
          <w:tab w:val="num" w:pos="3600"/>
        </w:tabs>
        <w:ind w:left="3600" w:hanging="360"/>
      </w:pPr>
      <w:rPr>
        <w:rFonts w:ascii="Arial" w:hAnsi="Arial" w:hint="default"/>
      </w:rPr>
    </w:lvl>
    <w:lvl w:ilvl="5" w:tplc="F24848B0" w:tentative="1">
      <w:start w:val="1"/>
      <w:numFmt w:val="bullet"/>
      <w:lvlText w:val="•"/>
      <w:lvlJc w:val="left"/>
      <w:pPr>
        <w:tabs>
          <w:tab w:val="num" w:pos="4320"/>
        </w:tabs>
        <w:ind w:left="4320" w:hanging="360"/>
      </w:pPr>
      <w:rPr>
        <w:rFonts w:ascii="Arial" w:hAnsi="Arial" w:hint="default"/>
      </w:rPr>
    </w:lvl>
    <w:lvl w:ilvl="6" w:tplc="D792834E" w:tentative="1">
      <w:start w:val="1"/>
      <w:numFmt w:val="bullet"/>
      <w:lvlText w:val="•"/>
      <w:lvlJc w:val="left"/>
      <w:pPr>
        <w:tabs>
          <w:tab w:val="num" w:pos="5040"/>
        </w:tabs>
        <w:ind w:left="5040" w:hanging="360"/>
      </w:pPr>
      <w:rPr>
        <w:rFonts w:ascii="Arial" w:hAnsi="Arial" w:hint="default"/>
      </w:rPr>
    </w:lvl>
    <w:lvl w:ilvl="7" w:tplc="EF4CE478" w:tentative="1">
      <w:start w:val="1"/>
      <w:numFmt w:val="bullet"/>
      <w:lvlText w:val="•"/>
      <w:lvlJc w:val="left"/>
      <w:pPr>
        <w:tabs>
          <w:tab w:val="num" w:pos="5760"/>
        </w:tabs>
        <w:ind w:left="5760" w:hanging="360"/>
      </w:pPr>
      <w:rPr>
        <w:rFonts w:ascii="Arial" w:hAnsi="Arial" w:hint="default"/>
      </w:rPr>
    </w:lvl>
    <w:lvl w:ilvl="8" w:tplc="6696207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9A77D13"/>
    <w:multiLevelType w:val="hybridMultilevel"/>
    <w:tmpl w:val="0A522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A132E31"/>
    <w:multiLevelType w:val="multilevel"/>
    <w:tmpl w:val="7DB4C46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A9F1D37"/>
    <w:multiLevelType w:val="hybridMultilevel"/>
    <w:tmpl w:val="1EA4CF84"/>
    <w:lvl w:ilvl="0" w:tplc="B400DC2A">
      <w:start w:val="1"/>
      <w:numFmt w:val="bullet"/>
      <w:lvlText w:val="•"/>
      <w:lvlJc w:val="left"/>
      <w:pPr>
        <w:tabs>
          <w:tab w:val="num" w:pos="720"/>
        </w:tabs>
        <w:ind w:left="720" w:hanging="360"/>
      </w:pPr>
      <w:rPr>
        <w:rFonts w:ascii="Arial" w:hAnsi="Arial" w:hint="default"/>
      </w:rPr>
    </w:lvl>
    <w:lvl w:ilvl="1" w:tplc="DE10B014" w:tentative="1">
      <w:start w:val="1"/>
      <w:numFmt w:val="bullet"/>
      <w:lvlText w:val="•"/>
      <w:lvlJc w:val="left"/>
      <w:pPr>
        <w:tabs>
          <w:tab w:val="num" w:pos="1440"/>
        </w:tabs>
        <w:ind w:left="1440" w:hanging="360"/>
      </w:pPr>
      <w:rPr>
        <w:rFonts w:ascii="Arial" w:hAnsi="Arial" w:hint="default"/>
      </w:rPr>
    </w:lvl>
    <w:lvl w:ilvl="2" w:tplc="92CC169A" w:tentative="1">
      <w:start w:val="1"/>
      <w:numFmt w:val="bullet"/>
      <w:lvlText w:val="•"/>
      <w:lvlJc w:val="left"/>
      <w:pPr>
        <w:tabs>
          <w:tab w:val="num" w:pos="2160"/>
        </w:tabs>
        <w:ind w:left="2160" w:hanging="360"/>
      </w:pPr>
      <w:rPr>
        <w:rFonts w:ascii="Arial" w:hAnsi="Arial" w:hint="default"/>
      </w:rPr>
    </w:lvl>
    <w:lvl w:ilvl="3" w:tplc="72D86AE6" w:tentative="1">
      <w:start w:val="1"/>
      <w:numFmt w:val="bullet"/>
      <w:lvlText w:val="•"/>
      <w:lvlJc w:val="left"/>
      <w:pPr>
        <w:tabs>
          <w:tab w:val="num" w:pos="2880"/>
        </w:tabs>
        <w:ind w:left="2880" w:hanging="360"/>
      </w:pPr>
      <w:rPr>
        <w:rFonts w:ascii="Arial" w:hAnsi="Arial" w:hint="default"/>
      </w:rPr>
    </w:lvl>
    <w:lvl w:ilvl="4" w:tplc="50264CBC" w:tentative="1">
      <w:start w:val="1"/>
      <w:numFmt w:val="bullet"/>
      <w:lvlText w:val="•"/>
      <w:lvlJc w:val="left"/>
      <w:pPr>
        <w:tabs>
          <w:tab w:val="num" w:pos="3600"/>
        </w:tabs>
        <w:ind w:left="3600" w:hanging="360"/>
      </w:pPr>
      <w:rPr>
        <w:rFonts w:ascii="Arial" w:hAnsi="Arial" w:hint="default"/>
      </w:rPr>
    </w:lvl>
    <w:lvl w:ilvl="5" w:tplc="615C9516" w:tentative="1">
      <w:start w:val="1"/>
      <w:numFmt w:val="bullet"/>
      <w:lvlText w:val="•"/>
      <w:lvlJc w:val="left"/>
      <w:pPr>
        <w:tabs>
          <w:tab w:val="num" w:pos="4320"/>
        </w:tabs>
        <w:ind w:left="4320" w:hanging="360"/>
      </w:pPr>
      <w:rPr>
        <w:rFonts w:ascii="Arial" w:hAnsi="Arial" w:hint="default"/>
      </w:rPr>
    </w:lvl>
    <w:lvl w:ilvl="6" w:tplc="FE383162" w:tentative="1">
      <w:start w:val="1"/>
      <w:numFmt w:val="bullet"/>
      <w:lvlText w:val="•"/>
      <w:lvlJc w:val="left"/>
      <w:pPr>
        <w:tabs>
          <w:tab w:val="num" w:pos="5040"/>
        </w:tabs>
        <w:ind w:left="5040" w:hanging="360"/>
      </w:pPr>
      <w:rPr>
        <w:rFonts w:ascii="Arial" w:hAnsi="Arial" w:hint="default"/>
      </w:rPr>
    </w:lvl>
    <w:lvl w:ilvl="7" w:tplc="C864226C" w:tentative="1">
      <w:start w:val="1"/>
      <w:numFmt w:val="bullet"/>
      <w:lvlText w:val="•"/>
      <w:lvlJc w:val="left"/>
      <w:pPr>
        <w:tabs>
          <w:tab w:val="num" w:pos="5760"/>
        </w:tabs>
        <w:ind w:left="5760" w:hanging="360"/>
      </w:pPr>
      <w:rPr>
        <w:rFonts w:ascii="Arial" w:hAnsi="Arial" w:hint="default"/>
      </w:rPr>
    </w:lvl>
    <w:lvl w:ilvl="8" w:tplc="02DE7B7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0BE200BE"/>
    <w:multiLevelType w:val="hybridMultilevel"/>
    <w:tmpl w:val="BC103E56"/>
    <w:lvl w:ilvl="0" w:tplc="3BDA7804">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895145"/>
    <w:multiLevelType w:val="hybridMultilevel"/>
    <w:tmpl w:val="F3686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75708D3"/>
    <w:multiLevelType w:val="hybridMultilevel"/>
    <w:tmpl w:val="B4CC64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DE1A85"/>
    <w:multiLevelType w:val="hybridMultilevel"/>
    <w:tmpl w:val="1F16FE1E"/>
    <w:lvl w:ilvl="0" w:tplc="862CE122">
      <w:start w:val="1"/>
      <w:numFmt w:val="bullet"/>
      <w:lvlText w:val="•"/>
      <w:lvlJc w:val="left"/>
      <w:pPr>
        <w:tabs>
          <w:tab w:val="num" w:pos="720"/>
        </w:tabs>
        <w:ind w:left="720" w:hanging="360"/>
      </w:pPr>
      <w:rPr>
        <w:rFonts w:ascii="Arial" w:hAnsi="Arial" w:hint="default"/>
      </w:rPr>
    </w:lvl>
    <w:lvl w:ilvl="1" w:tplc="7B6AF364" w:tentative="1">
      <w:start w:val="1"/>
      <w:numFmt w:val="bullet"/>
      <w:lvlText w:val="•"/>
      <w:lvlJc w:val="left"/>
      <w:pPr>
        <w:tabs>
          <w:tab w:val="num" w:pos="1440"/>
        </w:tabs>
        <w:ind w:left="1440" w:hanging="360"/>
      </w:pPr>
      <w:rPr>
        <w:rFonts w:ascii="Arial" w:hAnsi="Arial" w:hint="default"/>
      </w:rPr>
    </w:lvl>
    <w:lvl w:ilvl="2" w:tplc="ED92B81C" w:tentative="1">
      <w:start w:val="1"/>
      <w:numFmt w:val="bullet"/>
      <w:lvlText w:val="•"/>
      <w:lvlJc w:val="left"/>
      <w:pPr>
        <w:tabs>
          <w:tab w:val="num" w:pos="2160"/>
        </w:tabs>
        <w:ind w:left="2160" w:hanging="360"/>
      </w:pPr>
      <w:rPr>
        <w:rFonts w:ascii="Arial" w:hAnsi="Arial" w:hint="default"/>
      </w:rPr>
    </w:lvl>
    <w:lvl w:ilvl="3" w:tplc="7C52DBA8" w:tentative="1">
      <w:start w:val="1"/>
      <w:numFmt w:val="bullet"/>
      <w:lvlText w:val="•"/>
      <w:lvlJc w:val="left"/>
      <w:pPr>
        <w:tabs>
          <w:tab w:val="num" w:pos="2880"/>
        </w:tabs>
        <w:ind w:left="2880" w:hanging="360"/>
      </w:pPr>
      <w:rPr>
        <w:rFonts w:ascii="Arial" w:hAnsi="Arial" w:hint="default"/>
      </w:rPr>
    </w:lvl>
    <w:lvl w:ilvl="4" w:tplc="57469F1C" w:tentative="1">
      <w:start w:val="1"/>
      <w:numFmt w:val="bullet"/>
      <w:lvlText w:val="•"/>
      <w:lvlJc w:val="left"/>
      <w:pPr>
        <w:tabs>
          <w:tab w:val="num" w:pos="3600"/>
        </w:tabs>
        <w:ind w:left="3600" w:hanging="360"/>
      </w:pPr>
      <w:rPr>
        <w:rFonts w:ascii="Arial" w:hAnsi="Arial" w:hint="default"/>
      </w:rPr>
    </w:lvl>
    <w:lvl w:ilvl="5" w:tplc="9028DEFA" w:tentative="1">
      <w:start w:val="1"/>
      <w:numFmt w:val="bullet"/>
      <w:lvlText w:val="•"/>
      <w:lvlJc w:val="left"/>
      <w:pPr>
        <w:tabs>
          <w:tab w:val="num" w:pos="4320"/>
        </w:tabs>
        <w:ind w:left="4320" w:hanging="360"/>
      </w:pPr>
      <w:rPr>
        <w:rFonts w:ascii="Arial" w:hAnsi="Arial" w:hint="default"/>
      </w:rPr>
    </w:lvl>
    <w:lvl w:ilvl="6" w:tplc="AD485964" w:tentative="1">
      <w:start w:val="1"/>
      <w:numFmt w:val="bullet"/>
      <w:lvlText w:val="•"/>
      <w:lvlJc w:val="left"/>
      <w:pPr>
        <w:tabs>
          <w:tab w:val="num" w:pos="5040"/>
        </w:tabs>
        <w:ind w:left="5040" w:hanging="360"/>
      </w:pPr>
      <w:rPr>
        <w:rFonts w:ascii="Arial" w:hAnsi="Arial" w:hint="default"/>
      </w:rPr>
    </w:lvl>
    <w:lvl w:ilvl="7" w:tplc="D3A611B8" w:tentative="1">
      <w:start w:val="1"/>
      <w:numFmt w:val="bullet"/>
      <w:lvlText w:val="•"/>
      <w:lvlJc w:val="left"/>
      <w:pPr>
        <w:tabs>
          <w:tab w:val="num" w:pos="5760"/>
        </w:tabs>
        <w:ind w:left="5760" w:hanging="360"/>
      </w:pPr>
      <w:rPr>
        <w:rFonts w:ascii="Arial" w:hAnsi="Arial" w:hint="default"/>
      </w:rPr>
    </w:lvl>
    <w:lvl w:ilvl="8" w:tplc="31DAC72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AED2541"/>
    <w:multiLevelType w:val="hybridMultilevel"/>
    <w:tmpl w:val="BB542642"/>
    <w:lvl w:ilvl="0" w:tplc="177A1984">
      <w:start w:val="1"/>
      <w:numFmt w:val="bullet"/>
      <w:lvlText w:val="•"/>
      <w:lvlJc w:val="left"/>
      <w:pPr>
        <w:tabs>
          <w:tab w:val="num" w:pos="720"/>
        </w:tabs>
        <w:ind w:left="720" w:hanging="360"/>
      </w:pPr>
      <w:rPr>
        <w:rFonts w:ascii="Arial" w:hAnsi="Arial" w:hint="default"/>
      </w:rPr>
    </w:lvl>
    <w:lvl w:ilvl="1" w:tplc="50FEA54E" w:tentative="1">
      <w:start w:val="1"/>
      <w:numFmt w:val="bullet"/>
      <w:lvlText w:val="•"/>
      <w:lvlJc w:val="left"/>
      <w:pPr>
        <w:tabs>
          <w:tab w:val="num" w:pos="1440"/>
        </w:tabs>
        <w:ind w:left="1440" w:hanging="360"/>
      </w:pPr>
      <w:rPr>
        <w:rFonts w:ascii="Arial" w:hAnsi="Arial" w:hint="default"/>
      </w:rPr>
    </w:lvl>
    <w:lvl w:ilvl="2" w:tplc="2F622144" w:tentative="1">
      <w:start w:val="1"/>
      <w:numFmt w:val="bullet"/>
      <w:lvlText w:val="•"/>
      <w:lvlJc w:val="left"/>
      <w:pPr>
        <w:tabs>
          <w:tab w:val="num" w:pos="2160"/>
        </w:tabs>
        <w:ind w:left="2160" w:hanging="360"/>
      </w:pPr>
      <w:rPr>
        <w:rFonts w:ascii="Arial" w:hAnsi="Arial" w:hint="default"/>
      </w:rPr>
    </w:lvl>
    <w:lvl w:ilvl="3" w:tplc="AA76F608" w:tentative="1">
      <w:start w:val="1"/>
      <w:numFmt w:val="bullet"/>
      <w:lvlText w:val="•"/>
      <w:lvlJc w:val="left"/>
      <w:pPr>
        <w:tabs>
          <w:tab w:val="num" w:pos="2880"/>
        </w:tabs>
        <w:ind w:left="2880" w:hanging="360"/>
      </w:pPr>
      <w:rPr>
        <w:rFonts w:ascii="Arial" w:hAnsi="Arial" w:hint="default"/>
      </w:rPr>
    </w:lvl>
    <w:lvl w:ilvl="4" w:tplc="34E839E8" w:tentative="1">
      <w:start w:val="1"/>
      <w:numFmt w:val="bullet"/>
      <w:lvlText w:val="•"/>
      <w:lvlJc w:val="left"/>
      <w:pPr>
        <w:tabs>
          <w:tab w:val="num" w:pos="3600"/>
        </w:tabs>
        <w:ind w:left="3600" w:hanging="360"/>
      </w:pPr>
      <w:rPr>
        <w:rFonts w:ascii="Arial" w:hAnsi="Arial" w:hint="default"/>
      </w:rPr>
    </w:lvl>
    <w:lvl w:ilvl="5" w:tplc="C0E21BDC" w:tentative="1">
      <w:start w:val="1"/>
      <w:numFmt w:val="bullet"/>
      <w:lvlText w:val="•"/>
      <w:lvlJc w:val="left"/>
      <w:pPr>
        <w:tabs>
          <w:tab w:val="num" w:pos="4320"/>
        </w:tabs>
        <w:ind w:left="4320" w:hanging="360"/>
      </w:pPr>
      <w:rPr>
        <w:rFonts w:ascii="Arial" w:hAnsi="Arial" w:hint="default"/>
      </w:rPr>
    </w:lvl>
    <w:lvl w:ilvl="6" w:tplc="08400476" w:tentative="1">
      <w:start w:val="1"/>
      <w:numFmt w:val="bullet"/>
      <w:lvlText w:val="•"/>
      <w:lvlJc w:val="left"/>
      <w:pPr>
        <w:tabs>
          <w:tab w:val="num" w:pos="5040"/>
        </w:tabs>
        <w:ind w:left="5040" w:hanging="360"/>
      </w:pPr>
      <w:rPr>
        <w:rFonts w:ascii="Arial" w:hAnsi="Arial" w:hint="default"/>
      </w:rPr>
    </w:lvl>
    <w:lvl w:ilvl="7" w:tplc="8EE4549E" w:tentative="1">
      <w:start w:val="1"/>
      <w:numFmt w:val="bullet"/>
      <w:lvlText w:val="•"/>
      <w:lvlJc w:val="left"/>
      <w:pPr>
        <w:tabs>
          <w:tab w:val="num" w:pos="5760"/>
        </w:tabs>
        <w:ind w:left="5760" w:hanging="360"/>
      </w:pPr>
      <w:rPr>
        <w:rFonts w:ascii="Arial" w:hAnsi="Arial" w:hint="default"/>
      </w:rPr>
    </w:lvl>
    <w:lvl w:ilvl="8" w:tplc="9282E94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1B180B1D"/>
    <w:multiLevelType w:val="multilevel"/>
    <w:tmpl w:val="F328FD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F280230"/>
    <w:multiLevelType w:val="hybridMultilevel"/>
    <w:tmpl w:val="257A0E7A"/>
    <w:lvl w:ilvl="0" w:tplc="08090007">
      <w:start w:val="1"/>
      <w:numFmt w:val="bullet"/>
      <w:lvlText w:val=""/>
      <w:lvlPicBulletId w:val="0"/>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4AC0EBB"/>
    <w:multiLevelType w:val="hybridMultilevel"/>
    <w:tmpl w:val="361E8FEC"/>
    <w:lvl w:ilvl="0" w:tplc="BC78CD9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94E495A"/>
    <w:multiLevelType w:val="multilevel"/>
    <w:tmpl w:val="7C8A200A"/>
    <w:lvl w:ilvl="0">
      <w:start w:val="1"/>
      <w:numFmt w:val="decimal"/>
      <w:lvlText w:val="%1."/>
      <w:lvlJc w:val="left"/>
      <w:pPr>
        <w:ind w:left="1080" w:hanging="360"/>
      </w:pPr>
    </w:lvl>
    <w:lvl w:ilvl="1">
      <w:start w:val="3"/>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2A901472"/>
    <w:multiLevelType w:val="hybridMultilevel"/>
    <w:tmpl w:val="316A1ACC"/>
    <w:lvl w:ilvl="0" w:tplc="6AAEF724">
      <w:start w:val="1"/>
      <w:numFmt w:val="bullet"/>
      <w:lvlText w:val="•"/>
      <w:lvlJc w:val="left"/>
      <w:pPr>
        <w:tabs>
          <w:tab w:val="num" w:pos="720"/>
        </w:tabs>
        <w:ind w:left="720" w:hanging="360"/>
      </w:pPr>
      <w:rPr>
        <w:rFonts w:ascii="Arial" w:hAnsi="Arial" w:hint="default"/>
      </w:rPr>
    </w:lvl>
    <w:lvl w:ilvl="1" w:tplc="BA0E26CC" w:tentative="1">
      <w:start w:val="1"/>
      <w:numFmt w:val="bullet"/>
      <w:lvlText w:val="•"/>
      <w:lvlJc w:val="left"/>
      <w:pPr>
        <w:tabs>
          <w:tab w:val="num" w:pos="1440"/>
        </w:tabs>
        <w:ind w:left="1440" w:hanging="360"/>
      </w:pPr>
      <w:rPr>
        <w:rFonts w:ascii="Arial" w:hAnsi="Arial" w:hint="default"/>
      </w:rPr>
    </w:lvl>
    <w:lvl w:ilvl="2" w:tplc="B6AA2EDE" w:tentative="1">
      <w:start w:val="1"/>
      <w:numFmt w:val="bullet"/>
      <w:lvlText w:val="•"/>
      <w:lvlJc w:val="left"/>
      <w:pPr>
        <w:tabs>
          <w:tab w:val="num" w:pos="2160"/>
        </w:tabs>
        <w:ind w:left="2160" w:hanging="360"/>
      </w:pPr>
      <w:rPr>
        <w:rFonts w:ascii="Arial" w:hAnsi="Arial" w:hint="default"/>
      </w:rPr>
    </w:lvl>
    <w:lvl w:ilvl="3" w:tplc="458A5228" w:tentative="1">
      <w:start w:val="1"/>
      <w:numFmt w:val="bullet"/>
      <w:lvlText w:val="•"/>
      <w:lvlJc w:val="left"/>
      <w:pPr>
        <w:tabs>
          <w:tab w:val="num" w:pos="2880"/>
        </w:tabs>
        <w:ind w:left="2880" w:hanging="360"/>
      </w:pPr>
      <w:rPr>
        <w:rFonts w:ascii="Arial" w:hAnsi="Arial" w:hint="default"/>
      </w:rPr>
    </w:lvl>
    <w:lvl w:ilvl="4" w:tplc="4D307BF4" w:tentative="1">
      <w:start w:val="1"/>
      <w:numFmt w:val="bullet"/>
      <w:lvlText w:val="•"/>
      <w:lvlJc w:val="left"/>
      <w:pPr>
        <w:tabs>
          <w:tab w:val="num" w:pos="3600"/>
        </w:tabs>
        <w:ind w:left="3600" w:hanging="360"/>
      </w:pPr>
      <w:rPr>
        <w:rFonts w:ascii="Arial" w:hAnsi="Arial" w:hint="default"/>
      </w:rPr>
    </w:lvl>
    <w:lvl w:ilvl="5" w:tplc="D4BA7662" w:tentative="1">
      <w:start w:val="1"/>
      <w:numFmt w:val="bullet"/>
      <w:lvlText w:val="•"/>
      <w:lvlJc w:val="left"/>
      <w:pPr>
        <w:tabs>
          <w:tab w:val="num" w:pos="4320"/>
        </w:tabs>
        <w:ind w:left="4320" w:hanging="360"/>
      </w:pPr>
      <w:rPr>
        <w:rFonts w:ascii="Arial" w:hAnsi="Arial" w:hint="default"/>
      </w:rPr>
    </w:lvl>
    <w:lvl w:ilvl="6" w:tplc="FD52FCF6" w:tentative="1">
      <w:start w:val="1"/>
      <w:numFmt w:val="bullet"/>
      <w:lvlText w:val="•"/>
      <w:lvlJc w:val="left"/>
      <w:pPr>
        <w:tabs>
          <w:tab w:val="num" w:pos="5040"/>
        </w:tabs>
        <w:ind w:left="5040" w:hanging="360"/>
      </w:pPr>
      <w:rPr>
        <w:rFonts w:ascii="Arial" w:hAnsi="Arial" w:hint="default"/>
      </w:rPr>
    </w:lvl>
    <w:lvl w:ilvl="7" w:tplc="213A166A" w:tentative="1">
      <w:start w:val="1"/>
      <w:numFmt w:val="bullet"/>
      <w:lvlText w:val="•"/>
      <w:lvlJc w:val="left"/>
      <w:pPr>
        <w:tabs>
          <w:tab w:val="num" w:pos="5760"/>
        </w:tabs>
        <w:ind w:left="5760" w:hanging="360"/>
      </w:pPr>
      <w:rPr>
        <w:rFonts w:ascii="Arial" w:hAnsi="Arial" w:hint="default"/>
      </w:rPr>
    </w:lvl>
    <w:lvl w:ilvl="8" w:tplc="4A864542"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2B00629F"/>
    <w:multiLevelType w:val="hybridMultilevel"/>
    <w:tmpl w:val="80523476"/>
    <w:lvl w:ilvl="0" w:tplc="234EDF44">
      <w:start w:val="1"/>
      <w:numFmt w:val="bullet"/>
      <w:lvlText w:val="•"/>
      <w:lvlJc w:val="left"/>
      <w:pPr>
        <w:tabs>
          <w:tab w:val="num" w:pos="720"/>
        </w:tabs>
        <w:ind w:left="720" w:hanging="360"/>
      </w:pPr>
      <w:rPr>
        <w:rFonts w:ascii="Arial" w:hAnsi="Arial" w:hint="default"/>
      </w:rPr>
    </w:lvl>
    <w:lvl w:ilvl="1" w:tplc="E27C2B14" w:tentative="1">
      <w:start w:val="1"/>
      <w:numFmt w:val="bullet"/>
      <w:lvlText w:val="•"/>
      <w:lvlJc w:val="left"/>
      <w:pPr>
        <w:tabs>
          <w:tab w:val="num" w:pos="1440"/>
        </w:tabs>
        <w:ind w:left="1440" w:hanging="360"/>
      </w:pPr>
      <w:rPr>
        <w:rFonts w:ascii="Arial" w:hAnsi="Arial" w:hint="default"/>
      </w:rPr>
    </w:lvl>
    <w:lvl w:ilvl="2" w:tplc="F80A3B2C" w:tentative="1">
      <w:start w:val="1"/>
      <w:numFmt w:val="bullet"/>
      <w:lvlText w:val="•"/>
      <w:lvlJc w:val="left"/>
      <w:pPr>
        <w:tabs>
          <w:tab w:val="num" w:pos="2160"/>
        </w:tabs>
        <w:ind w:left="2160" w:hanging="360"/>
      </w:pPr>
      <w:rPr>
        <w:rFonts w:ascii="Arial" w:hAnsi="Arial" w:hint="default"/>
      </w:rPr>
    </w:lvl>
    <w:lvl w:ilvl="3" w:tplc="771CD836" w:tentative="1">
      <w:start w:val="1"/>
      <w:numFmt w:val="bullet"/>
      <w:lvlText w:val="•"/>
      <w:lvlJc w:val="left"/>
      <w:pPr>
        <w:tabs>
          <w:tab w:val="num" w:pos="2880"/>
        </w:tabs>
        <w:ind w:left="2880" w:hanging="360"/>
      </w:pPr>
      <w:rPr>
        <w:rFonts w:ascii="Arial" w:hAnsi="Arial" w:hint="default"/>
      </w:rPr>
    </w:lvl>
    <w:lvl w:ilvl="4" w:tplc="487E9C10" w:tentative="1">
      <w:start w:val="1"/>
      <w:numFmt w:val="bullet"/>
      <w:lvlText w:val="•"/>
      <w:lvlJc w:val="left"/>
      <w:pPr>
        <w:tabs>
          <w:tab w:val="num" w:pos="3600"/>
        </w:tabs>
        <w:ind w:left="3600" w:hanging="360"/>
      </w:pPr>
      <w:rPr>
        <w:rFonts w:ascii="Arial" w:hAnsi="Arial" w:hint="default"/>
      </w:rPr>
    </w:lvl>
    <w:lvl w:ilvl="5" w:tplc="9C948024" w:tentative="1">
      <w:start w:val="1"/>
      <w:numFmt w:val="bullet"/>
      <w:lvlText w:val="•"/>
      <w:lvlJc w:val="left"/>
      <w:pPr>
        <w:tabs>
          <w:tab w:val="num" w:pos="4320"/>
        </w:tabs>
        <w:ind w:left="4320" w:hanging="360"/>
      </w:pPr>
      <w:rPr>
        <w:rFonts w:ascii="Arial" w:hAnsi="Arial" w:hint="default"/>
      </w:rPr>
    </w:lvl>
    <w:lvl w:ilvl="6" w:tplc="4948AF38" w:tentative="1">
      <w:start w:val="1"/>
      <w:numFmt w:val="bullet"/>
      <w:lvlText w:val="•"/>
      <w:lvlJc w:val="left"/>
      <w:pPr>
        <w:tabs>
          <w:tab w:val="num" w:pos="5040"/>
        </w:tabs>
        <w:ind w:left="5040" w:hanging="360"/>
      </w:pPr>
      <w:rPr>
        <w:rFonts w:ascii="Arial" w:hAnsi="Arial" w:hint="default"/>
      </w:rPr>
    </w:lvl>
    <w:lvl w:ilvl="7" w:tplc="9C560286" w:tentative="1">
      <w:start w:val="1"/>
      <w:numFmt w:val="bullet"/>
      <w:lvlText w:val="•"/>
      <w:lvlJc w:val="left"/>
      <w:pPr>
        <w:tabs>
          <w:tab w:val="num" w:pos="5760"/>
        </w:tabs>
        <w:ind w:left="5760" w:hanging="360"/>
      </w:pPr>
      <w:rPr>
        <w:rFonts w:ascii="Arial" w:hAnsi="Arial" w:hint="default"/>
      </w:rPr>
    </w:lvl>
    <w:lvl w:ilvl="8" w:tplc="0B3A2EF0"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2CBC60BB"/>
    <w:multiLevelType w:val="hybridMultilevel"/>
    <w:tmpl w:val="1B2494DA"/>
    <w:lvl w:ilvl="0" w:tplc="08090007">
      <w:start w:val="1"/>
      <w:numFmt w:val="bullet"/>
      <w:lvlText w:val=""/>
      <w:lvlPicBulletId w:val="0"/>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2DB240AE"/>
    <w:multiLevelType w:val="hybridMultilevel"/>
    <w:tmpl w:val="341A2B82"/>
    <w:lvl w:ilvl="0" w:tplc="7DB29214">
      <w:start w:val="1"/>
      <w:numFmt w:val="bullet"/>
      <w:lvlText w:val="•"/>
      <w:lvlJc w:val="left"/>
      <w:pPr>
        <w:tabs>
          <w:tab w:val="num" w:pos="720"/>
        </w:tabs>
        <w:ind w:left="720" w:hanging="360"/>
      </w:pPr>
      <w:rPr>
        <w:rFonts w:ascii="Arial" w:hAnsi="Arial" w:hint="default"/>
      </w:rPr>
    </w:lvl>
    <w:lvl w:ilvl="1" w:tplc="A3321DD8" w:tentative="1">
      <w:start w:val="1"/>
      <w:numFmt w:val="bullet"/>
      <w:lvlText w:val="•"/>
      <w:lvlJc w:val="left"/>
      <w:pPr>
        <w:tabs>
          <w:tab w:val="num" w:pos="1440"/>
        </w:tabs>
        <w:ind w:left="1440" w:hanging="360"/>
      </w:pPr>
      <w:rPr>
        <w:rFonts w:ascii="Arial" w:hAnsi="Arial" w:hint="default"/>
      </w:rPr>
    </w:lvl>
    <w:lvl w:ilvl="2" w:tplc="4A365738" w:tentative="1">
      <w:start w:val="1"/>
      <w:numFmt w:val="bullet"/>
      <w:lvlText w:val="•"/>
      <w:lvlJc w:val="left"/>
      <w:pPr>
        <w:tabs>
          <w:tab w:val="num" w:pos="2160"/>
        </w:tabs>
        <w:ind w:left="2160" w:hanging="360"/>
      </w:pPr>
      <w:rPr>
        <w:rFonts w:ascii="Arial" w:hAnsi="Arial" w:hint="default"/>
      </w:rPr>
    </w:lvl>
    <w:lvl w:ilvl="3" w:tplc="831417DC" w:tentative="1">
      <w:start w:val="1"/>
      <w:numFmt w:val="bullet"/>
      <w:lvlText w:val="•"/>
      <w:lvlJc w:val="left"/>
      <w:pPr>
        <w:tabs>
          <w:tab w:val="num" w:pos="2880"/>
        </w:tabs>
        <w:ind w:left="2880" w:hanging="360"/>
      </w:pPr>
      <w:rPr>
        <w:rFonts w:ascii="Arial" w:hAnsi="Arial" w:hint="default"/>
      </w:rPr>
    </w:lvl>
    <w:lvl w:ilvl="4" w:tplc="DB6C3E7A" w:tentative="1">
      <w:start w:val="1"/>
      <w:numFmt w:val="bullet"/>
      <w:lvlText w:val="•"/>
      <w:lvlJc w:val="left"/>
      <w:pPr>
        <w:tabs>
          <w:tab w:val="num" w:pos="3600"/>
        </w:tabs>
        <w:ind w:left="3600" w:hanging="360"/>
      </w:pPr>
      <w:rPr>
        <w:rFonts w:ascii="Arial" w:hAnsi="Arial" w:hint="default"/>
      </w:rPr>
    </w:lvl>
    <w:lvl w:ilvl="5" w:tplc="50F05F86" w:tentative="1">
      <w:start w:val="1"/>
      <w:numFmt w:val="bullet"/>
      <w:lvlText w:val="•"/>
      <w:lvlJc w:val="left"/>
      <w:pPr>
        <w:tabs>
          <w:tab w:val="num" w:pos="4320"/>
        </w:tabs>
        <w:ind w:left="4320" w:hanging="360"/>
      </w:pPr>
      <w:rPr>
        <w:rFonts w:ascii="Arial" w:hAnsi="Arial" w:hint="default"/>
      </w:rPr>
    </w:lvl>
    <w:lvl w:ilvl="6" w:tplc="296C7980" w:tentative="1">
      <w:start w:val="1"/>
      <w:numFmt w:val="bullet"/>
      <w:lvlText w:val="•"/>
      <w:lvlJc w:val="left"/>
      <w:pPr>
        <w:tabs>
          <w:tab w:val="num" w:pos="5040"/>
        </w:tabs>
        <w:ind w:left="5040" w:hanging="360"/>
      </w:pPr>
      <w:rPr>
        <w:rFonts w:ascii="Arial" w:hAnsi="Arial" w:hint="default"/>
      </w:rPr>
    </w:lvl>
    <w:lvl w:ilvl="7" w:tplc="B00AEF58" w:tentative="1">
      <w:start w:val="1"/>
      <w:numFmt w:val="bullet"/>
      <w:lvlText w:val="•"/>
      <w:lvlJc w:val="left"/>
      <w:pPr>
        <w:tabs>
          <w:tab w:val="num" w:pos="5760"/>
        </w:tabs>
        <w:ind w:left="5760" w:hanging="360"/>
      </w:pPr>
      <w:rPr>
        <w:rFonts w:ascii="Arial" w:hAnsi="Arial" w:hint="default"/>
      </w:rPr>
    </w:lvl>
    <w:lvl w:ilvl="8" w:tplc="C2C0C760"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2FE64E48"/>
    <w:multiLevelType w:val="hybridMultilevel"/>
    <w:tmpl w:val="0128A6E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1F243F2"/>
    <w:multiLevelType w:val="hybridMultilevel"/>
    <w:tmpl w:val="AC105DB6"/>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1FF4883"/>
    <w:multiLevelType w:val="multilevel"/>
    <w:tmpl w:val="F662AE38"/>
    <w:lvl w:ilvl="0">
      <w:start w:val="1"/>
      <w:numFmt w:val="decimal"/>
      <w:lvlText w:val="%1."/>
      <w:lvlJc w:val="left"/>
      <w:pPr>
        <w:ind w:left="644" w:hanging="360"/>
      </w:pPr>
      <w:rPr>
        <w:rFonts w:hint="default"/>
      </w:rPr>
    </w:lvl>
    <w:lvl w:ilvl="1">
      <w:start w:val="23"/>
      <w:numFmt w:val="decimal"/>
      <w:isLgl/>
      <w:lvlText w:val="%1.%2"/>
      <w:lvlJc w:val="left"/>
      <w:pPr>
        <w:ind w:left="764" w:hanging="48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26" w15:restartNumberingAfterBreak="0">
    <w:nsid w:val="346A1557"/>
    <w:multiLevelType w:val="hybridMultilevel"/>
    <w:tmpl w:val="A64EA492"/>
    <w:lvl w:ilvl="0" w:tplc="DD1E6006">
      <w:start w:val="1"/>
      <w:numFmt w:val="bullet"/>
      <w:lvlText w:val="•"/>
      <w:lvlJc w:val="left"/>
      <w:pPr>
        <w:tabs>
          <w:tab w:val="num" w:pos="720"/>
        </w:tabs>
        <w:ind w:left="720" w:hanging="360"/>
      </w:pPr>
      <w:rPr>
        <w:rFonts w:ascii="Arial" w:hAnsi="Arial" w:hint="default"/>
      </w:rPr>
    </w:lvl>
    <w:lvl w:ilvl="1" w:tplc="3CC6EF2A" w:tentative="1">
      <w:start w:val="1"/>
      <w:numFmt w:val="bullet"/>
      <w:lvlText w:val="•"/>
      <w:lvlJc w:val="left"/>
      <w:pPr>
        <w:tabs>
          <w:tab w:val="num" w:pos="1440"/>
        </w:tabs>
        <w:ind w:left="1440" w:hanging="360"/>
      </w:pPr>
      <w:rPr>
        <w:rFonts w:ascii="Arial" w:hAnsi="Arial" w:hint="default"/>
      </w:rPr>
    </w:lvl>
    <w:lvl w:ilvl="2" w:tplc="B8901DFC" w:tentative="1">
      <w:start w:val="1"/>
      <w:numFmt w:val="bullet"/>
      <w:lvlText w:val="•"/>
      <w:lvlJc w:val="left"/>
      <w:pPr>
        <w:tabs>
          <w:tab w:val="num" w:pos="2160"/>
        </w:tabs>
        <w:ind w:left="2160" w:hanging="360"/>
      </w:pPr>
      <w:rPr>
        <w:rFonts w:ascii="Arial" w:hAnsi="Arial" w:hint="default"/>
      </w:rPr>
    </w:lvl>
    <w:lvl w:ilvl="3" w:tplc="935466FE" w:tentative="1">
      <w:start w:val="1"/>
      <w:numFmt w:val="bullet"/>
      <w:lvlText w:val="•"/>
      <w:lvlJc w:val="left"/>
      <w:pPr>
        <w:tabs>
          <w:tab w:val="num" w:pos="2880"/>
        </w:tabs>
        <w:ind w:left="2880" w:hanging="360"/>
      </w:pPr>
      <w:rPr>
        <w:rFonts w:ascii="Arial" w:hAnsi="Arial" w:hint="default"/>
      </w:rPr>
    </w:lvl>
    <w:lvl w:ilvl="4" w:tplc="81087CB4" w:tentative="1">
      <w:start w:val="1"/>
      <w:numFmt w:val="bullet"/>
      <w:lvlText w:val="•"/>
      <w:lvlJc w:val="left"/>
      <w:pPr>
        <w:tabs>
          <w:tab w:val="num" w:pos="3600"/>
        </w:tabs>
        <w:ind w:left="3600" w:hanging="360"/>
      </w:pPr>
      <w:rPr>
        <w:rFonts w:ascii="Arial" w:hAnsi="Arial" w:hint="default"/>
      </w:rPr>
    </w:lvl>
    <w:lvl w:ilvl="5" w:tplc="AC1E9B54" w:tentative="1">
      <w:start w:val="1"/>
      <w:numFmt w:val="bullet"/>
      <w:lvlText w:val="•"/>
      <w:lvlJc w:val="left"/>
      <w:pPr>
        <w:tabs>
          <w:tab w:val="num" w:pos="4320"/>
        </w:tabs>
        <w:ind w:left="4320" w:hanging="360"/>
      </w:pPr>
      <w:rPr>
        <w:rFonts w:ascii="Arial" w:hAnsi="Arial" w:hint="default"/>
      </w:rPr>
    </w:lvl>
    <w:lvl w:ilvl="6" w:tplc="6076130E" w:tentative="1">
      <w:start w:val="1"/>
      <w:numFmt w:val="bullet"/>
      <w:lvlText w:val="•"/>
      <w:lvlJc w:val="left"/>
      <w:pPr>
        <w:tabs>
          <w:tab w:val="num" w:pos="5040"/>
        </w:tabs>
        <w:ind w:left="5040" w:hanging="360"/>
      </w:pPr>
      <w:rPr>
        <w:rFonts w:ascii="Arial" w:hAnsi="Arial" w:hint="default"/>
      </w:rPr>
    </w:lvl>
    <w:lvl w:ilvl="7" w:tplc="70886C1C" w:tentative="1">
      <w:start w:val="1"/>
      <w:numFmt w:val="bullet"/>
      <w:lvlText w:val="•"/>
      <w:lvlJc w:val="left"/>
      <w:pPr>
        <w:tabs>
          <w:tab w:val="num" w:pos="5760"/>
        </w:tabs>
        <w:ind w:left="5760" w:hanging="360"/>
      </w:pPr>
      <w:rPr>
        <w:rFonts w:ascii="Arial" w:hAnsi="Arial" w:hint="default"/>
      </w:rPr>
    </w:lvl>
    <w:lvl w:ilvl="8" w:tplc="FEE6697E"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377D781D"/>
    <w:multiLevelType w:val="hybridMultilevel"/>
    <w:tmpl w:val="6DD01C6E"/>
    <w:lvl w:ilvl="0" w:tplc="1302B068">
      <w:start w:val="1"/>
      <w:numFmt w:val="decimal"/>
      <w:lvlText w:val="%1."/>
      <w:lvlJc w:val="left"/>
      <w:pPr>
        <w:tabs>
          <w:tab w:val="num" w:pos="720"/>
        </w:tabs>
        <w:ind w:left="720" w:hanging="360"/>
      </w:pPr>
    </w:lvl>
    <w:lvl w:ilvl="1" w:tplc="FB8A894E" w:tentative="1">
      <w:start w:val="1"/>
      <w:numFmt w:val="decimal"/>
      <w:lvlText w:val="%2."/>
      <w:lvlJc w:val="left"/>
      <w:pPr>
        <w:tabs>
          <w:tab w:val="num" w:pos="1440"/>
        </w:tabs>
        <w:ind w:left="1440" w:hanging="360"/>
      </w:pPr>
    </w:lvl>
    <w:lvl w:ilvl="2" w:tplc="055853B8" w:tentative="1">
      <w:start w:val="1"/>
      <w:numFmt w:val="decimal"/>
      <w:lvlText w:val="%3."/>
      <w:lvlJc w:val="left"/>
      <w:pPr>
        <w:tabs>
          <w:tab w:val="num" w:pos="2160"/>
        </w:tabs>
        <w:ind w:left="2160" w:hanging="360"/>
      </w:pPr>
    </w:lvl>
    <w:lvl w:ilvl="3" w:tplc="1390D4D6" w:tentative="1">
      <w:start w:val="1"/>
      <w:numFmt w:val="decimal"/>
      <w:lvlText w:val="%4."/>
      <w:lvlJc w:val="left"/>
      <w:pPr>
        <w:tabs>
          <w:tab w:val="num" w:pos="2880"/>
        </w:tabs>
        <w:ind w:left="2880" w:hanging="360"/>
      </w:pPr>
    </w:lvl>
    <w:lvl w:ilvl="4" w:tplc="9FB45744" w:tentative="1">
      <w:start w:val="1"/>
      <w:numFmt w:val="decimal"/>
      <w:lvlText w:val="%5."/>
      <w:lvlJc w:val="left"/>
      <w:pPr>
        <w:tabs>
          <w:tab w:val="num" w:pos="3600"/>
        </w:tabs>
        <w:ind w:left="3600" w:hanging="360"/>
      </w:pPr>
    </w:lvl>
    <w:lvl w:ilvl="5" w:tplc="1F820DBA" w:tentative="1">
      <w:start w:val="1"/>
      <w:numFmt w:val="decimal"/>
      <w:lvlText w:val="%6."/>
      <w:lvlJc w:val="left"/>
      <w:pPr>
        <w:tabs>
          <w:tab w:val="num" w:pos="4320"/>
        </w:tabs>
        <w:ind w:left="4320" w:hanging="360"/>
      </w:pPr>
    </w:lvl>
    <w:lvl w:ilvl="6" w:tplc="EFD439FE" w:tentative="1">
      <w:start w:val="1"/>
      <w:numFmt w:val="decimal"/>
      <w:lvlText w:val="%7."/>
      <w:lvlJc w:val="left"/>
      <w:pPr>
        <w:tabs>
          <w:tab w:val="num" w:pos="5040"/>
        </w:tabs>
        <w:ind w:left="5040" w:hanging="360"/>
      </w:pPr>
    </w:lvl>
    <w:lvl w:ilvl="7" w:tplc="1CE6183A" w:tentative="1">
      <w:start w:val="1"/>
      <w:numFmt w:val="decimal"/>
      <w:lvlText w:val="%8."/>
      <w:lvlJc w:val="left"/>
      <w:pPr>
        <w:tabs>
          <w:tab w:val="num" w:pos="5760"/>
        </w:tabs>
        <w:ind w:left="5760" w:hanging="360"/>
      </w:pPr>
    </w:lvl>
    <w:lvl w:ilvl="8" w:tplc="E8C4309A" w:tentative="1">
      <w:start w:val="1"/>
      <w:numFmt w:val="decimal"/>
      <w:lvlText w:val="%9."/>
      <w:lvlJc w:val="left"/>
      <w:pPr>
        <w:tabs>
          <w:tab w:val="num" w:pos="6480"/>
        </w:tabs>
        <w:ind w:left="6480" w:hanging="360"/>
      </w:pPr>
    </w:lvl>
  </w:abstractNum>
  <w:abstractNum w:abstractNumId="28" w15:restartNumberingAfterBreak="0">
    <w:nsid w:val="38DD2E72"/>
    <w:multiLevelType w:val="hybridMultilevel"/>
    <w:tmpl w:val="0128A6E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96F28B4"/>
    <w:multiLevelType w:val="multilevel"/>
    <w:tmpl w:val="788025F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39FE06D2"/>
    <w:multiLevelType w:val="hybridMultilevel"/>
    <w:tmpl w:val="96A49C70"/>
    <w:lvl w:ilvl="0" w:tplc="20C81C44">
      <w:start w:val="1"/>
      <w:numFmt w:val="bullet"/>
      <w:lvlText w:val="•"/>
      <w:lvlJc w:val="left"/>
      <w:pPr>
        <w:tabs>
          <w:tab w:val="num" w:pos="720"/>
        </w:tabs>
        <w:ind w:left="720" w:hanging="360"/>
      </w:pPr>
      <w:rPr>
        <w:rFonts w:ascii="Arial" w:hAnsi="Arial" w:hint="default"/>
      </w:rPr>
    </w:lvl>
    <w:lvl w:ilvl="1" w:tplc="C5968DFE" w:tentative="1">
      <w:start w:val="1"/>
      <w:numFmt w:val="bullet"/>
      <w:lvlText w:val="•"/>
      <w:lvlJc w:val="left"/>
      <w:pPr>
        <w:tabs>
          <w:tab w:val="num" w:pos="1440"/>
        </w:tabs>
        <w:ind w:left="1440" w:hanging="360"/>
      </w:pPr>
      <w:rPr>
        <w:rFonts w:ascii="Arial" w:hAnsi="Arial" w:hint="default"/>
      </w:rPr>
    </w:lvl>
    <w:lvl w:ilvl="2" w:tplc="D97CE938" w:tentative="1">
      <w:start w:val="1"/>
      <w:numFmt w:val="bullet"/>
      <w:lvlText w:val="•"/>
      <w:lvlJc w:val="left"/>
      <w:pPr>
        <w:tabs>
          <w:tab w:val="num" w:pos="2160"/>
        </w:tabs>
        <w:ind w:left="2160" w:hanging="360"/>
      </w:pPr>
      <w:rPr>
        <w:rFonts w:ascii="Arial" w:hAnsi="Arial" w:hint="default"/>
      </w:rPr>
    </w:lvl>
    <w:lvl w:ilvl="3" w:tplc="A62C513A" w:tentative="1">
      <w:start w:val="1"/>
      <w:numFmt w:val="bullet"/>
      <w:lvlText w:val="•"/>
      <w:lvlJc w:val="left"/>
      <w:pPr>
        <w:tabs>
          <w:tab w:val="num" w:pos="2880"/>
        </w:tabs>
        <w:ind w:left="2880" w:hanging="360"/>
      </w:pPr>
      <w:rPr>
        <w:rFonts w:ascii="Arial" w:hAnsi="Arial" w:hint="default"/>
      </w:rPr>
    </w:lvl>
    <w:lvl w:ilvl="4" w:tplc="A52031C2" w:tentative="1">
      <w:start w:val="1"/>
      <w:numFmt w:val="bullet"/>
      <w:lvlText w:val="•"/>
      <w:lvlJc w:val="left"/>
      <w:pPr>
        <w:tabs>
          <w:tab w:val="num" w:pos="3600"/>
        </w:tabs>
        <w:ind w:left="3600" w:hanging="360"/>
      </w:pPr>
      <w:rPr>
        <w:rFonts w:ascii="Arial" w:hAnsi="Arial" w:hint="default"/>
      </w:rPr>
    </w:lvl>
    <w:lvl w:ilvl="5" w:tplc="2D1614EC" w:tentative="1">
      <w:start w:val="1"/>
      <w:numFmt w:val="bullet"/>
      <w:lvlText w:val="•"/>
      <w:lvlJc w:val="left"/>
      <w:pPr>
        <w:tabs>
          <w:tab w:val="num" w:pos="4320"/>
        </w:tabs>
        <w:ind w:left="4320" w:hanging="360"/>
      </w:pPr>
      <w:rPr>
        <w:rFonts w:ascii="Arial" w:hAnsi="Arial" w:hint="default"/>
      </w:rPr>
    </w:lvl>
    <w:lvl w:ilvl="6" w:tplc="F7D2F576" w:tentative="1">
      <w:start w:val="1"/>
      <w:numFmt w:val="bullet"/>
      <w:lvlText w:val="•"/>
      <w:lvlJc w:val="left"/>
      <w:pPr>
        <w:tabs>
          <w:tab w:val="num" w:pos="5040"/>
        </w:tabs>
        <w:ind w:left="5040" w:hanging="360"/>
      </w:pPr>
      <w:rPr>
        <w:rFonts w:ascii="Arial" w:hAnsi="Arial" w:hint="default"/>
      </w:rPr>
    </w:lvl>
    <w:lvl w:ilvl="7" w:tplc="61A203B2" w:tentative="1">
      <w:start w:val="1"/>
      <w:numFmt w:val="bullet"/>
      <w:lvlText w:val="•"/>
      <w:lvlJc w:val="left"/>
      <w:pPr>
        <w:tabs>
          <w:tab w:val="num" w:pos="5760"/>
        </w:tabs>
        <w:ind w:left="5760" w:hanging="360"/>
      </w:pPr>
      <w:rPr>
        <w:rFonts w:ascii="Arial" w:hAnsi="Arial" w:hint="default"/>
      </w:rPr>
    </w:lvl>
    <w:lvl w:ilvl="8" w:tplc="07267DCC"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3BEE667D"/>
    <w:multiLevelType w:val="hybridMultilevel"/>
    <w:tmpl w:val="3604B27C"/>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D897576"/>
    <w:multiLevelType w:val="hybridMultilevel"/>
    <w:tmpl w:val="03FC25B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4484AE1"/>
    <w:multiLevelType w:val="hybridMultilevel"/>
    <w:tmpl w:val="D8245F72"/>
    <w:lvl w:ilvl="0" w:tplc="36F6D5AC">
      <w:start w:val="1"/>
      <w:numFmt w:val="bullet"/>
      <w:lvlText w:val="•"/>
      <w:lvlJc w:val="left"/>
      <w:pPr>
        <w:tabs>
          <w:tab w:val="num" w:pos="720"/>
        </w:tabs>
        <w:ind w:left="720" w:hanging="360"/>
      </w:pPr>
      <w:rPr>
        <w:rFonts w:ascii="Arial" w:hAnsi="Arial" w:hint="default"/>
      </w:rPr>
    </w:lvl>
    <w:lvl w:ilvl="1" w:tplc="CE202024" w:tentative="1">
      <w:start w:val="1"/>
      <w:numFmt w:val="bullet"/>
      <w:lvlText w:val="•"/>
      <w:lvlJc w:val="left"/>
      <w:pPr>
        <w:tabs>
          <w:tab w:val="num" w:pos="1440"/>
        </w:tabs>
        <w:ind w:left="1440" w:hanging="360"/>
      </w:pPr>
      <w:rPr>
        <w:rFonts w:ascii="Arial" w:hAnsi="Arial" w:hint="default"/>
      </w:rPr>
    </w:lvl>
    <w:lvl w:ilvl="2" w:tplc="500410EC" w:tentative="1">
      <w:start w:val="1"/>
      <w:numFmt w:val="bullet"/>
      <w:lvlText w:val="•"/>
      <w:lvlJc w:val="left"/>
      <w:pPr>
        <w:tabs>
          <w:tab w:val="num" w:pos="2160"/>
        </w:tabs>
        <w:ind w:left="2160" w:hanging="360"/>
      </w:pPr>
      <w:rPr>
        <w:rFonts w:ascii="Arial" w:hAnsi="Arial" w:hint="default"/>
      </w:rPr>
    </w:lvl>
    <w:lvl w:ilvl="3" w:tplc="9586D988" w:tentative="1">
      <w:start w:val="1"/>
      <w:numFmt w:val="bullet"/>
      <w:lvlText w:val="•"/>
      <w:lvlJc w:val="left"/>
      <w:pPr>
        <w:tabs>
          <w:tab w:val="num" w:pos="2880"/>
        </w:tabs>
        <w:ind w:left="2880" w:hanging="360"/>
      </w:pPr>
      <w:rPr>
        <w:rFonts w:ascii="Arial" w:hAnsi="Arial" w:hint="default"/>
      </w:rPr>
    </w:lvl>
    <w:lvl w:ilvl="4" w:tplc="B484D21C" w:tentative="1">
      <w:start w:val="1"/>
      <w:numFmt w:val="bullet"/>
      <w:lvlText w:val="•"/>
      <w:lvlJc w:val="left"/>
      <w:pPr>
        <w:tabs>
          <w:tab w:val="num" w:pos="3600"/>
        </w:tabs>
        <w:ind w:left="3600" w:hanging="360"/>
      </w:pPr>
      <w:rPr>
        <w:rFonts w:ascii="Arial" w:hAnsi="Arial" w:hint="default"/>
      </w:rPr>
    </w:lvl>
    <w:lvl w:ilvl="5" w:tplc="22E8AAEE" w:tentative="1">
      <w:start w:val="1"/>
      <w:numFmt w:val="bullet"/>
      <w:lvlText w:val="•"/>
      <w:lvlJc w:val="left"/>
      <w:pPr>
        <w:tabs>
          <w:tab w:val="num" w:pos="4320"/>
        </w:tabs>
        <w:ind w:left="4320" w:hanging="360"/>
      </w:pPr>
      <w:rPr>
        <w:rFonts w:ascii="Arial" w:hAnsi="Arial" w:hint="default"/>
      </w:rPr>
    </w:lvl>
    <w:lvl w:ilvl="6" w:tplc="1E90FCEA" w:tentative="1">
      <w:start w:val="1"/>
      <w:numFmt w:val="bullet"/>
      <w:lvlText w:val="•"/>
      <w:lvlJc w:val="left"/>
      <w:pPr>
        <w:tabs>
          <w:tab w:val="num" w:pos="5040"/>
        </w:tabs>
        <w:ind w:left="5040" w:hanging="360"/>
      </w:pPr>
      <w:rPr>
        <w:rFonts w:ascii="Arial" w:hAnsi="Arial" w:hint="default"/>
      </w:rPr>
    </w:lvl>
    <w:lvl w:ilvl="7" w:tplc="347AAD52" w:tentative="1">
      <w:start w:val="1"/>
      <w:numFmt w:val="bullet"/>
      <w:lvlText w:val="•"/>
      <w:lvlJc w:val="left"/>
      <w:pPr>
        <w:tabs>
          <w:tab w:val="num" w:pos="5760"/>
        </w:tabs>
        <w:ind w:left="5760" w:hanging="360"/>
      </w:pPr>
      <w:rPr>
        <w:rFonts w:ascii="Arial" w:hAnsi="Arial" w:hint="default"/>
      </w:rPr>
    </w:lvl>
    <w:lvl w:ilvl="8" w:tplc="A38E067A"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45824978"/>
    <w:multiLevelType w:val="multilevel"/>
    <w:tmpl w:val="87A68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4B110274"/>
    <w:multiLevelType w:val="hybridMultilevel"/>
    <w:tmpl w:val="9B1E7C02"/>
    <w:lvl w:ilvl="0" w:tplc="B456F7B0">
      <w:start w:val="1"/>
      <w:numFmt w:val="decimal"/>
      <w:lvlText w:val="%1."/>
      <w:lvlJc w:val="left"/>
      <w:pPr>
        <w:tabs>
          <w:tab w:val="num" w:pos="720"/>
        </w:tabs>
        <w:ind w:left="720" w:hanging="360"/>
      </w:pPr>
    </w:lvl>
    <w:lvl w:ilvl="1" w:tplc="B9265AFA" w:tentative="1">
      <w:start w:val="1"/>
      <w:numFmt w:val="decimal"/>
      <w:lvlText w:val="%2."/>
      <w:lvlJc w:val="left"/>
      <w:pPr>
        <w:tabs>
          <w:tab w:val="num" w:pos="1440"/>
        </w:tabs>
        <w:ind w:left="1440" w:hanging="360"/>
      </w:pPr>
    </w:lvl>
    <w:lvl w:ilvl="2" w:tplc="C6BA765A" w:tentative="1">
      <w:start w:val="1"/>
      <w:numFmt w:val="decimal"/>
      <w:lvlText w:val="%3."/>
      <w:lvlJc w:val="left"/>
      <w:pPr>
        <w:tabs>
          <w:tab w:val="num" w:pos="2160"/>
        </w:tabs>
        <w:ind w:left="2160" w:hanging="360"/>
      </w:pPr>
    </w:lvl>
    <w:lvl w:ilvl="3" w:tplc="BF747BF8" w:tentative="1">
      <w:start w:val="1"/>
      <w:numFmt w:val="decimal"/>
      <w:lvlText w:val="%4."/>
      <w:lvlJc w:val="left"/>
      <w:pPr>
        <w:tabs>
          <w:tab w:val="num" w:pos="2880"/>
        </w:tabs>
        <w:ind w:left="2880" w:hanging="360"/>
      </w:pPr>
    </w:lvl>
    <w:lvl w:ilvl="4" w:tplc="44BEAABA" w:tentative="1">
      <w:start w:val="1"/>
      <w:numFmt w:val="decimal"/>
      <w:lvlText w:val="%5."/>
      <w:lvlJc w:val="left"/>
      <w:pPr>
        <w:tabs>
          <w:tab w:val="num" w:pos="3600"/>
        </w:tabs>
        <w:ind w:left="3600" w:hanging="360"/>
      </w:pPr>
    </w:lvl>
    <w:lvl w:ilvl="5" w:tplc="4378D0DE" w:tentative="1">
      <w:start w:val="1"/>
      <w:numFmt w:val="decimal"/>
      <w:lvlText w:val="%6."/>
      <w:lvlJc w:val="left"/>
      <w:pPr>
        <w:tabs>
          <w:tab w:val="num" w:pos="4320"/>
        </w:tabs>
        <w:ind w:left="4320" w:hanging="360"/>
      </w:pPr>
    </w:lvl>
    <w:lvl w:ilvl="6" w:tplc="4A7E2E5C" w:tentative="1">
      <w:start w:val="1"/>
      <w:numFmt w:val="decimal"/>
      <w:lvlText w:val="%7."/>
      <w:lvlJc w:val="left"/>
      <w:pPr>
        <w:tabs>
          <w:tab w:val="num" w:pos="5040"/>
        </w:tabs>
        <w:ind w:left="5040" w:hanging="360"/>
      </w:pPr>
    </w:lvl>
    <w:lvl w:ilvl="7" w:tplc="FB6E6B6E" w:tentative="1">
      <w:start w:val="1"/>
      <w:numFmt w:val="decimal"/>
      <w:lvlText w:val="%8."/>
      <w:lvlJc w:val="left"/>
      <w:pPr>
        <w:tabs>
          <w:tab w:val="num" w:pos="5760"/>
        </w:tabs>
        <w:ind w:left="5760" w:hanging="360"/>
      </w:pPr>
    </w:lvl>
    <w:lvl w:ilvl="8" w:tplc="D79065D8" w:tentative="1">
      <w:start w:val="1"/>
      <w:numFmt w:val="decimal"/>
      <w:lvlText w:val="%9."/>
      <w:lvlJc w:val="left"/>
      <w:pPr>
        <w:tabs>
          <w:tab w:val="num" w:pos="6480"/>
        </w:tabs>
        <w:ind w:left="6480" w:hanging="360"/>
      </w:pPr>
    </w:lvl>
  </w:abstractNum>
  <w:abstractNum w:abstractNumId="36" w15:restartNumberingAfterBreak="0">
    <w:nsid w:val="4D283076"/>
    <w:multiLevelType w:val="hybridMultilevel"/>
    <w:tmpl w:val="0128A6E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34D6854"/>
    <w:multiLevelType w:val="hybridMultilevel"/>
    <w:tmpl w:val="474E0A38"/>
    <w:lvl w:ilvl="0" w:tplc="08090007">
      <w:start w:val="1"/>
      <w:numFmt w:val="bullet"/>
      <w:lvlText w:val=""/>
      <w:lvlPicBulletId w:val="0"/>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542C62EF"/>
    <w:multiLevelType w:val="hybridMultilevel"/>
    <w:tmpl w:val="6E204778"/>
    <w:lvl w:ilvl="0" w:tplc="29A6212E">
      <w:start w:val="1"/>
      <w:numFmt w:val="bullet"/>
      <w:lvlText w:val="•"/>
      <w:lvlJc w:val="left"/>
      <w:pPr>
        <w:tabs>
          <w:tab w:val="num" w:pos="720"/>
        </w:tabs>
        <w:ind w:left="720" w:hanging="360"/>
      </w:pPr>
      <w:rPr>
        <w:rFonts w:ascii="Arial" w:hAnsi="Arial" w:hint="default"/>
      </w:rPr>
    </w:lvl>
    <w:lvl w:ilvl="1" w:tplc="489ACE52" w:tentative="1">
      <w:start w:val="1"/>
      <w:numFmt w:val="bullet"/>
      <w:lvlText w:val="•"/>
      <w:lvlJc w:val="left"/>
      <w:pPr>
        <w:tabs>
          <w:tab w:val="num" w:pos="1440"/>
        </w:tabs>
        <w:ind w:left="1440" w:hanging="360"/>
      </w:pPr>
      <w:rPr>
        <w:rFonts w:ascii="Arial" w:hAnsi="Arial" w:hint="default"/>
      </w:rPr>
    </w:lvl>
    <w:lvl w:ilvl="2" w:tplc="D804C0C0" w:tentative="1">
      <w:start w:val="1"/>
      <w:numFmt w:val="bullet"/>
      <w:lvlText w:val="•"/>
      <w:lvlJc w:val="left"/>
      <w:pPr>
        <w:tabs>
          <w:tab w:val="num" w:pos="2160"/>
        </w:tabs>
        <w:ind w:left="2160" w:hanging="360"/>
      </w:pPr>
      <w:rPr>
        <w:rFonts w:ascii="Arial" w:hAnsi="Arial" w:hint="default"/>
      </w:rPr>
    </w:lvl>
    <w:lvl w:ilvl="3" w:tplc="2BBC5636" w:tentative="1">
      <w:start w:val="1"/>
      <w:numFmt w:val="bullet"/>
      <w:lvlText w:val="•"/>
      <w:lvlJc w:val="left"/>
      <w:pPr>
        <w:tabs>
          <w:tab w:val="num" w:pos="2880"/>
        </w:tabs>
        <w:ind w:left="2880" w:hanging="360"/>
      </w:pPr>
      <w:rPr>
        <w:rFonts w:ascii="Arial" w:hAnsi="Arial" w:hint="default"/>
      </w:rPr>
    </w:lvl>
    <w:lvl w:ilvl="4" w:tplc="E9C497AA" w:tentative="1">
      <w:start w:val="1"/>
      <w:numFmt w:val="bullet"/>
      <w:lvlText w:val="•"/>
      <w:lvlJc w:val="left"/>
      <w:pPr>
        <w:tabs>
          <w:tab w:val="num" w:pos="3600"/>
        </w:tabs>
        <w:ind w:left="3600" w:hanging="360"/>
      </w:pPr>
      <w:rPr>
        <w:rFonts w:ascii="Arial" w:hAnsi="Arial" w:hint="default"/>
      </w:rPr>
    </w:lvl>
    <w:lvl w:ilvl="5" w:tplc="E94A75E6" w:tentative="1">
      <w:start w:val="1"/>
      <w:numFmt w:val="bullet"/>
      <w:lvlText w:val="•"/>
      <w:lvlJc w:val="left"/>
      <w:pPr>
        <w:tabs>
          <w:tab w:val="num" w:pos="4320"/>
        </w:tabs>
        <w:ind w:left="4320" w:hanging="360"/>
      </w:pPr>
      <w:rPr>
        <w:rFonts w:ascii="Arial" w:hAnsi="Arial" w:hint="default"/>
      </w:rPr>
    </w:lvl>
    <w:lvl w:ilvl="6" w:tplc="58147080" w:tentative="1">
      <w:start w:val="1"/>
      <w:numFmt w:val="bullet"/>
      <w:lvlText w:val="•"/>
      <w:lvlJc w:val="left"/>
      <w:pPr>
        <w:tabs>
          <w:tab w:val="num" w:pos="5040"/>
        </w:tabs>
        <w:ind w:left="5040" w:hanging="360"/>
      </w:pPr>
      <w:rPr>
        <w:rFonts w:ascii="Arial" w:hAnsi="Arial" w:hint="default"/>
      </w:rPr>
    </w:lvl>
    <w:lvl w:ilvl="7" w:tplc="449685A0" w:tentative="1">
      <w:start w:val="1"/>
      <w:numFmt w:val="bullet"/>
      <w:lvlText w:val="•"/>
      <w:lvlJc w:val="left"/>
      <w:pPr>
        <w:tabs>
          <w:tab w:val="num" w:pos="5760"/>
        </w:tabs>
        <w:ind w:left="5760" w:hanging="360"/>
      </w:pPr>
      <w:rPr>
        <w:rFonts w:ascii="Arial" w:hAnsi="Arial" w:hint="default"/>
      </w:rPr>
    </w:lvl>
    <w:lvl w:ilvl="8" w:tplc="E574140A"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5AB10F79"/>
    <w:multiLevelType w:val="multilevel"/>
    <w:tmpl w:val="1AE2CA62"/>
    <w:lvl w:ilvl="0">
      <w:start w:val="1"/>
      <w:numFmt w:val="decimal"/>
      <w:lvlText w:val="%1."/>
      <w:lvlJc w:val="left"/>
      <w:pPr>
        <w:ind w:left="720" w:hanging="360"/>
      </w:pPr>
    </w:lvl>
    <w:lvl w:ilvl="1">
      <w:start w:val="5"/>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5E8A0FFE"/>
    <w:multiLevelType w:val="hybridMultilevel"/>
    <w:tmpl w:val="0128A6E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090528C"/>
    <w:multiLevelType w:val="hybridMultilevel"/>
    <w:tmpl w:val="316EC5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63CA7796"/>
    <w:multiLevelType w:val="hybridMultilevel"/>
    <w:tmpl w:val="05CE1A14"/>
    <w:lvl w:ilvl="0" w:tplc="D0469BBE">
      <w:start w:val="1"/>
      <w:numFmt w:val="bullet"/>
      <w:lvlText w:val="•"/>
      <w:lvlJc w:val="left"/>
      <w:pPr>
        <w:tabs>
          <w:tab w:val="num" w:pos="720"/>
        </w:tabs>
        <w:ind w:left="720" w:hanging="360"/>
      </w:pPr>
      <w:rPr>
        <w:rFonts w:ascii="Arial" w:hAnsi="Arial" w:hint="default"/>
      </w:rPr>
    </w:lvl>
    <w:lvl w:ilvl="1" w:tplc="3A1A6C26" w:tentative="1">
      <w:start w:val="1"/>
      <w:numFmt w:val="bullet"/>
      <w:lvlText w:val="•"/>
      <w:lvlJc w:val="left"/>
      <w:pPr>
        <w:tabs>
          <w:tab w:val="num" w:pos="1440"/>
        </w:tabs>
        <w:ind w:left="1440" w:hanging="360"/>
      </w:pPr>
      <w:rPr>
        <w:rFonts w:ascii="Arial" w:hAnsi="Arial" w:hint="default"/>
      </w:rPr>
    </w:lvl>
    <w:lvl w:ilvl="2" w:tplc="4962A3CC" w:tentative="1">
      <w:start w:val="1"/>
      <w:numFmt w:val="bullet"/>
      <w:lvlText w:val="•"/>
      <w:lvlJc w:val="left"/>
      <w:pPr>
        <w:tabs>
          <w:tab w:val="num" w:pos="2160"/>
        </w:tabs>
        <w:ind w:left="2160" w:hanging="360"/>
      </w:pPr>
      <w:rPr>
        <w:rFonts w:ascii="Arial" w:hAnsi="Arial" w:hint="default"/>
      </w:rPr>
    </w:lvl>
    <w:lvl w:ilvl="3" w:tplc="5D7CE42E" w:tentative="1">
      <w:start w:val="1"/>
      <w:numFmt w:val="bullet"/>
      <w:lvlText w:val="•"/>
      <w:lvlJc w:val="left"/>
      <w:pPr>
        <w:tabs>
          <w:tab w:val="num" w:pos="2880"/>
        </w:tabs>
        <w:ind w:left="2880" w:hanging="360"/>
      </w:pPr>
      <w:rPr>
        <w:rFonts w:ascii="Arial" w:hAnsi="Arial" w:hint="default"/>
      </w:rPr>
    </w:lvl>
    <w:lvl w:ilvl="4" w:tplc="601ED5AA" w:tentative="1">
      <w:start w:val="1"/>
      <w:numFmt w:val="bullet"/>
      <w:lvlText w:val="•"/>
      <w:lvlJc w:val="left"/>
      <w:pPr>
        <w:tabs>
          <w:tab w:val="num" w:pos="3600"/>
        </w:tabs>
        <w:ind w:left="3600" w:hanging="360"/>
      </w:pPr>
      <w:rPr>
        <w:rFonts w:ascii="Arial" w:hAnsi="Arial" w:hint="default"/>
      </w:rPr>
    </w:lvl>
    <w:lvl w:ilvl="5" w:tplc="61489C6A" w:tentative="1">
      <w:start w:val="1"/>
      <w:numFmt w:val="bullet"/>
      <w:lvlText w:val="•"/>
      <w:lvlJc w:val="left"/>
      <w:pPr>
        <w:tabs>
          <w:tab w:val="num" w:pos="4320"/>
        </w:tabs>
        <w:ind w:left="4320" w:hanging="360"/>
      </w:pPr>
      <w:rPr>
        <w:rFonts w:ascii="Arial" w:hAnsi="Arial" w:hint="default"/>
      </w:rPr>
    </w:lvl>
    <w:lvl w:ilvl="6" w:tplc="20C8DB86" w:tentative="1">
      <w:start w:val="1"/>
      <w:numFmt w:val="bullet"/>
      <w:lvlText w:val="•"/>
      <w:lvlJc w:val="left"/>
      <w:pPr>
        <w:tabs>
          <w:tab w:val="num" w:pos="5040"/>
        </w:tabs>
        <w:ind w:left="5040" w:hanging="360"/>
      </w:pPr>
      <w:rPr>
        <w:rFonts w:ascii="Arial" w:hAnsi="Arial" w:hint="default"/>
      </w:rPr>
    </w:lvl>
    <w:lvl w:ilvl="7" w:tplc="1F6E301C" w:tentative="1">
      <w:start w:val="1"/>
      <w:numFmt w:val="bullet"/>
      <w:lvlText w:val="•"/>
      <w:lvlJc w:val="left"/>
      <w:pPr>
        <w:tabs>
          <w:tab w:val="num" w:pos="5760"/>
        </w:tabs>
        <w:ind w:left="5760" w:hanging="360"/>
      </w:pPr>
      <w:rPr>
        <w:rFonts w:ascii="Arial" w:hAnsi="Arial" w:hint="default"/>
      </w:rPr>
    </w:lvl>
    <w:lvl w:ilvl="8" w:tplc="0B028D40"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64920269"/>
    <w:multiLevelType w:val="hybridMultilevel"/>
    <w:tmpl w:val="54EAF792"/>
    <w:lvl w:ilvl="0" w:tplc="269A2E2C">
      <w:start w:val="1"/>
      <w:numFmt w:val="bullet"/>
      <w:lvlText w:val="•"/>
      <w:lvlJc w:val="left"/>
      <w:pPr>
        <w:tabs>
          <w:tab w:val="num" w:pos="720"/>
        </w:tabs>
        <w:ind w:left="720" w:hanging="360"/>
      </w:pPr>
      <w:rPr>
        <w:rFonts w:ascii="Arial" w:hAnsi="Arial" w:hint="default"/>
      </w:rPr>
    </w:lvl>
    <w:lvl w:ilvl="1" w:tplc="97A063CC" w:tentative="1">
      <w:start w:val="1"/>
      <w:numFmt w:val="bullet"/>
      <w:lvlText w:val="•"/>
      <w:lvlJc w:val="left"/>
      <w:pPr>
        <w:tabs>
          <w:tab w:val="num" w:pos="1440"/>
        </w:tabs>
        <w:ind w:left="1440" w:hanging="360"/>
      </w:pPr>
      <w:rPr>
        <w:rFonts w:ascii="Arial" w:hAnsi="Arial" w:hint="default"/>
      </w:rPr>
    </w:lvl>
    <w:lvl w:ilvl="2" w:tplc="E7F2F1FA" w:tentative="1">
      <w:start w:val="1"/>
      <w:numFmt w:val="bullet"/>
      <w:lvlText w:val="•"/>
      <w:lvlJc w:val="left"/>
      <w:pPr>
        <w:tabs>
          <w:tab w:val="num" w:pos="2160"/>
        </w:tabs>
        <w:ind w:left="2160" w:hanging="360"/>
      </w:pPr>
      <w:rPr>
        <w:rFonts w:ascii="Arial" w:hAnsi="Arial" w:hint="default"/>
      </w:rPr>
    </w:lvl>
    <w:lvl w:ilvl="3" w:tplc="AB3E0D5C" w:tentative="1">
      <w:start w:val="1"/>
      <w:numFmt w:val="bullet"/>
      <w:lvlText w:val="•"/>
      <w:lvlJc w:val="left"/>
      <w:pPr>
        <w:tabs>
          <w:tab w:val="num" w:pos="2880"/>
        </w:tabs>
        <w:ind w:left="2880" w:hanging="360"/>
      </w:pPr>
      <w:rPr>
        <w:rFonts w:ascii="Arial" w:hAnsi="Arial" w:hint="default"/>
      </w:rPr>
    </w:lvl>
    <w:lvl w:ilvl="4" w:tplc="E534BA58" w:tentative="1">
      <w:start w:val="1"/>
      <w:numFmt w:val="bullet"/>
      <w:lvlText w:val="•"/>
      <w:lvlJc w:val="left"/>
      <w:pPr>
        <w:tabs>
          <w:tab w:val="num" w:pos="3600"/>
        </w:tabs>
        <w:ind w:left="3600" w:hanging="360"/>
      </w:pPr>
      <w:rPr>
        <w:rFonts w:ascii="Arial" w:hAnsi="Arial" w:hint="default"/>
      </w:rPr>
    </w:lvl>
    <w:lvl w:ilvl="5" w:tplc="7ABC0AE6" w:tentative="1">
      <w:start w:val="1"/>
      <w:numFmt w:val="bullet"/>
      <w:lvlText w:val="•"/>
      <w:lvlJc w:val="left"/>
      <w:pPr>
        <w:tabs>
          <w:tab w:val="num" w:pos="4320"/>
        </w:tabs>
        <w:ind w:left="4320" w:hanging="360"/>
      </w:pPr>
      <w:rPr>
        <w:rFonts w:ascii="Arial" w:hAnsi="Arial" w:hint="default"/>
      </w:rPr>
    </w:lvl>
    <w:lvl w:ilvl="6" w:tplc="5ACEEE96" w:tentative="1">
      <w:start w:val="1"/>
      <w:numFmt w:val="bullet"/>
      <w:lvlText w:val="•"/>
      <w:lvlJc w:val="left"/>
      <w:pPr>
        <w:tabs>
          <w:tab w:val="num" w:pos="5040"/>
        </w:tabs>
        <w:ind w:left="5040" w:hanging="360"/>
      </w:pPr>
      <w:rPr>
        <w:rFonts w:ascii="Arial" w:hAnsi="Arial" w:hint="default"/>
      </w:rPr>
    </w:lvl>
    <w:lvl w:ilvl="7" w:tplc="849CE692" w:tentative="1">
      <w:start w:val="1"/>
      <w:numFmt w:val="bullet"/>
      <w:lvlText w:val="•"/>
      <w:lvlJc w:val="left"/>
      <w:pPr>
        <w:tabs>
          <w:tab w:val="num" w:pos="5760"/>
        </w:tabs>
        <w:ind w:left="5760" w:hanging="360"/>
      </w:pPr>
      <w:rPr>
        <w:rFonts w:ascii="Arial" w:hAnsi="Arial" w:hint="default"/>
      </w:rPr>
    </w:lvl>
    <w:lvl w:ilvl="8" w:tplc="FEEC6B74"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655F4CDD"/>
    <w:multiLevelType w:val="hybridMultilevel"/>
    <w:tmpl w:val="1A6279F8"/>
    <w:lvl w:ilvl="0" w:tplc="08090007">
      <w:start w:val="1"/>
      <w:numFmt w:val="bullet"/>
      <w:lvlText w:val=""/>
      <w:lvlPicBulletId w:val="0"/>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673269C"/>
    <w:multiLevelType w:val="hybridMultilevel"/>
    <w:tmpl w:val="BD12CE4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9744D27"/>
    <w:multiLevelType w:val="hybridMultilevel"/>
    <w:tmpl w:val="0C4AC1E8"/>
    <w:lvl w:ilvl="0" w:tplc="6D665B7E">
      <w:start w:val="1"/>
      <w:numFmt w:val="decimal"/>
      <w:lvlText w:val="%1."/>
      <w:lvlJc w:val="left"/>
      <w:pPr>
        <w:tabs>
          <w:tab w:val="num" w:pos="720"/>
        </w:tabs>
        <w:ind w:left="720" w:hanging="360"/>
      </w:pPr>
    </w:lvl>
    <w:lvl w:ilvl="1" w:tplc="7E4CB946" w:tentative="1">
      <w:start w:val="1"/>
      <w:numFmt w:val="decimal"/>
      <w:lvlText w:val="%2."/>
      <w:lvlJc w:val="left"/>
      <w:pPr>
        <w:tabs>
          <w:tab w:val="num" w:pos="1440"/>
        </w:tabs>
        <w:ind w:left="1440" w:hanging="360"/>
      </w:pPr>
    </w:lvl>
    <w:lvl w:ilvl="2" w:tplc="6BC0FF56" w:tentative="1">
      <w:start w:val="1"/>
      <w:numFmt w:val="decimal"/>
      <w:lvlText w:val="%3."/>
      <w:lvlJc w:val="left"/>
      <w:pPr>
        <w:tabs>
          <w:tab w:val="num" w:pos="2160"/>
        </w:tabs>
        <w:ind w:left="2160" w:hanging="360"/>
      </w:pPr>
    </w:lvl>
    <w:lvl w:ilvl="3" w:tplc="40A8D22C" w:tentative="1">
      <w:start w:val="1"/>
      <w:numFmt w:val="decimal"/>
      <w:lvlText w:val="%4."/>
      <w:lvlJc w:val="left"/>
      <w:pPr>
        <w:tabs>
          <w:tab w:val="num" w:pos="2880"/>
        </w:tabs>
        <w:ind w:left="2880" w:hanging="360"/>
      </w:pPr>
    </w:lvl>
    <w:lvl w:ilvl="4" w:tplc="92B21DA0" w:tentative="1">
      <w:start w:val="1"/>
      <w:numFmt w:val="decimal"/>
      <w:lvlText w:val="%5."/>
      <w:lvlJc w:val="left"/>
      <w:pPr>
        <w:tabs>
          <w:tab w:val="num" w:pos="3600"/>
        </w:tabs>
        <w:ind w:left="3600" w:hanging="360"/>
      </w:pPr>
    </w:lvl>
    <w:lvl w:ilvl="5" w:tplc="D578FA78" w:tentative="1">
      <w:start w:val="1"/>
      <w:numFmt w:val="decimal"/>
      <w:lvlText w:val="%6."/>
      <w:lvlJc w:val="left"/>
      <w:pPr>
        <w:tabs>
          <w:tab w:val="num" w:pos="4320"/>
        </w:tabs>
        <w:ind w:left="4320" w:hanging="360"/>
      </w:pPr>
    </w:lvl>
    <w:lvl w:ilvl="6" w:tplc="5E3EDACC" w:tentative="1">
      <w:start w:val="1"/>
      <w:numFmt w:val="decimal"/>
      <w:lvlText w:val="%7."/>
      <w:lvlJc w:val="left"/>
      <w:pPr>
        <w:tabs>
          <w:tab w:val="num" w:pos="5040"/>
        </w:tabs>
        <w:ind w:left="5040" w:hanging="360"/>
      </w:pPr>
    </w:lvl>
    <w:lvl w:ilvl="7" w:tplc="5C4ADC40" w:tentative="1">
      <w:start w:val="1"/>
      <w:numFmt w:val="decimal"/>
      <w:lvlText w:val="%8."/>
      <w:lvlJc w:val="left"/>
      <w:pPr>
        <w:tabs>
          <w:tab w:val="num" w:pos="5760"/>
        </w:tabs>
        <w:ind w:left="5760" w:hanging="360"/>
      </w:pPr>
    </w:lvl>
    <w:lvl w:ilvl="8" w:tplc="3034AE14" w:tentative="1">
      <w:start w:val="1"/>
      <w:numFmt w:val="decimal"/>
      <w:lvlText w:val="%9."/>
      <w:lvlJc w:val="left"/>
      <w:pPr>
        <w:tabs>
          <w:tab w:val="num" w:pos="6480"/>
        </w:tabs>
        <w:ind w:left="6480" w:hanging="360"/>
      </w:pPr>
    </w:lvl>
  </w:abstractNum>
  <w:abstractNum w:abstractNumId="47" w15:restartNumberingAfterBreak="0">
    <w:nsid w:val="69FB1FB9"/>
    <w:multiLevelType w:val="multilevel"/>
    <w:tmpl w:val="4F48CCE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6C6F24DB"/>
    <w:multiLevelType w:val="hybridMultilevel"/>
    <w:tmpl w:val="377A9366"/>
    <w:lvl w:ilvl="0" w:tplc="5888EDE6">
      <w:start w:val="1"/>
      <w:numFmt w:val="bullet"/>
      <w:lvlText w:val="•"/>
      <w:lvlJc w:val="left"/>
      <w:pPr>
        <w:tabs>
          <w:tab w:val="num" w:pos="720"/>
        </w:tabs>
        <w:ind w:left="720" w:hanging="360"/>
      </w:pPr>
      <w:rPr>
        <w:rFonts w:ascii="Arial" w:hAnsi="Arial" w:hint="default"/>
      </w:rPr>
    </w:lvl>
    <w:lvl w:ilvl="1" w:tplc="2042068C" w:tentative="1">
      <w:start w:val="1"/>
      <w:numFmt w:val="bullet"/>
      <w:lvlText w:val="•"/>
      <w:lvlJc w:val="left"/>
      <w:pPr>
        <w:tabs>
          <w:tab w:val="num" w:pos="1440"/>
        </w:tabs>
        <w:ind w:left="1440" w:hanging="360"/>
      </w:pPr>
      <w:rPr>
        <w:rFonts w:ascii="Arial" w:hAnsi="Arial" w:hint="default"/>
      </w:rPr>
    </w:lvl>
    <w:lvl w:ilvl="2" w:tplc="81AE893E" w:tentative="1">
      <w:start w:val="1"/>
      <w:numFmt w:val="bullet"/>
      <w:lvlText w:val="•"/>
      <w:lvlJc w:val="left"/>
      <w:pPr>
        <w:tabs>
          <w:tab w:val="num" w:pos="2160"/>
        </w:tabs>
        <w:ind w:left="2160" w:hanging="360"/>
      </w:pPr>
      <w:rPr>
        <w:rFonts w:ascii="Arial" w:hAnsi="Arial" w:hint="default"/>
      </w:rPr>
    </w:lvl>
    <w:lvl w:ilvl="3" w:tplc="A0D83100" w:tentative="1">
      <w:start w:val="1"/>
      <w:numFmt w:val="bullet"/>
      <w:lvlText w:val="•"/>
      <w:lvlJc w:val="left"/>
      <w:pPr>
        <w:tabs>
          <w:tab w:val="num" w:pos="2880"/>
        </w:tabs>
        <w:ind w:left="2880" w:hanging="360"/>
      </w:pPr>
      <w:rPr>
        <w:rFonts w:ascii="Arial" w:hAnsi="Arial" w:hint="default"/>
      </w:rPr>
    </w:lvl>
    <w:lvl w:ilvl="4" w:tplc="308CDD6A" w:tentative="1">
      <w:start w:val="1"/>
      <w:numFmt w:val="bullet"/>
      <w:lvlText w:val="•"/>
      <w:lvlJc w:val="left"/>
      <w:pPr>
        <w:tabs>
          <w:tab w:val="num" w:pos="3600"/>
        </w:tabs>
        <w:ind w:left="3600" w:hanging="360"/>
      </w:pPr>
      <w:rPr>
        <w:rFonts w:ascii="Arial" w:hAnsi="Arial" w:hint="default"/>
      </w:rPr>
    </w:lvl>
    <w:lvl w:ilvl="5" w:tplc="CC1851AA" w:tentative="1">
      <w:start w:val="1"/>
      <w:numFmt w:val="bullet"/>
      <w:lvlText w:val="•"/>
      <w:lvlJc w:val="left"/>
      <w:pPr>
        <w:tabs>
          <w:tab w:val="num" w:pos="4320"/>
        </w:tabs>
        <w:ind w:left="4320" w:hanging="360"/>
      </w:pPr>
      <w:rPr>
        <w:rFonts w:ascii="Arial" w:hAnsi="Arial" w:hint="default"/>
      </w:rPr>
    </w:lvl>
    <w:lvl w:ilvl="6" w:tplc="684ECE24" w:tentative="1">
      <w:start w:val="1"/>
      <w:numFmt w:val="bullet"/>
      <w:lvlText w:val="•"/>
      <w:lvlJc w:val="left"/>
      <w:pPr>
        <w:tabs>
          <w:tab w:val="num" w:pos="5040"/>
        </w:tabs>
        <w:ind w:left="5040" w:hanging="360"/>
      </w:pPr>
      <w:rPr>
        <w:rFonts w:ascii="Arial" w:hAnsi="Arial" w:hint="default"/>
      </w:rPr>
    </w:lvl>
    <w:lvl w:ilvl="7" w:tplc="C4A2F5B8" w:tentative="1">
      <w:start w:val="1"/>
      <w:numFmt w:val="bullet"/>
      <w:lvlText w:val="•"/>
      <w:lvlJc w:val="left"/>
      <w:pPr>
        <w:tabs>
          <w:tab w:val="num" w:pos="5760"/>
        </w:tabs>
        <w:ind w:left="5760" w:hanging="360"/>
      </w:pPr>
      <w:rPr>
        <w:rFonts w:ascii="Arial" w:hAnsi="Arial" w:hint="default"/>
      </w:rPr>
    </w:lvl>
    <w:lvl w:ilvl="8" w:tplc="588C8492" w:tentative="1">
      <w:start w:val="1"/>
      <w:numFmt w:val="bullet"/>
      <w:lvlText w:val="•"/>
      <w:lvlJc w:val="left"/>
      <w:pPr>
        <w:tabs>
          <w:tab w:val="num" w:pos="6480"/>
        </w:tabs>
        <w:ind w:left="6480" w:hanging="360"/>
      </w:pPr>
      <w:rPr>
        <w:rFonts w:ascii="Arial" w:hAnsi="Arial" w:hint="default"/>
      </w:rPr>
    </w:lvl>
  </w:abstractNum>
  <w:abstractNum w:abstractNumId="49" w15:restartNumberingAfterBreak="0">
    <w:nsid w:val="6C930BC8"/>
    <w:multiLevelType w:val="hybridMultilevel"/>
    <w:tmpl w:val="0128A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0CB6FB3"/>
    <w:multiLevelType w:val="hybridMultilevel"/>
    <w:tmpl w:val="D95E7534"/>
    <w:lvl w:ilvl="0" w:tplc="4172445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4355A57"/>
    <w:multiLevelType w:val="hybridMultilevel"/>
    <w:tmpl w:val="0128A6E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5587CDD"/>
    <w:multiLevelType w:val="hybridMultilevel"/>
    <w:tmpl w:val="02D033D6"/>
    <w:lvl w:ilvl="0" w:tplc="08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64E67E4"/>
    <w:multiLevelType w:val="hybridMultilevel"/>
    <w:tmpl w:val="0128A6E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69E4DED"/>
    <w:multiLevelType w:val="hybridMultilevel"/>
    <w:tmpl w:val="C04A68E6"/>
    <w:lvl w:ilvl="0" w:tplc="8A6818A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7BB0E48"/>
    <w:multiLevelType w:val="hybridMultilevel"/>
    <w:tmpl w:val="1D466882"/>
    <w:lvl w:ilvl="0" w:tplc="B49C6FE2">
      <w:start w:val="1"/>
      <w:numFmt w:val="bullet"/>
      <w:lvlText w:val="•"/>
      <w:lvlJc w:val="left"/>
      <w:pPr>
        <w:tabs>
          <w:tab w:val="num" w:pos="720"/>
        </w:tabs>
        <w:ind w:left="720" w:hanging="360"/>
      </w:pPr>
      <w:rPr>
        <w:rFonts w:ascii="Arial" w:hAnsi="Arial" w:hint="default"/>
      </w:rPr>
    </w:lvl>
    <w:lvl w:ilvl="1" w:tplc="BD923CD0" w:tentative="1">
      <w:start w:val="1"/>
      <w:numFmt w:val="bullet"/>
      <w:lvlText w:val="•"/>
      <w:lvlJc w:val="left"/>
      <w:pPr>
        <w:tabs>
          <w:tab w:val="num" w:pos="1440"/>
        </w:tabs>
        <w:ind w:left="1440" w:hanging="360"/>
      </w:pPr>
      <w:rPr>
        <w:rFonts w:ascii="Arial" w:hAnsi="Arial" w:hint="default"/>
      </w:rPr>
    </w:lvl>
    <w:lvl w:ilvl="2" w:tplc="61D4A210" w:tentative="1">
      <w:start w:val="1"/>
      <w:numFmt w:val="bullet"/>
      <w:lvlText w:val="•"/>
      <w:lvlJc w:val="left"/>
      <w:pPr>
        <w:tabs>
          <w:tab w:val="num" w:pos="2160"/>
        </w:tabs>
        <w:ind w:left="2160" w:hanging="360"/>
      </w:pPr>
      <w:rPr>
        <w:rFonts w:ascii="Arial" w:hAnsi="Arial" w:hint="default"/>
      </w:rPr>
    </w:lvl>
    <w:lvl w:ilvl="3" w:tplc="D67AA374" w:tentative="1">
      <w:start w:val="1"/>
      <w:numFmt w:val="bullet"/>
      <w:lvlText w:val="•"/>
      <w:lvlJc w:val="left"/>
      <w:pPr>
        <w:tabs>
          <w:tab w:val="num" w:pos="2880"/>
        </w:tabs>
        <w:ind w:left="2880" w:hanging="360"/>
      </w:pPr>
      <w:rPr>
        <w:rFonts w:ascii="Arial" w:hAnsi="Arial" w:hint="default"/>
      </w:rPr>
    </w:lvl>
    <w:lvl w:ilvl="4" w:tplc="2E98F9A2" w:tentative="1">
      <w:start w:val="1"/>
      <w:numFmt w:val="bullet"/>
      <w:lvlText w:val="•"/>
      <w:lvlJc w:val="left"/>
      <w:pPr>
        <w:tabs>
          <w:tab w:val="num" w:pos="3600"/>
        </w:tabs>
        <w:ind w:left="3600" w:hanging="360"/>
      </w:pPr>
      <w:rPr>
        <w:rFonts w:ascii="Arial" w:hAnsi="Arial" w:hint="default"/>
      </w:rPr>
    </w:lvl>
    <w:lvl w:ilvl="5" w:tplc="527A9D78" w:tentative="1">
      <w:start w:val="1"/>
      <w:numFmt w:val="bullet"/>
      <w:lvlText w:val="•"/>
      <w:lvlJc w:val="left"/>
      <w:pPr>
        <w:tabs>
          <w:tab w:val="num" w:pos="4320"/>
        </w:tabs>
        <w:ind w:left="4320" w:hanging="360"/>
      </w:pPr>
      <w:rPr>
        <w:rFonts w:ascii="Arial" w:hAnsi="Arial" w:hint="default"/>
      </w:rPr>
    </w:lvl>
    <w:lvl w:ilvl="6" w:tplc="765C43FC" w:tentative="1">
      <w:start w:val="1"/>
      <w:numFmt w:val="bullet"/>
      <w:lvlText w:val="•"/>
      <w:lvlJc w:val="left"/>
      <w:pPr>
        <w:tabs>
          <w:tab w:val="num" w:pos="5040"/>
        </w:tabs>
        <w:ind w:left="5040" w:hanging="360"/>
      </w:pPr>
      <w:rPr>
        <w:rFonts w:ascii="Arial" w:hAnsi="Arial" w:hint="default"/>
      </w:rPr>
    </w:lvl>
    <w:lvl w:ilvl="7" w:tplc="8AB24828" w:tentative="1">
      <w:start w:val="1"/>
      <w:numFmt w:val="bullet"/>
      <w:lvlText w:val="•"/>
      <w:lvlJc w:val="left"/>
      <w:pPr>
        <w:tabs>
          <w:tab w:val="num" w:pos="5760"/>
        </w:tabs>
        <w:ind w:left="5760" w:hanging="360"/>
      </w:pPr>
      <w:rPr>
        <w:rFonts w:ascii="Arial" w:hAnsi="Arial" w:hint="default"/>
      </w:rPr>
    </w:lvl>
    <w:lvl w:ilvl="8" w:tplc="88DE2A42" w:tentative="1">
      <w:start w:val="1"/>
      <w:numFmt w:val="bullet"/>
      <w:lvlText w:val="•"/>
      <w:lvlJc w:val="left"/>
      <w:pPr>
        <w:tabs>
          <w:tab w:val="num" w:pos="6480"/>
        </w:tabs>
        <w:ind w:left="6480" w:hanging="360"/>
      </w:pPr>
      <w:rPr>
        <w:rFonts w:ascii="Arial" w:hAnsi="Arial" w:hint="default"/>
      </w:rPr>
    </w:lvl>
  </w:abstractNum>
  <w:abstractNum w:abstractNumId="56" w15:restartNumberingAfterBreak="0">
    <w:nsid w:val="79743BDC"/>
    <w:multiLevelType w:val="hybridMultilevel"/>
    <w:tmpl w:val="65665682"/>
    <w:lvl w:ilvl="0" w:tplc="10AA98F0">
      <w:start w:val="1"/>
      <w:numFmt w:val="bullet"/>
      <w:lvlText w:val="•"/>
      <w:lvlJc w:val="left"/>
      <w:pPr>
        <w:tabs>
          <w:tab w:val="num" w:pos="720"/>
        </w:tabs>
        <w:ind w:left="720" w:hanging="360"/>
      </w:pPr>
      <w:rPr>
        <w:rFonts w:ascii="Arial" w:hAnsi="Arial" w:hint="default"/>
      </w:rPr>
    </w:lvl>
    <w:lvl w:ilvl="1" w:tplc="9D08C1B4" w:tentative="1">
      <w:start w:val="1"/>
      <w:numFmt w:val="bullet"/>
      <w:lvlText w:val="•"/>
      <w:lvlJc w:val="left"/>
      <w:pPr>
        <w:tabs>
          <w:tab w:val="num" w:pos="1440"/>
        </w:tabs>
        <w:ind w:left="1440" w:hanging="360"/>
      </w:pPr>
      <w:rPr>
        <w:rFonts w:ascii="Arial" w:hAnsi="Arial" w:hint="default"/>
      </w:rPr>
    </w:lvl>
    <w:lvl w:ilvl="2" w:tplc="A060F068" w:tentative="1">
      <w:start w:val="1"/>
      <w:numFmt w:val="bullet"/>
      <w:lvlText w:val="•"/>
      <w:lvlJc w:val="left"/>
      <w:pPr>
        <w:tabs>
          <w:tab w:val="num" w:pos="2160"/>
        </w:tabs>
        <w:ind w:left="2160" w:hanging="360"/>
      </w:pPr>
      <w:rPr>
        <w:rFonts w:ascii="Arial" w:hAnsi="Arial" w:hint="default"/>
      </w:rPr>
    </w:lvl>
    <w:lvl w:ilvl="3" w:tplc="63C4D644" w:tentative="1">
      <w:start w:val="1"/>
      <w:numFmt w:val="bullet"/>
      <w:lvlText w:val="•"/>
      <w:lvlJc w:val="left"/>
      <w:pPr>
        <w:tabs>
          <w:tab w:val="num" w:pos="2880"/>
        </w:tabs>
        <w:ind w:left="2880" w:hanging="360"/>
      </w:pPr>
      <w:rPr>
        <w:rFonts w:ascii="Arial" w:hAnsi="Arial" w:hint="default"/>
      </w:rPr>
    </w:lvl>
    <w:lvl w:ilvl="4" w:tplc="7C3A381A" w:tentative="1">
      <w:start w:val="1"/>
      <w:numFmt w:val="bullet"/>
      <w:lvlText w:val="•"/>
      <w:lvlJc w:val="left"/>
      <w:pPr>
        <w:tabs>
          <w:tab w:val="num" w:pos="3600"/>
        </w:tabs>
        <w:ind w:left="3600" w:hanging="360"/>
      </w:pPr>
      <w:rPr>
        <w:rFonts w:ascii="Arial" w:hAnsi="Arial" w:hint="default"/>
      </w:rPr>
    </w:lvl>
    <w:lvl w:ilvl="5" w:tplc="C4103716" w:tentative="1">
      <w:start w:val="1"/>
      <w:numFmt w:val="bullet"/>
      <w:lvlText w:val="•"/>
      <w:lvlJc w:val="left"/>
      <w:pPr>
        <w:tabs>
          <w:tab w:val="num" w:pos="4320"/>
        </w:tabs>
        <w:ind w:left="4320" w:hanging="360"/>
      </w:pPr>
      <w:rPr>
        <w:rFonts w:ascii="Arial" w:hAnsi="Arial" w:hint="default"/>
      </w:rPr>
    </w:lvl>
    <w:lvl w:ilvl="6" w:tplc="BB2AE14E" w:tentative="1">
      <w:start w:val="1"/>
      <w:numFmt w:val="bullet"/>
      <w:lvlText w:val="•"/>
      <w:lvlJc w:val="left"/>
      <w:pPr>
        <w:tabs>
          <w:tab w:val="num" w:pos="5040"/>
        </w:tabs>
        <w:ind w:left="5040" w:hanging="360"/>
      </w:pPr>
      <w:rPr>
        <w:rFonts w:ascii="Arial" w:hAnsi="Arial" w:hint="default"/>
      </w:rPr>
    </w:lvl>
    <w:lvl w:ilvl="7" w:tplc="0FEE9D0C" w:tentative="1">
      <w:start w:val="1"/>
      <w:numFmt w:val="bullet"/>
      <w:lvlText w:val="•"/>
      <w:lvlJc w:val="left"/>
      <w:pPr>
        <w:tabs>
          <w:tab w:val="num" w:pos="5760"/>
        </w:tabs>
        <w:ind w:left="5760" w:hanging="360"/>
      </w:pPr>
      <w:rPr>
        <w:rFonts w:ascii="Arial" w:hAnsi="Arial" w:hint="default"/>
      </w:rPr>
    </w:lvl>
    <w:lvl w:ilvl="8" w:tplc="6694C656" w:tentative="1">
      <w:start w:val="1"/>
      <w:numFmt w:val="bullet"/>
      <w:lvlText w:val="•"/>
      <w:lvlJc w:val="left"/>
      <w:pPr>
        <w:tabs>
          <w:tab w:val="num" w:pos="6480"/>
        </w:tabs>
        <w:ind w:left="6480" w:hanging="360"/>
      </w:pPr>
      <w:rPr>
        <w:rFonts w:ascii="Arial" w:hAnsi="Arial" w:hint="default"/>
      </w:rPr>
    </w:lvl>
  </w:abstractNum>
  <w:abstractNum w:abstractNumId="57" w15:restartNumberingAfterBreak="0">
    <w:nsid w:val="799D3FB7"/>
    <w:multiLevelType w:val="hybridMultilevel"/>
    <w:tmpl w:val="32A07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A1E1B4B"/>
    <w:multiLevelType w:val="hybridMultilevel"/>
    <w:tmpl w:val="70480034"/>
    <w:lvl w:ilvl="0" w:tplc="06903222">
      <w:start w:val="1"/>
      <w:numFmt w:val="decimal"/>
      <w:lvlText w:val="%1."/>
      <w:lvlJc w:val="left"/>
      <w:pPr>
        <w:tabs>
          <w:tab w:val="num" w:pos="720"/>
        </w:tabs>
        <w:ind w:left="720" w:hanging="360"/>
      </w:pPr>
    </w:lvl>
    <w:lvl w:ilvl="1" w:tplc="D2F4657E" w:tentative="1">
      <w:start w:val="1"/>
      <w:numFmt w:val="decimal"/>
      <w:lvlText w:val="%2."/>
      <w:lvlJc w:val="left"/>
      <w:pPr>
        <w:tabs>
          <w:tab w:val="num" w:pos="1440"/>
        </w:tabs>
        <w:ind w:left="1440" w:hanging="360"/>
      </w:pPr>
    </w:lvl>
    <w:lvl w:ilvl="2" w:tplc="F52ADEF2" w:tentative="1">
      <w:start w:val="1"/>
      <w:numFmt w:val="decimal"/>
      <w:lvlText w:val="%3."/>
      <w:lvlJc w:val="left"/>
      <w:pPr>
        <w:tabs>
          <w:tab w:val="num" w:pos="2160"/>
        </w:tabs>
        <w:ind w:left="2160" w:hanging="360"/>
      </w:pPr>
    </w:lvl>
    <w:lvl w:ilvl="3" w:tplc="888CC834" w:tentative="1">
      <w:start w:val="1"/>
      <w:numFmt w:val="decimal"/>
      <w:lvlText w:val="%4."/>
      <w:lvlJc w:val="left"/>
      <w:pPr>
        <w:tabs>
          <w:tab w:val="num" w:pos="2880"/>
        </w:tabs>
        <w:ind w:left="2880" w:hanging="360"/>
      </w:pPr>
    </w:lvl>
    <w:lvl w:ilvl="4" w:tplc="F4669BD0" w:tentative="1">
      <w:start w:val="1"/>
      <w:numFmt w:val="decimal"/>
      <w:lvlText w:val="%5."/>
      <w:lvlJc w:val="left"/>
      <w:pPr>
        <w:tabs>
          <w:tab w:val="num" w:pos="3600"/>
        </w:tabs>
        <w:ind w:left="3600" w:hanging="360"/>
      </w:pPr>
    </w:lvl>
    <w:lvl w:ilvl="5" w:tplc="FAD4271C" w:tentative="1">
      <w:start w:val="1"/>
      <w:numFmt w:val="decimal"/>
      <w:lvlText w:val="%6."/>
      <w:lvlJc w:val="left"/>
      <w:pPr>
        <w:tabs>
          <w:tab w:val="num" w:pos="4320"/>
        </w:tabs>
        <w:ind w:left="4320" w:hanging="360"/>
      </w:pPr>
    </w:lvl>
    <w:lvl w:ilvl="6" w:tplc="CA1C2B42" w:tentative="1">
      <w:start w:val="1"/>
      <w:numFmt w:val="decimal"/>
      <w:lvlText w:val="%7."/>
      <w:lvlJc w:val="left"/>
      <w:pPr>
        <w:tabs>
          <w:tab w:val="num" w:pos="5040"/>
        </w:tabs>
        <w:ind w:left="5040" w:hanging="360"/>
      </w:pPr>
    </w:lvl>
    <w:lvl w:ilvl="7" w:tplc="D94AA8CC" w:tentative="1">
      <w:start w:val="1"/>
      <w:numFmt w:val="decimal"/>
      <w:lvlText w:val="%8."/>
      <w:lvlJc w:val="left"/>
      <w:pPr>
        <w:tabs>
          <w:tab w:val="num" w:pos="5760"/>
        </w:tabs>
        <w:ind w:left="5760" w:hanging="360"/>
      </w:pPr>
    </w:lvl>
    <w:lvl w:ilvl="8" w:tplc="0DB2C838" w:tentative="1">
      <w:start w:val="1"/>
      <w:numFmt w:val="decimal"/>
      <w:lvlText w:val="%9."/>
      <w:lvlJc w:val="left"/>
      <w:pPr>
        <w:tabs>
          <w:tab w:val="num" w:pos="6480"/>
        </w:tabs>
        <w:ind w:left="6480" w:hanging="360"/>
      </w:pPr>
    </w:lvl>
  </w:abstractNum>
  <w:abstractNum w:abstractNumId="59" w15:restartNumberingAfterBreak="0">
    <w:nsid w:val="7BA37AF7"/>
    <w:multiLevelType w:val="hybridMultilevel"/>
    <w:tmpl w:val="76D41E90"/>
    <w:lvl w:ilvl="0" w:tplc="BE8EF0CC">
      <w:start w:val="1"/>
      <w:numFmt w:val="bullet"/>
      <w:lvlText w:val="•"/>
      <w:lvlJc w:val="left"/>
      <w:pPr>
        <w:tabs>
          <w:tab w:val="num" w:pos="720"/>
        </w:tabs>
        <w:ind w:left="720" w:hanging="360"/>
      </w:pPr>
      <w:rPr>
        <w:rFonts w:ascii="Arial" w:hAnsi="Arial" w:hint="default"/>
      </w:rPr>
    </w:lvl>
    <w:lvl w:ilvl="1" w:tplc="56B6DF88" w:tentative="1">
      <w:start w:val="1"/>
      <w:numFmt w:val="bullet"/>
      <w:lvlText w:val="•"/>
      <w:lvlJc w:val="left"/>
      <w:pPr>
        <w:tabs>
          <w:tab w:val="num" w:pos="1440"/>
        </w:tabs>
        <w:ind w:left="1440" w:hanging="360"/>
      </w:pPr>
      <w:rPr>
        <w:rFonts w:ascii="Arial" w:hAnsi="Arial" w:hint="default"/>
      </w:rPr>
    </w:lvl>
    <w:lvl w:ilvl="2" w:tplc="E7EAA68C" w:tentative="1">
      <w:start w:val="1"/>
      <w:numFmt w:val="bullet"/>
      <w:lvlText w:val="•"/>
      <w:lvlJc w:val="left"/>
      <w:pPr>
        <w:tabs>
          <w:tab w:val="num" w:pos="2160"/>
        </w:tabs>
        <w:ind w:left="2160" w:hanging="360"/>
      </w:pPr>
      <w:rPr>
        <w:rFonts w:ascii="Arial" w:hAnsi="Arial" w:hint="default"/>
      </w:rPr>
    </w:lvl>
    <w:lvl w:ilvl="3" w:tplc="EEB8BAD2" w:tentative="1">
      <w:start w:val="1"/>
      <w:numFmt w:val="bullet"/>
      <w:lvlText w:val="•"/>
      <w:lvlJc w:val="left"/>
      <w:pPr>
        <w:tabs>
          <w:tab w:val="num" w:pos="2880"/>
        </w:tabs>
        <w:ind w:left="2880" w:hanging="360"/>
      </w:pPr>
      <w:rPr>
        <w:rFonts w:ascii="Arial" w:hAnsi="Arial" w:hint="default"/>
      </w:rPr>
    </w:lvl>
    <w:lvl w:ilvl="4" w:tplc="C3D090DC" w:tentative="1">
      <w:start w:val="1"/>
      <w:numFmt w:val="bullet"/>
      <w:lvlText w:val="•"/>
      <w:lvlJc w:val="left"/>
      <w:pPr>
        <w:tabs>
          <w:tab w:val="num" w:pos="3600"/>
        </w:tabs>
        <w:ind w:left="3600" w:hanging="360"/>
      </w:pPr>
      <w:rPr>
        <w:rFonts w:ascii="Arial" w:hAnsi="Arial" w:hint="default"/>
      </w:rPr>
    </w:lvl>
    <w:lvl w:ilvl="5" w:tplc="C5CC9B58" w:tentative="1">
      <w:start w:val="1"/>
      <w:numFmt w:val="bullet"/>
      <w:lvlText w:val="•"/>
      <w:lvlJc w:val="left"/>
      <w:pPr>
        <w:tabs>
          <w:tab w:val="num" w:pos="4320"/>
        </w:tabs>
        <w:ind w:left="4320" w:hanging="360"/>
      </w:pPr>
      <w:rPr>
        <w:rFonts w:ascii="Arial" w:hAnsi="Arial" w:hint="default"/>
      </w:rPr>
    </w:lvl>
    <w:lvl w:ilvl="6" w:tplc="0DC4703A" w:tentative="1">
      <w:start w:val="1"/>
      <w:numFmt w:val="bullet"/>
      <w:lvlText w:val="•"/>
      <w:lvlJc w:val="left"/>
      <w:pPr>
        <w:tabs>
          <w:tab w:val="num" w:pos="5040"/>
        </w:tabs>
        <w:ind w:left="5040" w:hanging="360"/>
      </w:pPr>
      <w:rPr>
        <w:rFonts w:ascii="Arial" w:hAnsi="Arial" w:hint="default"/>
      </w:rPr>
    </w:lvl>
    <w:lvl w:ilvl="7" w:tplc="ED7672F6" w:tentative="1">
      <w:start w:val="1"/>
      <w:numFmt w:val="bullet"/>
      <w:lvlText w:val="•"/>
      <w:lvlJc w:val="left"/>
      <w:pPr>
        <w:tabs>
          <w:tab w:val="num" w:pos="5760"/>
        </w:tabs>
        <w:ind w:left="5760" w:hanging="360"/>
      </w:pPr>
      <w:rPr>
        <w:rFonts w:ascii="Arial" w:hAnsi="Arial" w:hint="default"/>
      </w:rPr>
    </w:lvl>
    <w:lvl w:ilvl="8" w:tplc="AC782C54" w:tentative="1">
      <w:start w:val="1"/>
      <w:numFmt w:val="bullet"/>
      <w:lvlText w:val="•"/>
      <w:lvlJc w:val="left"/>
      <w:pPr>
        <w:tabs>
          <w:tab w:val="num" w:pos="6480"/>
        </w:tabs>
        <w:ind w:left="6480" w:hanging="360"/>
      </w:pPr>
      <w:rPr>
        <w:rFonts w:ascii="Arial" w:hAnsi="Arial" w:hint="default"/>
      </w:rPr>
    </w:lvl>
  </w:abstractNum>
  <w:abstractNum w:abstractNumId="60" w15:restartNumberingAfterBreak="0">
    <w:nsid w:val="7E531A12"/>
    <w:multiLevelType w:val="multilevel"/>
    <w:tmpl w:val="A294A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65271104">
    <w:abstractNumId w:val="18"/>
  </w:num>
  <w:num w:numId="2" w16cid:durableId="1864125536">
    <w:abstractNumId w:val="39"/>
  </w:num>
  <w:num w:numId="3" w16cid:durableId="992484957">
    <w:abstractNumId w:val="34"/>
  </w:num>
  <w:num w:numId="4" w16cid:durableId="551305403">
    <w:abstractNumId w:val="44"/>
  </w:num>
  <w:num w:numId="5" w16cid:durableId="624580789">
    <w:abstractNumId w:val="16"/>
  </w:num>
  <w:num w:numId="6" w16cid:durableId="609094889">
    <w:abstractNumId w:val="47"/>
  </w:num>
  <w:num w:numId="7" w16cid:durableId="625892353">
    <w:abstractNumId w:val="50"/>
  </w:num>
  <w:num w:numId="8" w16cid:durableId="419837144">
    <w:abstractNumId w:val="8"/>
  </w:num>
  <w:num w:numId="9" w16cid:durableId="748694281">
    <w:abstractNumId w:val="57"/>
  </w:num>
  <w:num w:numId="10" w16cid:durableId="774708715">
    <w:abstractNumId w:val="21"/>
  </w:num>
  <w:num w:numId="11" w16cid:durableId="923756696">
    <w:abstractNumId w:val="25"/>
  </w:num>
  <w:num w:numId="12" w16cid:durableId="755321892">
    <w:abstractNumId w:val="11"/>
  </w:num>
  <w:num w:numId="13" w16cid:durableId="342557638">
    <w:abstractNumId w:val="37"/>
  </w:num>
  <w:num w:numId="14" w16cid:durableId="66920282">
    <w:abstractNumId w:val="2"/>
  </w:num>
  <w:num w:numId="15" w16cid:durableId="287393870">
    <w:abstractNumId w:val="4"/>
  </w:num>
  <w:num w:numId="16" w16cid:durableId="51582057">
    <w:abstractNumId w:val="43"/>
  </w:num>
  <w:num w:numId="17" w16cid:durableId="1881673602">
    <w:abstractNumId w:val="19"/>
  </w:num>
  <w:num w:numId="18" w16cid:durableId="1540510857">
    <w:abstractNumId w:val="9"/>
  </w:num>
  <w:num w:numId="19" w16cid:durableId="667559025">
    <w:abstractNumId w:val="46"/>
  </w:num>
  <w:num w:numId="20" w16cid:durableId="1921482717">
    <w:abstractNumId w:val="58"/>
  </w:num>
  <w:num w:numId="21" w16cid:durableId="1571770173">
    <w:abstractNumId w:val="20"/>
  </w:num>
  <w:num w:numId="22" w16cid:durableId="1745030481">
    <w:abstractNumId w:val="48"/>
  </w:num>
  <w:num w:numId="23" w16cid:durableId="1209343166">
    <w:abstractNumId w:val="14"/>
  </w:num>
  <w:num w:numId="24" w16cid:durableId="2146266196">
    <w:abstractNumId w:val="22"/>
  </w:num>
  <w:num w:numId="25" w16cid:durableId="214509142">
    <w:abstractNumId w:val="30"/>
  </w:num>
  <w:num w:numId="26" w16cid:durableId="1720471941">
    <w:abstractNumId w:val="27"/>
  </w:num>
  <w:num w:numId="27" w16cid:durableId="1041707214">
    <w:abstractNumId w:val="35"/>
  </w:num>
  <w:num w:numId="28" w16cid:durableId="405104102">
    <w:abstractNumId w:val="5"/>
  </w:num>
  <w:num w:numId="29" w16cid:durableId="289752914">
    <w:abstractNumId w:val="33"/>
  </w:num>
  <w:num w:numId="30" w16cid:durableId="1760981568">
    <w:abstractNumId w:val="13"/>
  </w:num>
  <w:num w:numId="31" w16cid:durableId="1070880370">
    <w:abstractNumId w:val="56"/>
  </w:num>
  <w:num w:numId="32" w16cid:durableId="855578566">
    <w:abstractNumId w:val="59"/>
  </w:num>
  <w:num w:numId="33" w16cid:durableId="634606637">
    <w:abstractNumId w:val="6"/>
  </w:num>
  <w:num w:numId="34" w16cid:durableId="1731346530">
    <w:abstractNumId w:val="38"/>
  </w:num>
  <w:num w:numId="35" w16cid:durableId="311250887">
    <w:abstractNumId w:val="42"/>
  </w:num>
  <w:num w:numId="36" w16cid:durableId="89395746">
    <w:abstractNumId w:val="55"/>
  </w:num>
  <w:num w:numId="37" w16cid:durableId="2053994413">
    <w:abstractNumId w:val="26"/>
  </w:num>
  <w:num w:numId="38" w16cid:durableId="1285622161">
    <w:abstractNumId w:val="17"/>
  </w:num>
  <w:num w:numId="39" w16cid:durableId="2112165745">
    <w:abstractNumId w:val="0"/>
  </w:num>
  <w:num w:numId="40" w16cid:durableId="1820926031">
    <w:abstractNumId w:val="29"/>
  </w:num>
  <w:num w:numId="41" w16cid:durableId="988091955">
    <w:abstractNumId w:val="32"/>
  </w:num>
  <w:num w:numId="42" w16cid:durableId="148373745">
    <w:abstractNumId w:val="60"/>
  </w:num>
  <w:num w:numId="43" w16cid:durableId="38436099">
    <w:abstractNumId w:val="12"/>
  </w:num>
  <w:num w:numId="44" w16cid:durableId="1644969356">
    <w:abstractNumId w:val="3"/>
  </w:num>
  <w:num w:numId="45" w16cid:durableId="1078593367">
    <w:abstractNumId w:val="45"/>
  </w:num>
  <w:num w:numId="46" w16cid:durableId="804742169">
    <w:abstractNumId w:val="7"/>
  </w:num>
  <w:num w:numId="47" w16cid:durableId="588805583">
    <w:abstractNumId w:val="24"/>
  </w:num>
  <w:num w:numId="48" w16cid:durableId="1852715507">
    <w:abstractNumId w:val="10"/>
  </w:num>
  <w:num w:numId="49" w16cid:durableId="326520545">
    <w:abstractNumId w:val="1"/>
  </w:num>
  <w:num w:numId="50" w16cid:durableId="1439987774">
    <w:abstractNumId w:val="54"/>
  </w:num>
  <w:num w:numId="51" w16cid:durableId="1464932346">
    <w:abstractNumId w:val="41"/>
  </w:num>
  <w:num w:numId="52" w16cid:durableId="972559852">
    <w:abstractNumId w:val="31"/>
  </w:num>
  <w:num w:numId="53" w16cid:durableId="582836507">
    <w:abstractNumId w:val="15"/>
  </w:num>
  <w:num w:numId="54" w16cid:durableId="669479986">
    <w:abstractNumId w:val="52"/>
  </w:num>
  <w:num w:numId="55" w16cid:durableId="16736145">
    <w:abstractNumId w:val="49"/>
  </w:num>
  <w:num w:numId="56" w16cid:durableId="657655761">
    <w:abstractNumId w:val="23"/>
  </w:num>
  <w:num w:numId="57" w16cid:durableId="682392074">
    <w:abstractNumId w:val="40"/>
  </w:num>
  <w:num w:numId="58" w16cid:durableId="756247850">
    <w:abstractNumId w:val="53"/>
  </w:num>
  <w:num w:numId="59" w16cid:durableId="3091587">
    <w:abstractNumId w:val="28"/>
  </w:num>
  <w:num w:numId="60" w16cid:durableId="1403988103">
    <w:abstractNumId w:val="36"/>
  </w:num>
  <w:num w:numId="61" w16cid:durableId="904682521">
    <w:abstractNumId w:val="5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724"/>
    <w:rsid w:val="00006F6D"/>
    <w:rsid w:val="00046397"/>
    <w:rsid w:val="00067DF1"/>
    <w:rsid w:val="00084830"/>
    <w:rsid w:val="00087FB0"/>
    <w:rsid w:val="000A4289"/>
    <w:rsid w:val="000C46BC"/>
    <w:rsid w:val="000C50BA"/>
    <w:rsid w:val="000C7060"/>
    <w:rsid w:val="000E5ADD"/>
    <w:rsid w:val="00100410"/>
    <w:rsid w:val="0011600E"/>
    <w:rsid w:val="00123D17"/>
    <w:rsid w:val="001326AF"/>
    <w:rsid w:val="001B7AD4"/>
    <w:rsid w:val="001D2E7E"/>
    <w:rsid w:val="001E7DA7"/>
    <w:rsid w:val="0020104E"/>
    <w:rsid w:val="00215E0E"/>
    <w:rsid w:val="00223C2C"/>
    <w:rsid w:val="00225D86"/>
    <w:rsid w:val="00243615"/>
    <w:rsid w:val="002441E0"/>
    <w:rsid w:val="00246DC1"/>
    <w:rsid w:val="00250C76"/>
    <w:rsid w:val="00265AF3"/>
    <w:rsid w:val="00276CF3"/>
    <w:rsid w:val="00280B83"/>
    <w:rsid w:val="0028586D"/>
    <w:rsid w:val="00291FCC"/>
    <w:rsid w:val="002D25B6"/>
    <w:rsid w:val="002D6D5C"/>
    <w:rsid w:val="002E0A67"/>
    <w:rsid w:val="002F5488"/>
    <w:rsid w:val="003315F5"/>
    <w:rsid w:val="00336CA5"/>
    <w:rsid w:val="00356A91"/>
    <w:rsid w:val="003A0EDB"/>
    <w:rsid w:val="003A40CC"/>
    <w:rsid w:val="003C3A39"/>
    <w:rsid w:val="00450081"/>
    <w:rsid w:val="00460583"/>
    <w:rsid w:val="00484C63"/>
    <w:rsid w:val="0049497D"/>
    <w:rsid w:val="004966BB"/>
    <w:rsid w:val="004B28DE"/>
    <w:rsid w:val="004B4624"/>
    <w:rsid w:val="004E7B4C"/>
    <w:rsid w:val="00515380"/>
    <w:rsid w:val="00517F3E"/>
    <w:rsid w:val="00524BFA"/>
    <w:rsid w:val="00532B46"/>
    <w:rsid w:val="00556E56"/>
    <w:rsid w:val="00576968"/>
    <w:rsid w:val="005833EE"/>
    <w:rsid w:val="00587AF6"/>
    <w:rsid w:val="005D0204"/>
    <w:rsid w:val="006044C5"/>
    <w:rsid w:val="00610DEB"/>
    <w:rsid w:val="00615018"/>
    <w:rsid w:val="00624A64"/>
    <w:rsid w:val="006634FD"/>
    <w:rsid w:val="00670DDF"/>
    <w:rsid w:val="0067586A"/>
    <w:rsid w:val="006921E2"/>
    <w:rsid w:val="00695B68"/>
    <w:rsid w:val="006B157F"/>
    <w:rsid w:val="006B43CC"/>
    <w:rsid w:val="006D425A"/>
    <w:rsid w:val="006F0911"/>
    <w:rsid w:val="00714E8C"/>
    <w:rsid w:val="00726CE3"/>
    <w:rsid w:val="00726F72"/>
    <w:rsid w:val="00730526"/>
    <w:rsid w:val="00767387"/>
    <w:rsid w:val="00776656"/>
    <w:rsid w:val="007B5617"/>
    <w:rsid w:val="007F3486"/>
    <w:rsid w:val="007F3ED0"/>
    <w:rsid w:val="008107E3"/>
    <w:rsid w:val="00813333"/>
    <w:rsid w:val="00814E56"/>
    <w:rsid w:val="00827228"/>
    <w:rsid w:val="0083356E"/>
    <w:rsid w:val="008945D3"/>
    <w:rsid w:val="008A3E69"/>
    <w:rsid w:val="008A4D78"/>
    <w:rsid w:val="008B6E68"/>
    <w:rsid w:val="008B773C"/>
    <w:rsid w:val="008C66BC"/>
    <w:rsid w:val="008F0CD7"/>
    <w:rsid w:val="009023A4"/>
    <w:rsid w:val="009508BB"/>
    <w:rsid w:val="00990904"/>
    <w:rsid w:val="009A198F"/>
    <w:rsid w:val="009E7719"/>
    <w:rsid w:val="009F784A"/>
    <w:rsid w:val="00A03794"/>
    <w:rsid w:val="00A05FC5"/>
    <w:rsid w:val="00A4571E"/>
    <w:rsid w:val="00A63B71"/>
    <w:rsid w:val="00A70609"/>
    <w:rsid w:val="00A71B75"/>
    <w:rsid w:val="00A7234C"/>
    <w:rsid w:val="00A755F4"/>
    <w:rsid w:val="00AC2BAD"/>
    <w:rsid w:val="00AD1264"/>
    <w:rsid w:val="00AD1838"/>
    <w:rsid w:val="00B018A5"/>
    <w:rsid w:val="00B13406"/>
    <w:rsid w:val="00B2764D"/>
    <w:rsid w:val="00B27F74"/>
    <w:rsid w:val="00B34C8F"/>
    <w:rsid w:val="00B35AB2"/>
    <w:rsid w:val="00B3678A"/>
    <w:rsid w:val="00B5114C"/>
    <w:rsid w:val="00B5154F"/>
    <w:rsid w:val="00B740D6"/>
    <w:rsid w:val="00B755EE"/>
    <w:rsid w:val="00B85F6F"/>
    <w:rsid w:val="00BB0AC4"/>
    <w:rsid w:val="00BE29E0"/>
    <w:rsid w:val="00BF10F7"/>
    <w:rsid w:val="00C172F9"/>
    <w:rsid w:val="00C224FF"/>
    <w:rsid w:val="00C37B3C"/>
    <w:rsid w:val="00C440B9"/>
    <w:rsid w:val="00C5613E"/>
    <w:rsid w:val="00C80822"/>
    <w:rsid w:val="00C82ECC"/>
    <w:rsid w:val="00CB24FC"/>
    <w:rsid w:val="00CD182F"/>
    <w:rsid w:val="00CD3724"/>
    <w:rsid w:val="00CE027D"/>
    <w:rsid w:val="00CE197B"/>
    <w:rsid w:val="00CF6CF4"/>
    <w:rsid w:val="00D815BB"/>
    <w:rsid w:val="00DA40B4"/>
    <w:rsid w:val="00DB1048"/>
    <w:rsid w:val="00DB5C13"/>
    <w:rsid w:val="00DD0D6E"/>
    <w:rsid w:val="00DD112B"/>
    <w:rsid w:val="00DE198E"/>
    <w:rsid w:val="00E120FC"/>
    <w:rsid w:val="00E20953"/>
    <w:rsid w:val="00E2630C"/>
    <w:rsid w:val="00E33850"/>
    <w:rsid w:val="00E37E8B"/>
    <w:rsid w:val="00E5060E"/>
    <w:rsid w:val="00E62964"/>
    <w:rsid w:val="00E6470D"/>
    <w:rsid w:val="00E7334D"/>
    <w:rsid w:val="00E86A4A"/>
    <w:rsid w:val="00EC1BBA"/>
    <w:rsid w:val="00ED6BC0"/>
    <w:rsid w:val="00F1501B"/>
    <w:rsid w:val="00F2423E"/>
    <w:rsid w:val="00F41C74"/>
    <w:rsid w:val="00F53633"/>
    <w:rsid w:val="00F669BF"/>
    <w:rsid w:val="00F94168"/>
    <w:rsid w:val="00FC2F57"/>
    <w:rsid w:val="00FD38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ACCD3"/>
  <w15:chartTrackingRefBased/>
  <w15:docId w15:val="{57218B1B-0AB4-484D-BB06-EF45D344F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3724"/>
    <w:pPr>
      <w:spacing w:after="200" w:line="276" w:lineRule="auto"/>
    </w:pPr>
    <w:rPr>
      <w:lang w:val="en-GB"/>
    </w:rPr>
  </w:style>
  <w:style w:type="paragraph" w:styleId="Heading1">
    <w:name w:val="heading 1"/>
    <w:basedOn w:val="Normal"/>
    <w:next w:val="Normal"/>
    <w:link w:val="Heading1Char"/>
    <w:autoRedefine/>
    <w:uiPriority w:val="9"/>
    <w:qFormat/>
    <w:rsid w:val="00E2630C"/>
    <w:pPr>
      <w:keepNext/>
      <w:keepLines/>
      <w:spacing w:after="0" w:line="480" w:lineRule="auto"/>
      <w:jc w:val="center"/>
      <w:outlineLvl w:val="0"/>
    </w:pPr>
    <w:rPr>
      <w:rFonts w:ascii="Times New Roman" w:eastAsia="Calibri" w:hAnsi="Times New Roman" w:cs="Times New Roman"/>
      <w:b/>
      <w:bCs/>
      <w:caps/>
      <w:color w:val="000000" w:themeColor="text1"/>
      <w:sz w:val="24"/>
      <w:szCs w:val="24"/>
    </w:rPr>
  </w:style>
  <w:style w:type="paragraph" w:styleId="Heading2">
    <w:name w:val="heading 2"/>
    <w:basedOn w:val="Normal"/>
    <w:next w:val="Normal"/>
    <w:link w:val="Heading2Char"/>
    <w:autoRedefine/>
    <w:uiPriority w:val="9"/>
    <w:unhideWhenUsed/>
    <w:qFormat/>
    <w:rsid w:val="00E2630C"/>
    <w:pPr>
      <w:keepNext/>
      <w:keepLines/>
      <w:spacing w:after="0" w:line="360" w:lineRule="auto"/>
      <w:outlineLvl w:val="1"/>
    </w:pPr>
    <w:rPr>
      <w:rFonts w:ascii="Times New Roman" w:eastAsiaTheme="majorEastAsia" w:hAnsi="Times New Roman" w:cs="Times New Roman"/>
      <w:b/>
      <w:bCs/>
      <w:color w:val="000000" w:themeColor="text1"/>
      <w:sz w:val="24"/>
      <w:szCs w:val="24"/>
      <w:lang w:val="en-US"/>
    </w:rPr>
  </w:style>
  <w:style w:type="paragraph" w:styleId="Heading3">
    <w:name w:val="heading 3"/>
    <w:basedOn w:val="Normal"/>
    <w:next w:val="Normal"/>
    <w:link w:val="Heading3Char"/>
    <w:autoRedefine/>
    <w:uiPriority w:val="9"/>
    <w:unhideWhenUsed/>
    <w:qFormat/>
    <w:rsid w:val="0049497D"/>
    <w:pPr>
      <w:keepNext/>
      <w:keepLines/>
      <w:spacing w:before="200" w:after="0" w:line="360" w:lineRule="auto"/>
      <w:outlineLvl w:val="2"/>
    </w:pPr>
    <w:rPr>
      <w:rFonts w:ascii="Times New Roman" w:eastAsia="Times New Roman" w:hAnsi="Times New Roman" w:cs="Times New Roman"/>
      <w:b/>
      <w:bCs/>
      <w:color w:val="000000" w:themeColor="text1"/>
      <w:sz w:val="24"/>
      <w:szCs w:val="24"/>
      <w:lang w:eastAsia="en-GB"/>
    </w:rPr>
  </w:style>
  <w:style w:type="paragraph" w:styleId="Heading4">
    <w:name w:val="heading 4"/>
    <w:basedOn w:val="Normal"/>
    <w:next w:val="Normal"/>
    <w:link w:val="Heading4Char"/>
    <w:uiPriority w:val="9"/>
    <w:unhideWhenUsed/>
    <w:qFormat/>
    <w:rsid w:val="00CD372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CD3724"/>
    <w:pPr>
      <w:keepNext/>
      <w:keepLines/>
      <w:spacing w:before="4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CD3724"/>
    <w:pPr>
      <w:keepNext/>
      <w:keepLines/>
      <w:spacing w:before="40" w:after="0"/>
      <w:outlineLvl w:val="5"/>
    </w:pPr>
    <w:rPr>
      <w:rFonts w:ascii="Times New Roman" w:eastAsiaTheme="majorEastAsia" w:hAnsi="Times New Roman" w:cstheme="majorBidi"/>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630C"/>
    <w:rPr>
      <w:rFonts w:ascii="Times New Roman" w:eastAsia="Calibri" w:hAnsi="Times New Roman" w:cs="Times New Roman"/>
      <w:b/>
      <w:bCs/>
      <w:caps/>
      <w:color w:val="000000" w:themeColor="text1"/>
      <w:sz w:val="24"/>
      <w:szCs w:val="24"/>
      <w:lang w:val="en-GB"/>
    </w:rPr>
  </w:style>
  <w:style w:type="character" w:customStyle="1" w:styleId="Heading2Char">
    <w:name w:val="Heading 2 Char"/>
    <w:basedOn w:val="DefaultParagraphFont"/>
    <w:link w:val="Heading2"/>
    <w:uiPriority w:val="9"/>
    <w:rsid w:val="00E2630C"/>
    <w:rPr>
      <w:rFonts w:ascii="Times New Roman" w:eastAsiaTheme="majorEastAsia" w:hAnsi="Times New Roman" w:cs="Times New Roman"/>
      <w:b/>
      <w:bCs/>
      <w:color w:val="000000" w:themeColor="text1"/>
      <w:sz w:val="24"/>
      <w:szCs w:val="24"/>
    </w:rPr>
  </w:style>
  <w:style w:type="character" w:customStyle="1" w:styleId="Heading3Char">
    <w:name w:val="Heading 3 Char"/>
    <w:basedOn w:val="DefaultParagraphFont"/>
    <w:link w:val="Heading3"/>
    <w:uiPriority w:val="9"/>
    <w:rsid w:val="0049497D"/>
    <w:rPr>
      <w:rFonts w:ascii="Times New Roman" w:eastAsia="Times New Roman" w:hAnsi="Times New Roman" w:cs="Times New Roman"/>
      <w:b/>
      <w:bCs/>
      <w:color w:val="000000" w:themeColor="text1"/>
      <w:sz w:val="24"/>
      <w:szCs w:val="24"/>
      <w:lang w:val="en-GB" w:eastAsia="en-GB"/>
    </w:rPr>
  </w:style>
  <w:style w:type="character" w:customStyle="1" w:styleId="Heading4Char">
    <w:name w:val="Heading 4 Char"/>
    <w:basedOn w:val="DefaultParagraphFont"/>
    <w:link w:val="Heading4"/>
    <w:uiPriority w:val="9"/>
    <w:rsid w:val="00CD3724"/>
    <w:rPr>
      <w:rFonts w:asciiTheme="majorHAnsi" w:eastAsiaTheme="majorEastAsia" w:hAnsiTheme="majorHAnsi" w:cstheme="majorBidi"/>
      <w:i/>
      <w:iCs/>
      <w:color w:val="2E74B5" w:themeColor="accent1" w:themeShade="BF"/>
      <w:lang w:val="en-GB"/>
    </w:rPr>
  </w:style>
  <w:style w:type="character" w:customStyle="1" w:styleId="Heading5Char">
    <w:name w:val="Heading 5 Char"/>
    <w:basedOn w:val="DefaultParagraphFont"/>
    <w:link w:val="Heading5"/>
    <w:uiPriority w:val="9"/>
    <w:rsid w:val="00CD3724"/>
    <w:rPr>
      <w:rFonts w:ascii="Times New Roman" w:eastAsiaTheme="majorEastAsia" w:hAnsi="Times New Roman" w:cstheme="majorBidi"/>
      <w:b/>
      <w:color w:val="000000" w:themeColor="text1"/>
      <w:sz w:val="24"/>
      <w:lang w:val="en-GB"/>
    </w:rPr>
  </w:style>
  <w:style w:type="character" w:customStyle="1" w:styleId="Heading6Char">
    <w:name w:val="Heading 6 Char"/>
    <w:basedOn w:val="DefaultParagraphFont"/>
    <w:link w:val="Heading6"/>
    <w:uiPriority w:val="9"/>
    <w:rsid w:val="00CD3724"/>
    <w:rPr>
      <w:rFonts w:ascii="Times New Roman" w:eastAsiaTheme="majorEastAsia" w:hAnsi="Times New Roman" w:cstheme="majorBidi"/>
      <w:b/>
      <w:color w:val="000000" w:themeColor="text1"/>
      <w:sz w:val="24"/>
      <w:lang w:val="en-GB"/>
    </w:rPr>
  </w:style>
  <w:style w:type="paragraph" w:styleId="ListParagraph">
    <w:name w:val="List Paragraph"/>
    <w:basedOn w:val="Normal"/>
    <w:uiPriority w:val="34"/>
    <w:qFormat/>
    <w:rsid w:val="00CD3724"/>
    <w:pPr>
      <w:spacing w:after="160" w:line="480" w:lineRule="auto"/>
      <w:ind w:left="720"/>
      <w:contextualSpacing/>
      <w:jc w:val="both"/>
    </w:pPr>
    <w:rPr>
      <w:rFonts w:ascii="Times New Roman" w:hAnsi="Times New Roman"/>
      <w:sz w:val="24"/>
      <w:lang w:val="en-US"/>
    </w:rPr>
  </w:style>
  <w:style w:type="paragraph" w:styleId="NormalWeb">
    <w:name w:val="Normal (Web)"/>
    <w:basedOn w:val="Normal"/>
    <w:uiPriority w:val="99"/>
    <w:unhideWhenUsed/>
    <w:rsid w:val="00CD372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markedcontent">
    <w:name w:val="markedcontent"/>
    <w:basedOn w:val="DefaultParagraphFont"/>
    <w:rsid w:val="00CD3724"/>
  </w:style>
  <w:style w:type="character" w:customStyle="1" w:styleId="BalloonTextChar">
    <w:name w:val="Balloon Text Char"/>
    <w:basedOn w:val="DefaultParagraphFont"/>
    <w:link w:val="BalloonText"/>
    <w:uiPriority w:val="99"/>
    <w:semiHidden/>
    <w:rsid w:val="00CD3724"/>
    <w:rPr>
      <w:rFonts w:ascii="Tahoma" w:hAnsi="Tahoma" w:cs="Tahoma"/>
      <w:sz w:val="16"/>
      <w:szCs w:val="16"/>
    </w:rPr>
  </w:style>
  <w:style w:type="paragraph" w:styleId="BalloonText">
    <w:name w:val="Balloon Text"/>
    <w:basedOn w:val="Normal"/>
    <w:link w:val="BalloonTextChar"/>
    <w:uiPriority w:val="99"/>
    <w:semiHidden/>
    <w:unhideWhenUsed/>
    <w:rsid w:val="00CD3724"/>
    <w:pPr>
      <w:spacing w:after="0" w:line="240" w:lineRule="auto"/>
    </w:pPr>
    <w:rPr>
      <w:rFonts w:ascii="Tahoma" w:hAnsi="Tahoma" w:cs="Tahoma"/>
      <w:sz w:val="16"/>
      <w:szCs w:val="16"/>
      <w:lang w:val="en-US"/>
    </w:rPr>
  </w:style>
  <w:style w:type="character" w:customStyle="1" w:styleId="BalloonTextChar1">
    <w:name w:val="Balloon Text Char1"/>
    <w:basedOn w:val="DefaultParagraphFont"/>
    <w:uiPriority w:val="99"/>
    <w:semiHidden/>
    <w:rsid w:val="00CD3724"/>
    <w:rPr>
      <w:rFonts w:ascii="Segoe UI" w:hAnsi="Segoe UI" w:cs="Segoe UI"/>
      <w:sz w:val="18"/>
      <w:szCs w:val="18"/>
      <w:lang w:val="en-GB"/>
    </w:rPr>
  </w:style>
  <w:style w:type="paragraph" w:styleId="Header">
    <w:name w:val="header"/>
    <w:basedOn w:val="Normal"/>
    <w:link w:val="HeaderChar"/>
    <w:uiPriority w:val="99"/>
    <w:unhideWhenUsed/>
    <w:rsid w:val="00CD37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3724"/>
    <w:rPr>
      <w:lang w:val="en-GB"/>
    </w:rPr>
  </w:style>
  <w:style w:type="paragraph" w:styleId="Footer">
    <w:name w:val="footer"/>
    <w:basedOn w:val="Normal"/>
    <w:link w:val="FooterChar"/>
    <w:uiPriority w:val="99"/>
    <w:unhideWhenUsed/>
    <w:rsid w:val="00CD372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3724"/>
    <w:rPr>
      <w:lang w:val="en-GB"/>
    </w:rPr>
  </w:style>
  <w:style w:type="character" w:styleId="CommentReference">
    <w:name w:val="annotation reference"/>
    <w:basedOn w:val="DefaultParagraphFont"/>
    <w:uiPriority w:val="99"/>
    <w:semiHidden/>
    <w:unhideWhenUsed/>
    <w:rsid w:val="00CD3724"/>
    <w:rPr>
      <w:sz w:val="16"/>
      <w:szCs w:val="16"/>
    </w:rPr>
  </w:style>
  <w:style w:type="paragraph" w:styleId="CommentText">
    <w:name w:val="annotation text"/>
    <w:basedOn w:val="Normal"/>
    <w:link w:val="CommentTextChar"/>
    <w:uiPriority w:val="99"/>
    <w:unhideWhenUsed/>
    <w:rsid w:val="00CD3724"/>
    <w:pPr>
      <w:spacing w:line="240" w:lineRule="auto"/>
    </w:pPr>
    <w:rPr>
      <w:sz w:val="20"/>
      <w:szCs w:val="20"/>
    </w:rPr>
  </w:style>
  <w:style w:type="character" w:customStyle="1" w:styleId="CommentTextChar">
    <w:name w:val="Comment Text Char"/>
    <w:basedOn w:val="DefaultParagraphFont"/>
    <w:link w:val="CommentText"/>
    <w:uiPriority w:val="99"/>
    <w:rsid w:val="00CD3724"/>
    <w:rPr>
      <w:sz w:val="20"/>
      <w:szCs w:val="20"/>
      <w:lang w:val="en-GB"/>
    </w:rPr>
  </w:style>
  <w:style w:type="character" w:customStyle="1" w:styleId="CommentSubjectChar">
    <w:name w:val="Comment Subject Char"/>
    <w:basedOn w:val="CommentTextChar"/>
    <w:link w:val="CommentSubject"/>
    <w:uiPriority w:val="99"/>
    <w:semiHidden/>
    <w:rsid w:val="00CD3724"/>
    <w:rPr>
      <w:b/>
      <w:bCs/>
      <w:sz w:val="20"/>
      <w:szCs w:val="20"/>
      <w:lang w:val="en-GB"/>
    </w:rPr>
  </w:style>
  <w:style w:type="paragraph" w:styleId="CommentSubject">
    <w:name w:val="annotation subject"/>
    <w:basedOn w:val="CommentText"/>
    <w:next w:val="CommentText"/>
    <w:link w:val="CommentSubjectChar"/>
    <w:uiPriority w:val="99"/>
    <w:semiHidden/>
    <w:unhideWhenUsed/>
    <w:rsid w:val="00CD3724"/>
    <w:rPr>
      <w:b/>
      <w:bCs/>
    </w:rPr>
  </w:style>
  <w:style w:type="character" w:customStyle="1" w:styleId="CommentSubjectChar1">
    <w:name w:val="Comment Subject Char1"/>
    <w:basedOn w:val="CommentTextChar"/>
    <w:uiPriority w:val="99"/>
    <w:semiHidden/>
    <w:rsid w:val="00CD3724"/>
    <w:rPr>
      <w:b/>
      <w:bCs/>
      <w:sz w:val="20"/>
      <w:szCs w:val="20"/>
      <w:lang w:val="en-GB"/>
    </w:rPr>
  </w:style>
  <w:style w:type="character" w:styleId="Strong">
    <w:name w:val="Strong"/>
    <w:basedOn w:val="DefaultParagraphFont"/>
    <w:uiPriority w:val="22"/>
    <w:qFormat/>
    <w:rsid w:val="00CD3724"/>
    <w:rPr>
      <w:b/>
      <w:bCs/>
    </w:rPr>
  </w:style>
  <w:style w:type="character" w:customStyle="1" w:styleId="hgkelc">
    <w:name w:val="hgkelc"/>
    <w:basedOn w:val="DefaultParagraphFont"/>
    <w:rsid w:val="00CD3724"/>
  </w:style>
  <w:style w:type="character" w:customStyle="1" w:styleId="yiv2909838055s1">
    <w:name w:val="yiv2909838055s1"/>
    <w:basedOn w:val="DefaultParagraphFont"/>
    <w:rsid w:val="00CD3724"/>
  </w:style>
  <w:style w:type="character" w:styleId="Emphasis">
    <w:name w:val="Emphasis"/>
    <w:basedOn w:val="DefaultParagraphFont"/>
    <w:uiPriority w:val="20"/>
    <w:qFormat/>
    <w:rsid w:val="00CD3724"/>
    <w:rPr>
      <w:i/>
      <w:iCs/>
    </w:rPr>
  </w:style>
  <w:style w:type="table" w:styleId="TableGrid">
    <w:name w:val="Table Grid"/>
    <w:basedOn w:val="TableNormal"/>
    <w:uiPriority w:val="39"/>
    <w:rsid w:val="00CD37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CD3724"/>
    <w:pPr>
      <w:spacing w:after="0" w:line="240" w:lineRule="auto"/>
    </w:pPr>
    <w:rPr>
      <w:kern w:val="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D3724"/>
    <w:rPr>
      <w:color w:val="0563C1" w:themeColor="hyperlink"/>
      <w:u w:val="single"/>
    </w:rPr>
  </w:style>
  <w:style w:type="paragraph" w:customStyle="1" w:styleId="Tables">
    <w:name w:val="Tables"/>
    <w:basedOn w:val="Normal"/>
    <w:link w:val="TablesChar"/>
    <w:autoRedefine/>
    <w:qFormat/>
    <w:rsid w:val="00CD3724"/>
    <w:pPr>
      <w:spacing w:after="0" w:line="240" w:lineRule="auto"/>
    </w:pPr>
    <w:rPr>
      <w:rFonts w:ascii="Times New Roman" w:hAnsi="Times New Roman" w:cs="Times New Roman"/>
      <w:b/>
      <w:bCs/>
      <w:sz w:val="24"/>
      <w:szCs w:val="24"/>
    </w:rPr>
  </w:style>
  <w:style w:type="character" w:customStyle="1" w:styleId="TablesChar">
    <w:name w:val="Tables Char"/>
    <w:basedOn w:val="DefaultParagraphFont"/>
    <w:link w:val="Tables"/>
    <w:rsid w:val="00CD3724"/>
    <w:rPr>
      <w:rFonts w:ascii="Times New Roman" w:hAnsi="Times New Roman" w:cs="Times New Roman"/>
      <w:b/>
      <w:bCs/>
      <w:sz w:val="24"/>
      <w:szCs w:val="24"/>
      <w:lang w:val="en-GB"/>
    </w:rPr>
  </w:style>
  <w:style w:type="paragraph" w:customStyle="1" w:styleId="Figures">
    <w:name w:val="Figures"/>
    <w:basedOn w:val="Normal"/>
    <w:link w:val="FiguresChar"/>
    <w:autoRedefine/>
    <w:qFormat/>
    <w:rsid w:val="00CD3724"/>
    <w:rPr>
      <w:rFonts w:ascii="Times New Roman" w:hAnsi="Times New Roman" w:cs="Times New Roman"/>
      <w:b/>
      <w:sz w:val="24"/>
      <w:szCs w:val="24"/>
    </w:rPr>
  </w:style>
  <w:style w:type="character" w:customStyle="1" w:styleId="FiguresChar">
    <w:name w:val="Figures Char"/>
    <w:basedOn w:val="DefaultParagraphFont"/>
    <w:link w:val="Figures"/>
    <w:rsid w:val="00CD3724"/>
    <w:rPr>
      <w:rFonts w:ascii="Times New Roman" w:hAnsi="Times New Roman" w:cs="Times New Roman"/>
      <w:b/>
      <w:sz w:val="24"/>
      <w:szCs w:val="24"/>
      <w:lang w:val="en-GB"/>
    </w:rPr>
  </w:style>
  <w:style w:type="paragraph" w:styleId="TOCHeading">
    <w:name w:val="TOC Heading"/>
    <w:basedOn w:val="Heading1"/>
    <w:next w:val="Normal"/>
    <w:uiPriority w:val="39"/>
    <w:unhideWhenUsed/>
    <w:qFormat/>
    <w:rsid w:val="00CD3724"/>
    <w:pPr>
      <w:spacing w:before="240" w:line="259" w:lineRule="auto"/>
      <w:jc w:val="left"/>
      <w:outlineLvl w:val="9"/>
    </w:pPr>
    <w:rPr>
      <w:rFonts w:asciiTheme="majorHAnsi" w:hAnsiTheme="majorHAnsi"/>
      <w:b w:val="0"/>
      <w:bCs w:val="0"/>
      <w:color w:val="2E74B5" w:themeColor="accent1" w:themeShade="BF"/>
      <w:sz w:val="32"/>
      <w:szCs w:val="32"/>
      <w:lang w:val="en-US"/>
    </w:rPr>
  </w:style>
  <w:style w:type="paragraph" w:styleId="TOC1">
    <w:name w:val="toc 1"/>
    <w:basedOn w:val="Normal"/>
    <w:next w:val="Normal"/>
    <w:autoRedefine/>
    <w:uiPriority w:val="39"/>
    <w:unhideWhenUsed/>
    <w:rsid w:val="00DD112B"/>
    <w:pPr>
      <w:tabs>
        <w:tab w:val="right" w:leader="dot" w:pos="8296"/>
      </w:tabs>
      <w:spacing w:after="100" w:line="360" w:lineRule="auto"/>
    </w:pPr>
    <w:rPr>
      <w:rFonts w:ascii="Times New Roman" w:hAnsi="Times New Roman"/>
      <w:b/>
      <w:sz w:val="24"/>
    </w:rPr>
  </w:style>
  <w:style w:type="paragraph" w:styleId="TOC2">
    <w:name w:val="toc 2"/>
    <w:basedOn w:val="Normal"/>
    <w:next w:val="Normal"/>
    <w:autoRedefine/>
    <w:uiPriority w:val="39"/>
    <w:unhideWhenUsed/>
    <w:rsid w:val="00DD112B"/>
    <w:pPr>
      <w:spacing w:after="100" w:line="360" w:lineRule="auto"/>
      <w:ind w:left="216"/>
      <w:contextualSpacing/>
    </w:pPr>
    <w:rPr>
      <w:rFonts w:ascii="Times New Roman" w:hAnsi="Times New Roman"/>
      <w:sz w:val="24"/>
    </w:rPr>
  </w:style>
  <w:style w:type="paragraph" w:styleId="TOC3">
    <w:name w:val="toc 3"/>
    <w:basedOn w:val="Normal"/>
    <w:next w:val="Normal"/>
    <w:autoRedefine/>
    <w:uiPriority w:val="39"/>
    <w:unhideWhenUsed/>
    <w:rsid w:val="00DD112B"/>
    <w:pPr>
      <w:spacing w:after="100" w:line="360" w:lineRule="auto"/>
      <w:ind w:left="446"/>
    </w:pPr>
    <w:rPr>
      <w:rFonts w:ascii="Times New Roman" w:hAnsi="Times New Roman"/>
      <w:sz w:val="24"/>
    </w:rPr>
  </w:style>
  <w:style w:type="paragraph" w:styleId="TableofFigures">
    <w:name w:val="table of figures"/>
    <w:basedOn w:val="Normal"/>
    <w:next w:val="Normal"/>
    <w:uiPriority w:val="99"/>
    <w:unhideWhenUsed/>
    <w:rsid w:val="00DD112B"/>
    <w:pPr>
      <w:spacing w:after="0" w:line="360" w:lineRule="auto"/>
    </w:pPr>
    <w:rPr>
      <w:rFonts w:ascii="Times New Roman" w:hAnsi="Times New Roman"/>
      <w:sz w:val="24"/>
    </w:rPr>
  </w:style>
  <w:style w:type="paragraph" w:styleId="NoSpacing">
    <w:name w:val="No Spacing"/>
    <w:uiPriority w:val="1"/>
    <w:qFormat/>
    <w:rsid w:val="00CD3724"/>
    <w:pPr>
      <w:spacing w:after="0" w:line="240" w:lineRule="auto"/>
    </w:pPr>
  </w:style>
  <w:style w:type="character" w:customStyle="1" w:styleId="UnresolvedMention1">
    <w:name w:val="Unresolved Mention1"/>
    <w:basedOn w:val="DefaultParagraphFont"/>
    <w:uiPriority w:val="99"/>
    <w:semiHidden/>
    <w:unhideWhenUsed/>
    <w:rsid w:val="008B773C"/>
    <w:rPr>
      <w:color w:val="605E5C"/>
      <w:shd w:val="clear" w:color="auto" w:fill="E1DFDD"/>
    </w:rPr>
  </w:style>
  <w:style w:type="character" w:customStyle="1" w:styleId="apple-converted-space">
    <w:name w:val="apple-converted-space"/>
    <w:basedOn w:val="DefaultParagraphFont"/>
    <w:rsid w:val="008B773C"/>
  </w:style>
  <w:style w:type="paragraph" w:customStyle="1" w:styleId="TableParagraph">
    <w:name w:val="Table Paragraph"/>
    <w:basedOn w:val="Normal"/>
    <w:uiPriority w:val="1"/>
    <w:qFormat/>
    <w:rsid w:val="008B773C"/>
    <w:pPr>
      <w:widowControl w:val="0"/>
      <w:autoSpaceDE w:val="0"/>
      <w:autoSpaceDN w:val="0"/>
      <w:spacing w:after="0" w:line="275" w:lineRule="exact"/>
      <w:ind w:left="107"/>
    </w:pPr>
    <w:rPr>
      <w:rFonts w:ascii="Times New Roman" w:eastAsia="Times New Roman" w:hAnsi="Times New Roman" w:cs="Times New Roman"/>
      <w:lang w:val="en-US"/>
    </w:rPr>
  </w:style>
  <w:style w:type="paragraph" w:styleId="Revision">
    <w:name w:val="Revision"/>
    <w:hidden/>
    <w:uiPriority w:val="99"/>
    <w:semiHidden/>
    <w:rsid w:val="00827228"/>
    <w:pPr>
      <w:spacing w:after="0" w:line="240" w:lineRule="auto"/>
    </w:pPr>
    <w:rPr>
      <w:lang w:val="en-GB"/>
    </w:rPr>
  </w:style>
  <w:style w:type="paragraph" w:styleId="TOC4">
    <w:name w:val="toc 4"/>
    <w:basedOn w:val="Normal"/>
    <w:next w:val="Normal"/>
    <w:autoRedefine/>
    <w:uiPriority w:val="39"/>
    <w:unhideWhenUsed/>
    <w:rsid w:val="00DD112B"/>
    <w:pPr>
      <w:spacing w:after="100" w:line="360" w:lineRule="auto"/>
      <w:ind w:left="662"/>
    </w:pPr>
    <w:rPr>
      <w:rFonts w:ascii="Times New Roman" w:eastAsiaTheme="minorEastAsia"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2739271">
      <w:bodyDiv w:val="1"/>
      <w:marLeft w:val="0"/>
      <w:marRight w:val="0"/>
      <w:marTop w:val="0"/>
      <w:marBottom w:val="0"/>
      <w:divBdr>
        <w:top w:val="none" w:sz="0" w:space="0" w:color="auto"/>
        <w:left w:val="none" w:sz="0" w:space="0" w:color="auto"/>
        <w:bottom w:val="none" w:sz="0" w:space="0" w:color="auto"/>
        <w:right w:val="none" w:sz="0" w:space="0" w:color="auto"/>
      </w:divBdr>
    </w:div>
    <w:div w:id="403798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graphic.com.gh/daily-graphic-editorials.html" TargetMode="External"/><Relationship Id="rId18" Type="http://schemas.openxmlformats.org/officeDocument/2006/relationships/hyperlink" Target="https://doi.org/10.1016/j.healthpol.2018.08.018"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doi.org/10.1016/j.foodpol.2014.10.003" TargetMode="External"/><Relationship Id="rId7" Type="http://schemas.openxmlformats.org/officeDocument/2006/relationships/endnotes" Target="endnotes.xml"/><Relationship Id="rId12" Type="http://schemas.openxmlformats.org/officeDocument/2006/relationships/hyperlink" Target="http://ssrn.com/abstract=2353309https://ssrn.com/abstract=2353309Electroniccopyavailableat:http://ssrn.com/abstract=2353309www.odi.org.uk" TargetMode="External"/><Relationship Id="rId17" Type="http://schemas.openxmlformats.org/officeDocument/2006/relationships/hyperlink" Target="https://doi.org/10.1017/S0260210509990519"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1111/j.1556-4797.2009.01025.x" TargetMode="External"/><Relationship Id="rId20" Type="http://schemas.openxmlformats.org/officeDocument/2006/relationships/hyperlink" Target="https://doi.org/10.1016/j.scitotenv.2014.06.06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77/2347797017748464" TargetMode="External"/><Relationship Id="rId24"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doi.org/10.1093/acrefore/9780190228637.013.1820" TargetMode="External"/><Relationship Id="rId23" Type="http://schemas.openxmlformats.org/officeDocument/2006/relationships/hyperlink" Target="mailto:info@ubids.edu.gh" TargetMode="External"/><Relationship Id="rId10" Type="http://schemas.openxmlformats.org/officeDocument/2006/relationships/image" Target="media/image2.jpeg"/><Relationship Id="rId19" Type="http://schemas.openxmlformats.org/officeDocument/2006/relationships/hyperlink" Target="https://doi.org/10.1080/14650045.2023.2170787"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doi.org/10.52152/spr/2021.122" TargetMode="External"/><Relationship Id="rId22"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771B47-EE72-419E-A659-3FFE8C4E08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242</Pages>
  <Words>65305</Words>
  <Characters>372245</Characters>
  <Application>Microsoft Office Word</Application>
  <DocSecurity>0</DocSecurity>
  <Lines>3102</Lines>
  <Paragraphs>873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RCD</cp:lastModifiedBy>
  <cp:revision>2</cp:revision>
  <cp:lastPrinted>2024-11-18T13:47:00Z</cp:lastPrinted>
  <dcterms:created xsi:type="dcterms:W3CDTF">2024-11-18T13:47:00Z</dcterms:created>
  <dcterms:modified xsi:type="dcterms:W3CDTF">2024-11-18T13:47:00Z</dcterms:modified>
</cp:coreProperties>
</file>